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87400">
      <w:pPr>
        <w:spacing w:line="287" w:lineRule="auto"/>
        <w:rPr>
          <w:rFonts w:ascii="Arial"/>
          <w:sz w:val="52"/>
          <w:szCs w:val="52"/>
        </w:rPr>
      </w:pPr>
    </w:p>
    <w:p w14:paraId="67AFB31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cs="宋体"/>
          <w:b/>
          <w:bCs/>
          <w:color w:val="000000" w:themeColor="text1"/>
          <w:sz w:val="56"/>
          <w:szCs w:val="56"/>
          <w:lang w:val="en-US" w:eastAsia="zh-CN"/>
          <w14:textFill>
            <w14:solidFill>
              <w14:schemeClr w14:val="tx1"/>
            </w14:solidFill>
          </w14:textFill>
        </w:rPr>
      </w:pPr>
      <w:r>
        <w:rPr>
          <w:rFonts w:hint="eastAsia" w:cs="宋体"/>
          <w:b/>
          <w:bCs/>
          <w:color w:val="000000" w:themeColor="text1"/>
          <w:sz w:val="56"/>
          <w:szCs w:val="56"/>
          <w:lang w:val="en-US" w:eastAsia="zh-CN"/>
          <w14:textFill>
            <w14:solidFill>
              <w14:schemeClr w14:val="tx1"/>
            </w14:solidFill>
          </w14:textFill>
        </w:rPr>
        <w:t>吐鲁番市2025年固定资产投资项目节能审查及综合服务项目</w:t>
      </w:r>
    </w:p>
    <w:p w14:paraId="0215A2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cs="宋体"/>
          <w:b/>
          <w:bCs/>
          <w:color w:val="000000" w:themeColor="text1"/>
          <w:sz w:val="56"/>
          <w:szCs w:val="56"/>
          <w:lang w:val="en-US" w:eastAsia="zh-CN"/>
          <w14:textFill>
            <w14:solidFill>
              <w14:schemeClr w14:val="tx1"/>
            </w14:solidFill>
          </w14:textFill>
        </w:rPr>
      </w:pPr>
    </w:p>
    <w:p w14:paraId="19BBACB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3381F86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197D3B4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543463C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50F8B8C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4E6BEED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50"/>
          <w:szCs w:val="44"/>
        </w:rPr>
      </w:pPr>
    </w:p>
    <w:p w14:paraId="0F9F8E89">
      <w:pPr>
        <w:pStyle w:val="9"/>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200"/>
          <w:sz w:val="90"/>
          <w:szCs w:val="90"/>
        </w:rPr>
      </w:pPr>
      <w:r>
        <w:rPr>
          <w:rFonts w:hint="eastAsia" w:ascii="宋体" w:hAnsi="宋体" w:eastAsia="宋体" w:cs="宋体"/>
          <w:b/>
          <w:bCs/>
          <w:spacing w:val="200"/>
          <w:sz w:val="90"/>
          <w:szCs w:val="90"/>
        </w:rPr>
        <w:t>招标文件</w:t>
      </w:r>
    </w:p>
    <w:p w14:paraId="2E1052D7">
      <w:pPr>
        <w:pStyle w:val="9"/>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sz w:val="36"/>
          <w:szCs w:val="36"/>
        </w:rPr>
      </w:pPr>
    </w:p>
    <w:p w14:paraId="14AE74AB">
      <w:pPr>
        <w:pStyle w:val="9"/>
        <w:keepNext w:val="0"/>
        <w:keepLines w:val="0"/>
        <w:pageBreakBefore w:val="0"/>
        <w:widowControl w:val="0"/>
        <w:kinsoku/>
        <w:wordWrap/>
        <w:overflowPunct/>
        <w:topLinePunct w:val="0"/>
        <w:autoSpaceDE/>
        <w:autoSpaceDN/>
        <w:bidi w:val="0"/>
        <w:spacing w:line="600" w:lineRule="exact"/>
        <w:jc w:val="center"/>
        <w:textAlignment w:val="auto"/>
        <w:rPr>
          <w:rFonts w:hint="default" w:ascii="宋体" w:hAnsi="宋体" w:eastAsia="宋体" w:cs="宋体"/>
          <w:b/>
          <w:color w:val="0000FF"/>
          <w:sz w:val="36"/>
          <w:szCs w:val="36"/>
          <w:lang w:val="en-US" w:eastAsia="zh-CN"/>
        </w:rPr>
      </w:pPr>
      <w:r>
        <w:rPr>
          <w:rFonts w:hint="eastAsia" w:ascii="宋体" w:hAnsi="宋体" w:eastAsia="宋体" w:cs="宋体"/>
          <w:b/>
          <w:color w:val="000000" w:themeColor="text1"/>
          <w:sz w:val="36"/>
          <w:szCs w:val="36"/>
          <w14:textFill>
            <w14:solidFill>
              <w14:schemeClr w14:val="tx1"/>
            </w14:solidFill>
          </w14:textFill>
        </w:rPr>
        <w:t>项目编号</w:t>
      </w:r>
      <w:r>
        <w:rPr>
          <w:rFonts w:hint="eastAsia" w:ascii="宋体" w:hAnsi="宋体" w:eastAsia="宋体" w:cs="宋体"/>
          <w:b/>
          <w:color w:val="000000" w:themeColor="text1"/>
          <w:sz w:val="36"/>
          <w:szCs w:val="36"/>
          <w:highlight w:val="none"/>
          <w14:textFill>
            <w14:solidFill>
              <w14:schemeClr w14:val="tx1"/>
            </w14:solidFill>
          </w14:textFill>
        </w:rPr>
        <w:t>：</w:t>
      </w:r>
      <w:r>
        <w:rPr>
          <w:rFonts w:hint="eastAsia" w:hAnsi="宋体" w:eastAsia="宋体" w:cs="宋体"/>
          <w:b/>
          <w:color w:val="000000" w:themeColor="text1"/>
          <w:sz w:val="36"/>
          <w:szCs w:val="36"/>
          <w:highlight w:val="none"/>
          <w:lang w:val="en-US" w:eastAsia="zh-CN"/>
          <w14:textFill>
            <w14:solidFill>
              <w14:schemeClr w14:val="tx1"/>
            </w14:solidFill>
          </w14:textFill>
        </w:rPr>
        <w:t>HYZB2025-(Z)24</w:t>
      </w:r>
    </w:p>
    <w:p w14:paraId="59E9AB30">
      <w:pPr>
        <w:pStyle w:val="9"/>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5BF42D3D">
      <w:pPr>
        <w:pStyle w:val="9"/>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34260D09">
      <w:pPr>
        <w:pStyle w:val="9"/>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02B59642">
      <w:pPr>
        <w:pStyle w:val="9"/>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宋体" w:cs="宋体"/>
          <w:kern w:val="0"/>
          <w:sz w:val="44"/>
          <w:szCs w:val="44"/>
        </w:rPr>
      </w:pPr>
    </w:p>
    <w:p w14:paraId="09A51CE0">
      <w:pPr>
        <w:pStyle w:val="9"/>
        <w:pageBreakBefore w:val="0"/>
        <w:kinsoku/>
        <w:wordWrap/>
        <w:overflowPunct/>
        <w:topLinePunct w:val="0"/>
        <w:bidi w:val="0"/>
        <w:spacing w:line="400" w:lineRule="exact"/>
        <w:jc w:val="center"/>
        <w:rPr>
          <w:rFonts w:hint="eastAsia" w:ascii="宋体" w:hAnsi="宋体" w:eastAsia="宋体" w:cs="宋体"/>
          <w:kern w:val="0"/>
          <w:sz w:val="44"/>
          <w:szCs w:val="44"/>
        </w:rPr>
      </w:pPr>
    </w:p>
    <w:p w14:paraId="4C05B11B">
      <w:pPr>
        <w:pStyle w:val="9"/>
        <w:pageBreakBefore w:val="0"/>
        <w:kinsoku/>
        <w:wordWrap/>
        <w:overflowPunct/>
        <w:topLinePunct w:val="0"/>
        <w:bidi w:val="0"/>
        <w:spacing w:line="400" w:lineRule="exact"/>
        <w:jc w:val="center"/>
        <w:rPr>
          <w:rFonts w:hint="eastAsia" w:ascii="宋体" w:hAnsi="宋体" w:eastAsia="宋体" w:cs="宋体"/>
          <w:b/>
          <w:sz w:val="30"/>
          <w:szCs w:val="30"/>
        </w:rPr>
      </w:pPr>
    </w:p>
    <w:p w14:paraId="668184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4382ED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pacing w:val="20"/>
          <w:sz w:val="28"/>
          <w:szCs w:val="28"/>
          <w:highlight w:val="none"/>
        </w:rPr>
      </w:pPr>
    </w:p>
    <w:p w14:paraId="57FAD3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lang w:eastAsia="zh-CN"/>
        </w:rPr>
      </w:pPr>
    </w:p>
    <w:p w14:paraId="4F44A875">
      <w:pPr>
        <w:pStyle w:val="13"/>
        <w:keepNext w:val="0"/>
        <w:keepLines w:val="0"/>
        <w:pageBreakBefore w:val="0"/>
        <w:widowControl/>
        <w:suppressLineNumbers w:val="0"/>
        <w:kinsoku/>
        <w:wordWrap/>
        <w:overflowPunct/>
        <w:topLinePunct w:val="0"/>
        <w:autoSpaceDE/>
        <w:autoSpaceDN/>
        <w:bidi w:val="0"/>
        <w:adjustRightInd/>
        <w:snapToGrid/>
        <w:spacing w:line="340" w:lineRule="exact"/>
        <w:ind w:left="0" w:firstLine="1605" w:firstLineChars="500"/>
        <w:jc w:val="left"/>
        <w:textAlignment w:val="auto"/>
        <w:rPr>
          <w:rFonts w:hint="eastAsia" w:ascii="宋体" w:hAnsi="宋体" w:eastAsia="宋体" w:cs="宋体"/>
          <w:b/>
          <w:spacing w:val="20"/>
          <w:kern w:val="2"/>
          <w:sz w:val="28"/>
          <w:szCs w:val="28"/>
          <w:highlight w:val="none"/>
          <w:lang w:val="en-US" w:eastAsia="zh-CN" w:bidi="ar-SA"/>
        </w:rPr>
      </w:pPr>
      <w:r>
        <w:rPr>
          <w:rFonts w:hint="eastAsia" w:ascii="宋体" w:hAnsi="宋体" w:eastAsia="宋体" w:cs="宋体"/>
          <w:b/>
          <w:spacing w:val="20"/>
          <w:sz w:val="28"/>
          <w:szCs w:val="28"/>
          <w:highlight w:val="none"/>
          <w:lang w:eastAsia="zh-CN"/>
        </w:rPr>
        <w:t xml:space="preserve">采 购 </w:t>
      </w:r>
      <w:r>
        <w:rPr>
          <w:rFonts w:hint="eastAsia" w:ascii="宋体" w:hAnsi="宋体" w:eastAsia="宋体" w:cs="宋体"/>
          <w:b/>
          <w:spacing w:val="20"/>
          <w:kern w:val="2"/>
          <w:sz w:val="28"/>
          <w:szCs w:val="28"/>
          <w:highlight w:val="none"/>
          <w:lang w:val="en-US" w:eastAsia="zh-CN" w:bidi="ar-SA"/>
        </w:rPr>
        <w:t>人 ：</w:t>
      </w:r>
      <w:r>
        <w:rPr>
          <w:rFonts w:hint="eastAsia" w:cs="宋体"/>
          <w:b/>
          <w:spacing w:val="20"/>
          <w:kern w:val="2"/>
          <w:sz w:val="28"/>
          <w:szCs w:val="28"/>
          <w:highlight w:val="none"/>
          <w:lang w:val="en-US" w:eastAsia="zh-CN" w:bidi="ar-SA"/>
        </w:rPr>
        <w:t>吐鲁番市发展和改革委员会</w:t>
      </w:r>
    </w:p>
    <w:p w14:paraId="6304EE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sz w:val="28"/>
          <w:szCs w:val="28"/>
          <w:highlight w:val="none"/>
          <w:lang w:eastAsia="zh-CN"/>
        </w:rPr>
      </w:pPr>
      <w:r>
        <w:rPr>
          <w:rFonts w:hint="eastAsia" w:ascii="宋体" w:hAnsi="宋体" w:eastAsia="宋体" w:cs="宋体"/>
          <w:b/>
          <w:spacing w:val="20"/>
          <w:sz w:val="28"/>
          <w:szCs w:val="28"/>
          <w:highlight w:val="none"/>
        </w:rPr>
        <w:t xml:space="preserve">    </w:t>
      </w:r>
      <w:r>
        <w:rPr>
          <w:rFonts w:hint="eastAsia" w:ascii="宋体" w:hAnsi="宋体" w:eastAsia="宋体" w:cs="宋体"/>
          <w:b/>
          <w:spacing w:val="20"/>
          <w:sz w:val="28"/>
          <w:szCs w:val="28"/>
          <w:highlight w:val="none"/>
          <w:lang w:val="en-US" w:eastAsia="zh-CN"/>
        </w:rPr>
        <w:t xml:space="preserve">  </w:t>
      </w:r>
      <w:r>
        <w:rPr>
          <w:rFonts w:hint="eastAsia" w:ascii="宋体" w:hAnsi="宋体" w:eastAsia="宋体" w:cs="宋体"/>
          <w:b/>
          <w:spacing w:val="20"/>
          <w:sz w:val="28"/>
          <w:szCs w:val="28"/>
          <w:highlight w:val="none"/>
        </w:rPr>
        <w:t>招标代理机构：</w:t>
      </w:r>
      <w:r>
        <w:rPr>
          <w:rFonts w:hint="eastAsia" w:ascii="宋体" w:hAnsi="宋体" w:eastAsia="宋体" w:cs="宋体"/>
          <w:b/>
          <w:spacing w:val="20"/>
          <w:sz w:val="28"/>
          <w:szCs w:val="28"/>
          <w:highlight w:val="none"/>
          <w:lang w:eastAsia="zh-CN"/>
        </w:rPr>
        <w:t>新疆华域天恒工程管理有限公司</w:t>
      </w:r>
    </w:p>
    <w:p w14:paraId="1B3723CB">
      <w:pPr>
        <w:pageBreakBefore w:val="0"/>
        <w:kinsoku/>
        <w:wordWrap/>
        <w:overflowPunct/>
        <w:topLinePunct w:val="0"/>
        <w:bidi w:val="0"/>
        <w:spacing w:line="400" w:lineRule="exact"/>
        <w:rPr>
          <w:rFonts w:hint="eastAsia" w:ascii="宋体" w:hAnsi="宋体" w:eastAsia="宋体" w:cs="宋体"/>
          <w:color w:val="000000"/>
          <w:kern w:val="0"/>
          <w:sz w:val="28"/>
          <w:szCs w:val="28"/>
          <w:highlight w:val="none"/>
        </w:rPr>
        <w:sectPr>
          <w:footerReference r:id="rId9" w:type="first"/>
          <w:headerReference r:id="rId7" w:type="default"/>
          <w:footerReference r:id="rId8" w:type="default"/>
          <w:pgSz w:w="11906" w:h="16838"/>
          <w:pgMar w:top="1134" w:right="1472" w:bottom="1644" w:left="1814" w:header="851" w:footer="992" w:gutter="0"/>
          <w:pgNumType w:fmt="decimal" w:start="1"/>
          <w:cols w:space="720" w:num="1"/>
          <w:titlePg/>
          <w:docGrid w:type="lines" w:linePitch="312" w:charSpace="0"/>
        </w:sectPr>
      </w:pPr>
    </w:p>
    <w:p w14:paraId="7B1AFF81">
      <w:pPr>
        <w:pStyle w:val="12"/>
        <w:tabs>
          <w:tab w:val="right" w:leader="dot" w:pos="8296"/>
        </w:tabs>
        <w:spacing w:line="1000" w:lineRule="exact"/>
        <w:jc w:val="center"/>
        <w:rPr>
          <w:rFonts w:hint="eastAsia" w:ascii="宋体" w:hAnsi="宋体" w:eastAsia="宋体" w:cs="宋体"/>
          <w:color w:val="auto"/>
          <w:sz w:val="44"/>
          <w:szCs w:val="48"/>
        </w:rPr>
      </w:pPr>
      <w:r>
        <w:rPr>
          <w:rFonts w:hint="eastAsia" w:ascii="宋体" w:hAnsi="宋体" w:eastAsia="宋体" w:cs="宋体"/>
          <w:color w:val="auto"/>
          <w:sz w:val="44"/>
          <w:szCs w:val="48"/>
        </w:rPr>
        <w:t>目  录</w:t>
      </w:r>
    </w:p>
    <w:p w14:paraId="494BAE1B">
      <w:pPr>
        <w:pStyle w:val="12"/>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"_Toc44705269"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第一章 招标公告</w:t>
      </w:r>
      <w:r>
        <w:rPr>
          <w:rStyle w:val="19"/>
          <w:rFonts w:hint="eastAsia" w:ascii="宋体" w:hAnsi="宋体" w:eastAsia="宋体" w:cs="宋体"/>
          <w:b w:val="0"/>
          <w:color w:val="auto"/>
          <w:w w:val="90"/>
          <w:sz w:val="32"/>
          <w:szCs w:val="32"/>
          <w:u w:val="none"/>
        </w:rPr>
        <w:tab/>
      </w:r>
      <w:r>
        <w:rPr>
          <w:rFonts w:hint="eastAsia" w:ascii="宋体" w:hAnsi="宋体" w:eastAsia="宋体" w:cs="宋体"/>
          <w:b w:val="0"/>
          <w:color w:val="auto"/>
          <w:sz w:val="32"/>
          <w:szCs w:val="32"/>
          <w:lang w:val="en-US" w:eastAsia="zh-CN"/>
        </w:rPr>
        <w:t>3</w:t>
      </w:r>
      <w:r>
        <w:rPr>
          <w:rFonts w:hint="eastAsia" w:ascii="宋体" w:hAnsi="宋体" w:eastAsia="宋体" w:cs="宋体"/>
          <w:b w:val="0"/>
          <w:color w:val="auto"/>
          <w:sz w:val="32"/>
          <w:szCs w:val="32"/>
        </w:rPr>
        <w:fldChar w:fldCharType="end"/>
      </w:r>
    </w:p>
    <w:p w14:paraId="2CB508FE">
      <w:pPr>
        <w:pStyle w:val="12"/>
        <w:tabs>
          <w:tab w:val="right" w:leader="dot" w:pos="8296"/>
        </w:tabs>
        <w:spacing w:line="1000" w:lineRule="exact"/>
        <w:rPr>
          <w:rFonts w:hint="eastAsia" w:ascii="宋体" w:hAnsi="宋体" w:eastAsia="宋体" w:cs="宋体"/>
          <w:b w:val="0"/>
          <w:bCs w:val="0"/>
          <w:caps w:val="0"/>
          <w:color w:val="auto"/>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"_Toc44705270"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第二章 投标人须知前附表</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7</w:t>
      </w:r>
      <w:r>
        <w:rPr>
          <w:rFonts w:hint="eastAsia" w:ascii="宋体" w:hAnsi="宋体" w:eastAsia="宋体" w:cs="宋体"/>
          <w:b w:val="0"/>
          <w:color w:val="auto"/>
          <w:sz w:val="32"/>
          <w:szCs w:val="32"/>
        </w:rPr>
        <w:fldChar w:fldCharType="end"/>
      </w:r>
    </w:p>
    <w:p w14:paraId="63898155">
      <w:pPr>
        <w:pStyle w:val="12"/>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"_Toc44705271"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第三章 投标人须知</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1</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3</w:t>
      </w:r>
    </w:p>
    <w:p w14:paraId="2D3788B2">
      <w:pPr>
        <w:pStyle w:val="12"/>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"_Toc44705272"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 xml:space="preserve">第四章 </w:t>
      </w:r>
      <w:r>
        <w:rPr>
          <w:rStyle w:val="19"/>
          <w:rFonts w:hint="eastAsia" w:ascii="宋体" w:hAnsi="宋体" w:eastAsia="宋体" w:cs="宋体"/>
          <w:b w:val="0"/>
          <w:color w:val="auto"/>
          <w:w w:val="90"/>
          <w:sz w:val="32"/>
          <w:szCs w:val="32"/>
          <w:u w:val="none"/>
          <w:lang w:eastAsia="zh-CN"/>
        </w:rPr>
        <w:t>采购项目需求</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lang w:val="en-US" w:eastAsia="zh-CN"/>
        </w:rPr>
        <w:t>2</w:t>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2</w:t>
      </w:r>
    </w:p>
    <w:p w14:paraId="12AB120A">
      <w:pPr>
        <w:pStyle w:val="12"/>
        <w:tabs>
          <w:tab w:val="right" w:leader="dot" w:pos="8296"/>
        </w:tabs>
        <w:spacing w:line="1000" w:lineRule="exact"/>
        <w:rPr>
          <w:rFonts w:hint="eastAsia"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"_Toc44705273"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第五章 评标方法和标准</w:t>
      </w:r>
      <w:r>
        <w:rPr>
          <w:rFonts w:hint="eastAsia" w:ascii="宋体" w:hAnsi="宋体" w:eastAsia="宋体" w:cs="宋体"/>
          <w:b w:val="0"/>
          <w:color w:val="auto"/>
          <w:sz w:val="32"/>
          <w:szCs w:val="32"/>
        </w:rPr>
        <w:tab/>
      </w:r>
      <w:r>
        <w:rPr>
          <w:rFonts w:hint="eastAsia" w:ascii="宋体" w:hAnsi="宋体" w:cs="宋体"/>
          <w:b w:val="0"/>
          <w:color w:val="auto"/>
          <w:sz w:val="32"/>
          <w:szCs w:val="32"/>
          <w:lang w:val="en-US" w:eastAsia="zh-CN"/>
        </w:rPr>
        <w:t>2</w:t>
      </w:r>
      <w:r>
        <w:rPr>
          <w:rFonts w:hint="eastAsia" w:ascii="宋体" w:hAnsi="宋体" w:eastAsia="宋体" w:cs="宋体"/>
          <w:b w:val="0"/>
          <w:color w:val="auto"/>
          <w:sz w:val="32"/>
          <w:szCs w:val="32"/>
        </w:rPr>
        <w:fldChar w:fldCharType="end"/>
      </w:r>
      <w:r>
        <w:rPr>
          <w:rFonts w:hint="eastAsia" w:ascii="宋体" w:hAnsi="宋体" w:eastAsia="宋体" w:cs="宋体"/>
          <w:b w:val="0"/>
          <w:color w:val="auto"/>
          <w:sz w:val="32"/>
          <w:szCs w:val="32"/>
          <w:lang w:val="en-US" w:eastAsia="zh-CN"/>
        </w:rPr>
        <w:t>4</w:t>
      </w:r>
    </w:p>
    <w:p w14:paraId="421259EC">
      <w:pPr>
        <w:pStyle w:val="12"/>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"_Toc44705274"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第六章 政府采购合同范本</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29</w:t>
      </w:r>
    </w:p>
    <w:p w14:paraId="76A220BC">
      <w:pPr>
        <w:pStyle w:val="12"/>
        <w:tabs>
          <w:tab w:val="right" w:leader="dot" w:pos="8296"/>
        </w:tabs>
        <w:spacing w:line="1000" w:lineRule="exact"/>
        <w:rPr>
          <w:rFonts w:hint="default" w:ascii="宋体" w:hAnsi="宋体" w:eastAsia="宋体" w:cs="宋体"/>
          <w:b w:val="0"/>
          <w:bCs w:val="0"/>
          <w:caps w:val="0"/>
          <w:color w:val="auto"/>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"_Toc44705277" </w:instrText>
      </w:r>
      <w:r>
        <w:rPr>
          <w:rFonts w:hint="eastAsia" w:ascii="宋体" w:hAnsi="宋体" w:eastAsia="宋体" w:cs="宋体"/>
          <w:color w:val="auto"/>
        </w:rPr>
        <w:fldChar w:fldCharType="separate"/>
      </w:r>
      <w:r>
        <w:rPr>
          <w:rStyle w:val="19"/>
          <w:rFonts w:hint="eastAsia" w:ascii="宋体" w:hAnsi="宋体" w:eastAsia="宋体" w:cs="宋体"/>
          <w:b w:val="0"/>
          <w:color w:val="auto"/>
          <w:w w:val="90"/>
          <w:sz w:val="32"/>
          <w:szCs w:val="32"/>
          <w:u w:val="none"/>
        </w:rPr>
        <w:t>第七章 投标文件格式</w:t>
      </w:r>
      <w:r>
        <w:rPr>
          <w:rFonts w:hint="eastAsia" w:ascii="宋体" w:hAnsi="宋体" w:eastAsia="宋体" w:cs="宋体"/>
          <w:b w:val="0"/>
          <w:color w:val="auto"/>
          <w:sz w:val="32"/>
          <w:szCs w:val="32"/>
        </w:rPr>
        <w:tab/>
      </w:r>
      <w:r>
        <w:rPr>
          <w:rFonts w:hint="eastAsia" w:ascii="宋体" w:hAnsi="宋体" w:eastAsia="宋体" w:cs="宋体"/>
          <w:b w:val="0"/>
          <w:color w:val="auto"/>
          <w:sz w:val="32"/>
          <w:szCs w:val="32"/>
        </w:rPr>
        <w:fldChar w:fldCharType="end"/>
      </w:r>
      <w:r>
        <w:rPr>
          <w:rFonts w:hint="eastAsia" w:ascii="宋体" w:hAnsi="宋体" w:cs="宋体"/>
          <w:b w:val="0"/>
          <w:color w:val="auto"/>
          <w:sz w:val="32"/>
          <w:szCs w:val="32"/>
          <w:lang w:val="en-US" w:eastAsia="zh-CN"/>
        </w:rPr>
        <w:t>37</w:t>
      </w:r>
    </w:p>
    <w:p w14:paraId="0F6E5940">
      <w:pPr>
        <w:pStyle w:val="3"/>
        <w:rPr>
          <w:rFonts w:hint="eastAsia" w:ascii="宋体" w:hAnsi="宋体" w:eastAsia="宋体" w:cs="宋体"/>
        </w:rPr>
      </w:pPr>
    </w:p>
    <w:p w14:paraId="510CCAFA">
      <w:pPr>
        <w:pStyle w:val="3"/>
        <w:pageBreakBefore w:val="0"/>
        <w:kinsoku/>
        <w:wordWrap/>
        <w:overflowPunct/>
        <w:topLinePunct w:val="0"/>
        <w:bidi w:val="0"/>
        <w:spacing w:line="400" w:lineRule="exact"/>
        <w:rPr>
          <w:rFonts w:hint="eastAsia" w:ascii="宋体" w:hAnsi="宋体" w:eastAsia="宋体" w:cs="宋体"/>
        </w:rPr>
      </w:pPr>
    </w:p>
    <w:p w14:paraId="3BD1A062">
      <w:pPr>
        <w:pageBreakBefore w:val="0"/>
        <w:widowControl/>
        <w:shd w:val="clear" w:color="auto" w:fill="FFFFFF"/>
        <w:kinsoku/>
        <w:wordWrap/>
        <w:overflowPunct/>
        <w:topLinePunct w:val="0"/>
        <w:bidi w:val="0"/>
        <w:spacing w:line="400" w:lineRule="exact"/>
        <w:jc w:val="both"/>
        <w:rPr>
          <w:rFonts w:hint="eastAsia" w:ascii="宋体" w:hAnsi="宋体" w:eastAsia="宋体" w:cs="宋体"/>
          <w:b/>
          <w:bCs/>
          <w:kern w:val="0"/>
          <w:sz w:val="24"/>
          <w:highlight w:val="none"/>
        </w:rPr>
      </w:pPr>
    </w:p>
    <w:p w14:paraId="59A51DDF">
      <w:pPr>
        <w:pStyle w:val="3"/>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0EFD59EA">
      <w:pPr>
        <w:pStyle w:val="3"/>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7674B8C0">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608AAAAA">
      <w:pPr>
        <w:pStyle w:val="3"/>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7B3261F5">
      <w:pPr>
        <w:rPr>
          <w:rFonts w:hint="eastAsia" w:ascii="宋体" w:hAnsi="宋体" w:eastAsia="宋体" w:cs="宋体"/>
          <w:b/>
          <w:bCs/>
          <w:kern w:val="2"/>
          <w:sz w:val="36"/>
          <w:szCs w:val="36"/>
          <w:lang w:val="en-US" w:eastAsia="zh-CN" w:bidi="ar-SA"/>
        </w:rPr>
      </w:pPr>
    </w:p>
    <w:p w14:paraId="29A2F9FE">
      <w:pPr>
        <w:rPr>
          <w:rFonts w:hint="eastAsia" w:ascii="宋体" w:hAnsi="宋体" w:eastAsia="宋体" w:cs="宋体"/>
          <w:b/>
          <w:bCs/>
          <w:kern w:val="2"/>
          <w:sz w:val="36"/>
          <w:szCs w:val="36"/>
          <w:lang w:val="en-US" w:eastAsia="zh-CN" w:bidi="ar-SA"/>
        </w:rPr>
      </w:pPr>
    </w:p>
    <w:p w14:paraId="7DC92683">
      <w:pPr>
        <w:pStyle w:val="14"/>
        <w:pageBreakBefore w:val="0"/>
        <w:kinsoku/>
        <w:wordWrap/>
        <w:overflowPunct/>
        <w:topLinePunct w:val="0"/>
        <w:bidi w:val="0"/>
        <w:spacing w:beforeAutospacing="0" w:after="0" w:afterAutospacing="0" w:line="400" w:lineRule="exact"/>
        <w:ind w:left="0" w:leftChars="0" w:firstLine="0" w:firstLineChars="0"/>
        <w:jc w:val="both"/>
        <w:rPr>
          <w:rStyle w:val="19"/>
          <w:rFonts w:hint="eastAsia" w:ascii="宋体" w:hAnsi="宋体" w:eastAsia="宋体" w:cs="宋体"/>
          <w:b/>
          <w:bCs/>
          <w:color w:val="auto"/>
          <w:w w:val="90"/>
          <w:sz w:val="36"/>
          <w:szCs w:val="36"/>
          <w:u w:val="none"/>
          <w:lang w:val="en-US" w:eastAsia="zh-CN"/>
        </w:rPr>
      </w:pPr>
    </w:p>
    <w:p w14:paraId="4DEDC7DF">
      <w:pPr>
        <w:rPr>
          <w:rStyle w:val="19"/>
          <w:rFonts w:hint="eastAsia" w:ascii="宋体" w:hAnsi="宋体" w:eastAsia="宋体" w:cs="宋体"/>
          <w:b/>
          <w:bCs/>
          <w:color w:val="auto"/>
          <w:w w:val="90"/>
          <w:sz w:val="36"/>
          <w:szCs w:val="36"/>
          <w:u w:val="none"/>
          <w:lang w:val="en-US" w:eastAsia="zh-CN"/>
        </w:rPr>
      </w:pPr>
    </w:p>
    <w:p w14:paraId="0CE9A8F7">
      <w:pPr>
        <w:pStyle w:val="14"/>
        <w:pageBreakBefore w:val="0"/>
        <w:kinsoku/>
        <w:wordWrap/>
        <w:overflowPunct/>
        <w:topLinePunct w:val="0"/>
        <w:bidi w:val="0"/>
        <w:spacing w:beforeAutospacing="0" w:after="0" w:afterAutospacing="0" w:line="400" w:lineRule="exact"/>
        <w:ind w:left="0" w:leftChars="0" w:firstLine="0" w:firstLineChars="0"/>
        <w:jc w:val="both"/>
        <w:rPr>
          <w:rStyle w:val="19"/>
          <w:rFonts w:hint="eastAsia" w:ascii="宋体" w:hAnsi="宋体" w:eastAsia="宋体" w:cs="宋体"/>
          <w:b/>
          <w:bCs/>
          <w:color w:val="auto"/>
          <w:w w:val="90"/>
          <w:sz w:val="36"/>
          <w:szCs w:val="36"/>
          <w:u w:val="none"/>
          <w:lang w:val="en-US" w:eastAsia="zh-CN"/>
        </w:rPr>
      </w:pPr>
    </w:p>
    <w:p w14:paraId="3A63DB49">
      <w:pPr>
        <w:pStyle w:val="14"/>
        <w:pageBreakBefore w:val="0"/>
        <w:kinsoku/>
        <w:wordWrap/>
        <w:overflowPunct/>
        <w:topLinePunct w:val="0"/>
        <w:bidi w:val="0"/>
        <w:spacing w:beforeAutospacing="0" w:after="0" w:afterAutospacing="0" w:line="400" w:lineRule="exact"/>
        <w:ind w:left="0" w:leftChars="0" w:firstLine="0" w:firstLineChars="0"/>
        <w:jc w:val="both"/>
        <w:rPr>
          <w:rStyle w:val="19"/>
          <w:rFonts w:hint="eastAsia" w:ascii="宋体" w:hAnsi="宋体" w:eastAsia="宋体" w:cs="宋体"/>
          <w:b/>
          <w:bCs/>
          <w:color w:val="auto"/>
          <w:w w:val="90"/>
          <w:sz w:val="36"/>
          <w:szCs w:val="36"/>
          <w:u w:val="none"/>
          <w:lang w:val="en-US" w:eastAsia="zh-CN"/>
        </w:rPr>
      </w:pPr>
    </w:p>
    <w:p w14:paraId="424E9FCD">
      <w:pPr>
        <w:pStyle w:val="14"/>
        <w:pageBreakBefore w:val="0"/>
        <w:kinsoku/>
        <w:wordWrap/>
        <w:overflowPunct/>
        <w:topLinePunct w:val="0"/>
        <w:bidi w:val="0"/>
        <w:spacing w:beforeAutospacing="0" w:after="0" w:afterAutospacing="0" w:line="400" w:lineRule="exact"/>
        <w:ind w:left="0" w:leftChars="0" w:firstLine="0" w:firstLineChars="0"/>
        <w:jc w:val="center"/>
        <w:rPr>
          <w:rFonts w:hint="eastAsia" w:ascii="宋体" w:hAnsi="宋体" w:eastAsia="宋体" w:cs="宋体"/>
          <w:color w:val="000000"/>
          <w:kern w:val="0"/>
          <w:szCs w:val="24"/>
          <w:highlight w:val="none"/>
        </w:rPr>
      </w:pPr>
      <w:r>
        <w:rPr>
          <w:rStyle w:val="19"/>
          <w:rFonts w:hint="eastAsia" w:ascii="宋体" w:hAnsi="宋体" w:eastAsia="宋体" w:cs="宋体"/>
          <w:b/>
          <w:bCs/>
          <w:color w:val="auto"/>
          <w:w w:val="90"/>
          <w:sz w:val="36"/>
          <w:szCs w:val="36"/>
          <w:u w:val="none"/>
          <w:lang w:val="en-US" w:eastAsia="zh-CN"/>
        </w:rPr>
        <w:t>第一章 招标公告</w:t>
      </w:r>
    </w:p>
    <w:p w14:paraId="488DFA05">
      <w:pPr>
        <w:pStyle w:val="7"/>
        <w:numPr>
          <w:ilvl w:val="0"/>
          <w:numId w:val="0"/>
        </w:numPr>
        <w:ind w:firstLine="723" w:firstLineChars="200"/>
        <w:jc w:val="center"/>
        <w:rPr>
          <w:rFonts w:hint="eastAsia" w:ascii="仿宋" w:hAnsi="仿宋" w:eastAsia="仿宋" w:cs="仿宋"/>
          <w:b/>
          <w:bCs/>
          <w:color w:val="000000"/>
          <w:kern w:val="0"/>
          <w:sz w:val="36"/>
          <w:szCs w:val="36"/>
          <w:lang w:val="en-US" w:eastAsia="zh-CN" w:bidi="ar"/>
        </w:rPr>
      </w:pPr>
      <w:r>
        <w:rPr>
          <w:rFonts w:hint="eastAsia" w:ascii="仿宋" w:hAnsi="仿宋" w:eastAsia="仿宋" w:cs="仿宋"/>
          <w:b/>
          <w:bCs/>
          <w:color w:val="000000"/>
          <w:kern w:val="0"/>
          <w:sz w:val="36"/>
          <w:szCs w:val="36"/>
          <w:lang w:val="en-US" w:eastAsia="zh-CN" w:bidi="ar"/>
        </w:rPr>
        <w:t>吐鲁番市2025年固定资产投资项目节能审查及综合服务项目公开招标公告</w:t>
      </w:r>
    </w:p>
    <w:p w14:paraId="5BAF45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项目概况</w:t>
      </w:r>
    </w:p>
    <w:p w14:paraId="79DEECD4">
      <w:pPr>
        <w:pStyle w:val="7"/>
        <w:numPr>
          <w:ilvl w:val="0"/>
          <w:numId w:val="0"/>
        </w:numPr>
        <w:ind w:firstLine="560" w:firstLineChars="200"/>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lang w:val="en-US" w:eastAsia="zh-CN"/>
        </w:rPr>
        <w:t>吐鲁番市2025年固定资产投资项目节能审查及综合服务项目</w:t>
      </w:r>
      <w:r>
        <w:rPr>
          <w:rFonts w:hint="eastAsia" w:ascii="仿宋" w:hAnsi="仿宋" w:eastAsia="仿宋" w:cs="仿宋"/>
          <w:i w:val="0"/>
          <w:iCs w:val="0"/>
          <w:caps w:val="0"/>
          <w:color w:val="auto"/>
          <w:spacing w:val="0"/>
          <w:sz w:val="28"/>
          <w:szCs w:val="28"/>
        </w:rPr>
        <w:t>的潜在投标人应在政采云平台线上获取招标文件，并于202</w:t>
      </w:r>
      <w:r>
        <w:rPr>
          <w:rFonts w:hint="eastAsia" w:ascii="仿宋" w:hAnsi="仿宋" w:eastAsia="仿宋" w:cs="仿宋"/>
          <w:i w:val="0"/>
          <w:iCs w:val="0"/>
          <w:caps w:val="0"/>
          <w:color w:val="auto"/>
          <w:spacing w:val="0"/>
          <w:sz w:val="28"/>
          <w:szCs w:val="28"/>
          <w:lang w:val="en-US" w:eastAsia="zh-CN"/>
        </w:rPr>
        <w:t>4</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04</w:t>
      </w:r>
      <w:r>
        <w:rPr>
          <w:rFonts w:hint="eastAsia" w:ascii="仿宋" w:hAnsi="仿宋" w:eastAsia="仿宋" w:cs="仿宋"/>
          <w:i w:val="0"/>
          <w:iCs w:val="0"/>
          <w:caps w:val="0"/>
          <w:color w:val="auto"/>
          <w:spacing w:val="0"/>
          <w:sz w:val="28"/>
          <w:szCs w:val="28"/>
        </w:rPr>
        <w:t>日1</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0（北京时间）前递交投标文件。</w:t>
      </w:r>
    </w:p>
    <w:p w14:paraId="76267C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000000"/>
          <w:sz w:val="28"/>
          <w:szCs w:val="28"/>
        </w:rPr>
      </w:pPr>
      <w:r>
        <w:rPr>
          <w:rStyle w:val="18"/>
          <w:rFonts w:hint="eastAsia" w:ascii="仿宋" w:hAnsi="仿宋" w:eastAsia="仿宋" w:cs="仿宋"/>
          <w:b/>
          <w:bCs/>
          <w:i w:val="0"/>
          <w:iCs w:val="0"/>
          <w:caps w:val="0"/>
          <w:color w:val="000000"/>
          <w:spacing w:val="0"/>
          <w:sz w:val="28"/>
          <w:szCs w:val="28"/>
        </w:rPr>
        <w:t>一、项目基本情况</w:t>
      </w:r>
    </w:p>
    <w:p w14:paraId="7B1DECCF">
      <w:pPr>
        <w:pStyle w:val="13"/>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highlight w:val="none"/>
          <w:lang w:val="en-US" w:eastAsia="zh-CN"/>
        </w:rPr>
        <w:t>项目编号：HYZB2025-(Z)24</w:t>
      </w:r>
    </w:p>
    <w:p w14:paraId="5B908BBB">
      <w:pPr>
        <w:pStyle w:val="13"/>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项目名称：吐鲁番市2025年固定资产投资项目节能审查及综合服务项目</w:t>
      </w:r>
    </w:p>
    <w:p w14:paraId="559DC5F3">
      <w:pPr>
        <w:pStyle w:val="13"/>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采购方式：公开招标</w:t>
      </w:r>
    </w:p>
    <w:p w14:paraId="194CF6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default"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sz w:val="28"/>
          <w:szCs w:val="28"/>
          <w:lang w:val="en-US" w:eastAsia="zh-CN"/>
        </w:rPr>
        <w:t>预算金额（元</w:t>
      </w:r>
      <w:r>
        <w:rPr>
          <w:rFonts w:hint="eastAsia" w:ascii="仿宋" w:hAnsi="仿宋" w:eastAsia="仿宋" w:cs="仿宋"/>
          <w:i w:val="0"/>
          <w:iCs w:val="0"/>
          <w:caps w:val="0"/>
          <w:color w:val="auto"/>
          <w:spacing w:val="0"/>
          <w:kern w:val="0"/>
          <w:sz w:val="28"/>
          <w:szCs w:val="28"/>
          <w:lang w:val="en-US" w:eastAsia="zh-CN" w:bidi="ar-SA"/>
        </w:rPr>
        <w:t>）：949800.00</w:t>
      </w:r>
    </w:p>
    <w:p w14:paraId="5A0DB0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最高限价（元）：949800.00</w:t>
      </w:r>
    </w:p>
    <w:p w14:paraId="632FB6A7">
      <w:pPr>
        <w:pStyle w:val="13"/>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采购需求：</w:t>
      </w:r>
    </w:p>
    <w:p w14:paraId="5F68D3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280" w:firstLineChars="10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标项名称:吐鲁番市2025年固定资产投资项目节能审查及综合服务项目</w:t>
      </w:r>
    </w:p>
    <w:p w14:paraId="4A762E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数量:1</w:t>
      </w:r>
    </w:p>
    <w:p w14:paraId="7C06372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预算金额（元）:</w:t>
      </w:r>
      <w:r>
        <w:rPr>
          <w:rFonts w:hint="eastAsia" w:ascii="仿宋" w:hAnsi="仿宋" w:eastAsia="仿宋" w:cs="仿宋"/>
          <w:i w:val="0"/>
          <w:iCs w:val="0"/>
          <w:caps w:val="0"/>
          <w:color w:val="auto"/>
          <w:spacing w:val="0"/>
          <w:kern w:val="0"/>
          <w:sz w:val="28"/>
          <w:szCs w:val="28"/>
          <w:lang w:val="en-US" w:eastAsia="zh-CN" w:bidi="ar-SA"/>
        </w:rPr>
        <w:t>949800.00</w:t>
      </w:r>
    </w:p>
    <w:p w14:paraId="04C25D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简要规格描述或项目基本概况介绍、用途：采购咨询服务机构为我市固定资产投资项目节能审查、“两高”论证、节能监察、节能宣传培训提供技术支撑、咨询服务.。（具体内容详见招标文件）</w:t>
      </w:r>
    </w:p>
    <w:p w14:paraId="653104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auto"/>
          <w:spacing w:val="0"/>
          <w:sz w:val="28"/>
          <w:szCs w:val="28"/>
          <w:lang w:val="en-US" w:eastAsia="zh-CN"/>
        </w:rPr>
        <w:t>备注：</w:t>
      </w:r>
    </w:p>
    <w:p w14:paraId="5BA55CA1">
      <w:pPr>
        <w:spacing w:before="46" w:line="398" w:lineRule="auto"/>
        <w:ind w:left="19" w:right="3352" w:hanging="5"/>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合同履约期限：标</w:t>
      </w:r>
      <w:r>
        <w:rPr>
          <w:rFonts w:hint="eastAsia" w:ascii="仿宋" w:hAnsi="仿宋" w:eastAsia="仿宋" w:cs="仿宋"/>
          <w:i w:val="0"/>
          <w:iCs w:val="0"/>
          <w:caps w:val="0"/>
          <w:color w:val="000000" w:themeColor="text1"/>
          <w:spacing w:val="0"/>
          <w:sz w:val="28"/>
          <w:szCs w:val="28"/>
          <w:highlight w:val="none"/>
          <w:lang w:val="en-US" w:eastAsia="zh-CN"/>
          <w14:textFill>
            <w14:solidFill>
              <w14:schemeClr w14:val="tx1"/>
            </w14:solidFill>
          </w14:textFill>
        </w:rPr>
        <w:t>项 1，1年。</w:t>
      </w:r>
    </w:p>
    <w:p w14:paraId="0E49C5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280" w:firstLineChars="10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本项目（否）接受联合体投标。</w:t>
      </w:r>
    </w:p>
    <w:p w14:paraId="61EB3C7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color w:val="auto"/>
          <w:sz w:val="28"/>
          <w:szCs w:val="28"/>
        </w:rPr>
      </w:pPr>
      <w:r>
        <w:rPr>
          <w:rStyle w:val="18"/>
          <w:rFonts w:hint="eastAsia" w:ascii="仿宋" w:hAnsi="仿宋" w:eastAsia="仿宋" w:cs="仿宋"/>
          <w:b/>
          <w:bCs/>
          <w:i w:val="0"/>
          <w:iCs w:val="0"/>
          <w:caps w:val="0"/>
          <w:color w:val="auto"/>
          <w:spacing w:val="0"/>
          <w:sz w:val="28"/>
          <w:szCs w:val="28"/>
        </w:rPr>
        <w:t>二、申请人的资格要求：</w:t>
      </w:r>
    </w:p>
    <w:p w14:paraId="64E714B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1.满足《中华人民共和国政府采购法》第二十二条规定；</w:t>
      </w:r>
    </w:p>
    <w:p w14:paraId="1115D4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2.落实政府采购政策需满足的资格要求：标</w:t>
      </w:r>
      <w:r>
        <w:rPr>
          <w:rFonts w:hint="eastAsia" w:ascii="仿宋" w:hAnsi="仿宋" w:eastAsia="仿宋" w:cs="仿宋"/>
          <w:i w:val="0"/>
          <w:iCs w:val="0"/>
          <w:caps w:val="0"/>
          <w:color w:val="auto"/>
          <w:spacing w:val="0"/>
          <w:kern w:val="0"/>
          <w:sz w:val="28"/>
          <w:szCs w:val="28"/>
          <w:highlight w:val="none"/>
          <w:lang w:val="en-US" w:eastAsia="zh-CN" w:bidi="ar-SA"/>
        </w:rPr>
        <w:t>项1：</w:t>
      </w:r>
      <w:r>
        <w:rPr>
          <w:rFonts w:ascii="仿宋" w:hAnsi="仿宋" w:eastAsia="仿宋" w:cs="仿宋"/>
          <w:spacing w:val="-2"/>
          <w:sz w:val="28"/>
          <w:szCs w:val="28"/>
          <w:highlight w:val="none"/>
        </w:rPr>
        <w:t>专门面向</w:t>
      </w:r>
      <w:r>
        <w:rPr>
          <w:rFonts w:hint="eastAsia" w:ascii="仿宋" w:hAnsi="仿宋" w:eastAsia="仿宋" w:cs="仿宋"/>
          <w:spacing w:val="-2"/>
          <w:sz w:val="28"/>
          <w:szCs w:val="28"/>
          <w:highlight w:val="none"/>
          <w:lang w:val="en-US" w:eastAsia="zh-CN"/>
        </w:rPr>
        <w:t>中小</w:t>
      </w:r>
      <w:r>
        <w:rPr>
          <w:rFonts w:ascii="仿宋" w:hAnsi="仿宋" w:eastAsia="仿宋" w:cs="仿宋"/>
          <w:spacing w:val="-2"/>
          <w:sz w:val="28"/>
          <w:szCs w:val="28"/>
          <w:highlight w:val="none"/>
        </w:rPr>
        <w:t>企业</w:t>
      </w:r>
      <w:r>
        <w:rPr>
          <w:rFonts w:hint="eastAsia" w:ascii="仿宋" w:hAnsi="仿宋" w:eastAsia="仿宋" w:cs="仿宋"/>
          <w:i w:val="0"/>
          <w:iCs w:val="0"/>
          <w:caps w:val="0"/>
          <w:color w:val="auto"/>
          <w:spacing w:val="0"/>
          <w:kern w:val="0"/>
          <w:sz w:val="28"/>
          <w:szCs w:val="28"/>
          <w:highlight w:val="none"/>
          <w:lang w:val="en-US" w:eastAsia="zh-CN" w:bidi="ar-SA"/>
        </w:rPr>
        <w:t>；</w:t>
      </w:r>
    </w:p>
    <w:p w14:paraId="27540B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w:t>
      </w:r>
      <w:r>
        <w:rPr>
          <w:rFonts w:ascii="仿宋" w:hAnsi="仿宋" w:eastAsia="仿宋" w:cs="仿宋"/>
          <w:i w:val="0"/>
          <w:iCs w:val="0"/>
          <w:caps w:val="0"/>
          <w:color w:val="000000"/>
          <w:spacing w:val="0"/>
          <w:sz w:val="27"/>
          <w:szCs w:val="27"/>
        </w:rPr>
        <w:t>本项目的特定资格要求：</w:t>
      </w:r>
      <w:r>
        <w:rPr>
          <w:rFonts w:hint="eastAsia" w:ascii="仿宋" w:hAnsi="仿宋" w:eastAsia="仿宋" w:cs="仿宋"/>
          <w:i w:val="0"/>
          <w:iCs w:val="0"/>
          <w:caps w:val="0"/>
          <w:color w:val="000000"/>
          <w:spacing w:val="0"/>
          <w:sz w:val="27"/>
          <w:szCs w:val="27"/>
          <w:lang w:val="en-US" w:eastAsia="zh-CN"/>
        </w:rPr>
        <w:t>无</w:t>
      </w:r>
    </w:p>
    <w:p w14:paraId="50CA8B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000000"/>
          <w:sz w:val="28"/>
          <w:szCs w:val="28"/>
        </w:rPr>
      </w:pPr>
      <w:r>
        <w:rPr>
          <w:rStyle w:val="18"/>
          <w:rFonts w:hint="eastAsia" w:ascii="仿宋" w:hAnsi="仿宋" w:eastAsia="仿宋" w:cs="仿宋"/>
          <w:b/>
          <w:bCs/>
          <w:i w:val="0"/>
          <w:iCs w:val="0"/>
          <w:caps w:val="0"/>
          <w:color w:val="000000"/>
          <w:spacing w:val="0"/>
          <w:sz w:val="28"/>
          <w:szCs w:val="28"/>
        </w:rPr>
        <w:t>三、获取招标文件</w:t>
      </w:r>
    </w:p>
    <w:p w14:paraId="33D63C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rPr>
        <w:t>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r>
        <w:rPr>
          <w:rFonts w:hint="eastAsia" w:ascii="仿宋" w:hAnsi="仿宋" w:eastAsia="仿宋" w:cs="仿宋"/>
          <w:i w:val="0"/>
          <w:iCs w:val="0"/>
          <w:caps w:val="0"/>
          <w:color w:val="auto"/>
          <w:spacing w:val="0"/>
          <w:sz w:val="28"/>
          <w:szCs w:val="28"/>
        </w:rPr>
        <w:t>，每天上午</w:t>
      </w:r>
      <w:r>
        <w:rPr>
          <w:rFonts w:hint="eastAsia" w:ascii="仿宋" w:hAnsi="仿宋" w:eastAsia="仿宋" w:cs="仿宋"/>
          <w:i w:val="0"/>
          <w:iCs w:val="0"/>
          <w:caps w:val="0"/>
          <w:color w:val="auto"/>
          <w:spacing w:val="0"/>
          <w:sz w:val="28"/>
          <w:szCs w:val="28"/>
          <w:lang w:val="en-US" w:eastAsia="zh-CN"/>
        </w:rPr>
        <w:t>09</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0至1</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0，下午1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:30至</w:t>
      </w:r>
      <w:r>
        <w:rPr>
          <w:rFonts w:hint="eastAsia" w:ascii="仿宋" w:hAnsi="仿宋" w:eastAsia="仿宋" w:cs="仿宋"/>
          <w:i w:val="0"/>
          <w:iCs w:val="0"/>
          <w:caps w:val="0"/>
          <w:color w:val="auto"/>
          <w:spacing w:val="0"/>
          <w:sz w:val="28"/>
          <w:szCs w:val="28"/>
          <w:lang w:val="en-US" w:eastAsia="zh-CN"/>
        </w:rPr>
        <w:t>20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0（北京时间，法定节假日除外）</w:t>
      </w:r>
    </w:p>
    <w:p w14:paraId="6EAB87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地点：政采云平台线上</w:t>
      </w:r>
      <w:r>
        <w:rPr>
          <w:rFonts w:hint="eastAsia" w:ascii="仿宋" w:hAnsi="仿宋" w:eastAsia="仿宋" w:cs="仿宋"/>
          <w:i w:val="0"/>
          <w:iCs w:val="0"/>
          <w:caps w:val="0"/>
          <w:color w:val="auto"/>
          <w:spacing w:val="0"/>
          <w:sz w:val="28"/>
          <w:szCs w:val="28"/>
          <w:lang w:val="en-US" w:eastAsia="zh-CN"/>
        </w:rPr>
        <w:t>获取</w:t>
      </w:r>
    </w:p>
    <w:p w14:paraId="65BD4F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方式：供应商登录政采云平台https://www.zcygov.cn/在线申请获取采购文件（进入“项目采购”应用，在获取采购文件菜单中选择项目，申请获取采购文件）  </w:t>
      </w:r>
    </w:p>
    <w:p w14:paraId="0C590B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售价（元）：0</w:t>
      </w:r>
    </w:p>
    <w:p w14:paraId="2EE7BA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auto"/>
          <w:sz w:val="28"/>
          <w:szCs w:val="28"/>
        </w:rPr>
      </w:pPr>
      <w:r>
        <w:rPr>
          <w:rStyle w:val="18"/>
          <w:rFonts w:hint="eastAsia" w:ascii="仿宋" w:hAnsi="仿宋" w:eastAsia="仿宋" w:cs="仿宋"/>
          <w:b/>
          <w:bCs/>
          <w:i w:val="0"/>
          <w:iCs w:val="0"/>
          <w:caps w:val="0"/>
          <w:color w:val="auto"/>
          <w:spacing w:val="0"/>
          <w:sz w:val="28"/>
          <w:szCs w:val="28"/>
        </w:rPr>
        <w:t>四、提交投标文件截止时间、开标时间和地点</w:t>
      </w:r>
    </w:p>
    <w:p w14:paraId="6FC6B8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提交投标文件截止时间：202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04</w:t>
      </w:r>
      <w:r>
        <w:rPr>
          <w:rFonts w:hint="eastAsia" w:ascii="仿宋" w:hAnsi="仿宋" w:eastAsia="仿宋" w:cs="仿宋"/>
          <w:i w:val="0"/>
          <w:iCs w:val="0"/>
          <w:caps w:val="0"/>
          <w:color w:val="auto"/>
          <w:spacing w:val="0"/>
          <w:sz w:val="28"/>
          <w:szCs w:val="28"/>
        </w:rPr>
        <w:t>日1</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w:t>
      </w:r>
    </w:p>
    <w:p w14:paraId="227C915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投标地点：将响应文件上传至政采云平台https://www.zcygov.cn/对应位置（逾期未上传的或不符合规定的响应文件将被拒绝接收）。   </w:t>
      </w:r>
    </w:p>
    <w:p w14:paraId="3E4D0E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开标时间：202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04</w:t>
      </w:r>
      <w:r>
        <w:rPr>
          <w:rFonts w:hint="eastAsia" w:ascii="仿宋" w:hAnsi="仿宋" w:eastAsia="仿宋" w:cs="仿宋"/>
          <w:i w:val="0"/>
          <w:iCs w:val="0"/>
          <w:caps w:val="0"/>
          <w:color w:val="auto"/>
          <w:spacing w:val="0"/>
          <w:sz w:val="28"/>
          <w:szCs w:val="28"/>
        </w:rPr>
        <w:t>日1</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w:t>
      </w:r>
    </w:p>
    <w:p w14:paraId="111F84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开标地点：政采云网上不见面开标系统。      </w:t>
      </w:r>
    </w:p>
    <w:p w14:paraId="284AAB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auto"/>
          <w:sz w:val="28"/>
          <w:szCs w:val="28"/>
        </w:rPr>
      </w:pPr>
      <w:r>
        <w:rPr>
          <w:rStyle w:val="18"/>
          <w:rFonts w:hint="eastAsia" w:ascii="仿宋" w:hAnsi="仿宋" w:eastAsia="仿宋" w:cs="仿宋"/>
          <w:b/>
          <w:bCs/>
          <w:i w:val="0"/>
          <w:iCs w:val="0"/>
          <w:caps w:val="0"/>
          <w:color w:val="auto"/>
          <w:spacing w:val="0"/>
          <w:sz w:val="28"/>
          <w:szCs w:val="28"/>
        </w:rPr>
        <w:t>五、公告期限</w:t>
      </w:r>
    </w:p>
    <w:p w14:paraId="3E6B23F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自本公告发布之日起5个工作日。</w:t>
      </w:r>
    </w:p>
    <w:p w14:paraId="12AA20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sz w:val="28"/>
          <w:szCs w:val="28"/>
        </w:rPr>
      </w:pPr>
      <w:r>
        <w:rPr>
          <w:rStyle w:val="18"/>
          <w:rFonts w:hint="eastAsia" w:ascii="仿宋" w:hAnsi="仿宋" w:eastAsia="仿宋" w:cs="仿宋"/>
          <w:b/>
          <w:bCs/>
          <w:i w:val="0"/>
          <w:iCs w:val="0"/>
          <w:caps w:val="0"/>
          <w:spacing w:val="0"/>
          <w:sz w:val="28"/>
          <w:szCs w:val="28"/>
        </w:rPr>
        <w:t>六、其他补充事宜</w:t>
      </w:r>
    </w:p>
    <w:p w14:paraId="5862E6AA">
      <w:pPr>
        <w:pStyle w:val="13"/>
        <w:keepNext w:val="0"/>
        <w:keepLines w:val="0"/>
        <w:widowControl/>
        <w:suppressLineNumbers w:val="0"/>
        <w:wordWrap w:val="0"/>
        <w:spacing w:before="75" w:beforeAutospacing="0" w:after="75" w:afterAutospacing="0" w:line="315" w:lineRule="atLeast"/>
        <w:ind w:left="0" w:right="0" w:firstLine="270" w:firstLineChars="100"/>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27"/>
          <w:szCs w:val="27"/>
        </w:rPr>
        <w:t>1、本项目实行网上投标，采用电子投标文件。</w:t>
      </w:r>
    </w:p>
    <w:p w14:paraId="7AEA2903">
      <w:pPr>
        <w:pStyle w:val="13"/>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5417148C">
      <w:pPr>
        <w:pStyle w:val="13"/>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3、供应商将政采云电子交易客户端下载、安装完成后，可通过账号密码或CA登录客户端进行投标文件的制作。在使用政采云投标客户端时，建议使用WIN7及以上操作系统。</w:t>
      </w:r>
    </w:p>
    <w:p w14:paraId="3D04CD24">
      <w:pPr>
        <w:pStyle w:val="13"/>
        <w:keepNext w:val="0"/>
        <w:keepLines w:val="0"/>
        <w:widowControl/>
        <w:suppressLineNumbers w:val="0"/>
        <w:wordWrap w:val="0"/>
        <w:spacing w:before="75" w:beforeAutospacing="0" w:after="75" w:afterAutospacing="0"/>
        <w:ind w:left="0" w:right="0" w:firstLine="0"/>
        <w:rPr>
          <w:rFonts w:hint="eastAsia" w:ascii="仿宋" w:hAnsi="仿宋" w:eastAsia="仿宋" w:cs="仿宋"/>
          <w:i w:val="0"/>
          <w:iCs w:val="0"/>
          <w:caps w:val="0"/>
          <w:spacing w:val="0"/>
          <w:sz w:val="28"/>
          <w:szCs w:val="28"/>
        </w:rPr>
      </w:pPr>
      <w:r>
        <w:rPr>
          <w:rFonts w:hint="eastAsia" w:ascii="仿宋" w:hAnsi="仿宋" w:eastAsia="仿宋" w:cs="仿宋"/>
          <w:i w:val="0"/>
          <w:iCs w:val="0"/>
          <w:caps w:val="0"/>
          <w:color w:val="000000"/>
          <w:spacing w:val="0"/>
          <w:sz w:val="27"/>
          <w:szCs w:val="27"/>
        </w:rPr>
        <w:t>    4、其他事项：/ </w:t>
      </w:r>
    </w:p>
    <w:p w14:paraId="33283D54">
      <w:pPr>
        <w:pStyle w:val="13"/>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特别提示：</w:t>
      </w:r>
    </w:p>
    <w:p w14:paraId="4F1F04A1">
      <w:pPr>
        <w:pStyle w:val="13"/>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045BA08E">
      <w:pPr>
        <w:pStyle w:val="13"/>
        <w:keepNext w:val="0"/>
        <w:keepLines w:val="0"/>
        <w:pageBreakBefore w:val="0"/>
        <w:widowControl/>
        <w:suppressLineNumbers w:val="0"/>
        <w:kinsoku/>
        <w:wordWrap w:val="0"/>
        <w:overflowPunct/>
        <w:topLinePunct w:val="0"/>
        <w:autoSpaceDE/>
        <w:autoSpaceDN/>
        <w:bidi w:val="0"/>
        <w:adjustRightInd w:val="0"/>
        <w:snapToGrid w:val="0"/>
        <w:spacing w:line="340" w:lineRule="exact"/>
        <w:ind w:left="0" w:firstLine="0"/>
        <w:textAlignment w:val="auto"/>
        <w:rPr>
          <w:rFonts w:hint="default" w:ascii="仿宋" w:hAnsi="仿宋" w:eastAsia="仿宋" w:cs="仿宋"/>
          <w:i w:val="0"/>
          <w:iCs w:val="0"/>
          <w:caps w:val="0"/>
          <w:spacing w:val="0"/>
          <w:sz w:val="28"/>
          <w:szCs w:val="28"/>
          <w:lang w:val="en-US" w:eastAsia="zh-CN"/>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w:t>
      </w:r>
    </w:p>
    <w:p w14:paraId="23ADBD78">
      <w:pPr>
        <w:pStyle w:val="13"/>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60%</w:t>
      </w:r>
      <w:r>
        <w:rPr>
          <w:rFonts w:hint="eastAsia" w:ascii="仿宋" w:hAnsi="仿宋" w:eastAsia="仿宋" w:cs="仿宋"/>
          <w:i w:val="0"/>
          <w:iCs w:val="0"/>
          <w:caps w:val="0"/>
          <w:spacing w:val="0"/>
          <w:sz w:val="28"/>
          <w:szCs w:val="28"/>
          <w:lang w:eastAsia="zh-CN"/>
        </w:rPr>
        <w:t>。</w:t>
      </w:r>
    </w:p>
    <w:p w14:paraId="2CFCAC42">
      <w:pPr>
        <w:pStyle w:val="13"/>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5953BB35">
      <w:pPr>
        <w:pStyle w:val="13"/>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132D42D">
      <w:pPr>
        <w:pStyle w:val="13"/>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DFDD6A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sz w:val="28"/>
          <w:szCs w:val="28"/>
        </w:rPr>
      </w:pPr>
      <w:r>
        <w:rPr>
          <w:rStyle w:val="18"/>
          <w:rFonts w:hint="eastAsia" w:ascii="仿宋" w:hAnsi="仿宋" w:eastAsia="仿宋" w:cs="仿宋"/>
          <w:b/>
          <w:bCs/>
          <w:i w:val="0"/>
          <w:iCs w:val="0"/>
          <w:caps w:val="0"/>
          <w:spacing w:val="0"/>
          <w:sz w:val="28"/>
          <w:szCs w:val="28"/>
        </w:rPr>
        <w:t>七、对本次采购提出询问，请按以下方式联系</w:t>
      </w:r>
    </w:p>
    <w:p w14:paraId="470F55D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1.采购人信息</w:t>
      </w:r>
    </w:p>
    <w:p w14:paraId="301204BE">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：吐鲁番市发展和改革委员会 </w:t>
      </w:r>
    </w:p>
    <w:p w14:paraId="0FDD20BC">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w:t>
      </w:r>
      <w:r>
        <w:rPr>
          <w:rFonts w:hint="eastAsia" w:ascii="仿宋" w:hAnsi="仿宋" w:eastAsia="仿宋" w:cs="仿宋"/>
          <w:i w:val="0"/>
          <w:iCs w:val="0"/>
          <w:caps w:val="0"/>
          <w:color w:val="000000"/>
          <w:spacing w:val="0"/>
          <w:sz w:val="28"/>
          <w:szCs w:val="28"/>
          <w:lang w:eastAsia="zh-CN"/>
        </w:rPr>
        <w:t>吐鲁番市绿洲东路 495 号</w:t>
      </w:r>
    </w:p>
    <w:p w14:paraId="2EEB0DED">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：0995-8522069</w:t>
      </w:r>
    </w:p>
    <w:p w14:paraId="658F8780">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0F911209">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eastAsia="zh-CN"/>
        </w:rPr>
        <w:t>新疆华域天恒工程管理有限公司</w:t>
      </w:r>
    </w:p>
    <w:p w14:paraId="613F75DF">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 </w:t>
      </w:r>
    </w:p>
    <w:p w14:paraId="02B1C5F5">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13699902201</w:t>
      </w:r>
    </w:p>
    <w:p w14:paraId="0EE55F29">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1D048604">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项目联系人：</w:t>
      </w:r>
      <w:r>
        <w:rPr>
          <w:rFonts w:hint="eastAsia" w:ascii="仿宋" w:hAnsi="仿宋" w:eastAsia="仿宋" w:cs="仿宋"/>
          <w:i w:val="0"/>
          <w:iCs w:val="0"/>
          <w:caps w:val="0"/>
          <w:color w:val="000000"/>
          <w:spacing w:val="0"/>
          <w:sz w:val="28"/>
          <w:szCs w:val="28"/>
          <w:lang w:val="en-US" w:eastAsia="zh-CN"/>
        </w:rPr>
        <w:t>张莉</w:t>
      </w:r>
    </w:p>
    <w:p w14:paraId="2B7F75BF">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lang w:val="en-US" w:eastAsia="zh-CN"/>
        </w:rPr>
        <w:t>13699902201</w:t>
      </w:r>
    </w:p>
    <w:p w14:paraId="4A239F64">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07</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11</w:t>
      </w:r>
      <w:r>
        <w:rPr>
          <w:rFonts w:hint="eastAsia" w:ascii="仿宋" w:hAnsi="仿宋" w:eastAsia="仿宋" w:cs="仿宋"/>
          <w:i w:val="0"/>
          <w:iCs w:val="0"/>
          <w:caps w:val="0"/>
          <w:color w:val="000000"/>
          <w:spacing w:val="0"/>
          <w:sz w:val="28"/>
          <w:szCs w:val="28"/>
        </w:rPr>
        <w:t>日</w:t>
      </w:r>
    </w:p>
    <w:p w14:paraId="777F4821">
      <w:pPr>
        <w:keepNext w:val="0"/>
        <w:keepLines w:val="0"/>
        <w:pageBreakBefore w:val="0"/>
        <w:widowControl/>
        <w:wordWrap/>
        <w:overflowPunct/>
        <w:topLinePunct w:val="0"/>
        <w:bidi w:val="0"/>
        <w:spacing w:beforeAutospacing="0" w:afterAutospacing="0" w:line="400" w:lineRule="exact"/>
        <w:rPr>
          <w:rFonts w:ascii="Times New Roman" w:hAnsi="Times New Roman" w:eastAsia="Times New Roman" w:cs="Times New Roman"/>
          <w:sz w:val="28"/>
          <w:szCs w:val="28"/>
        </w:rPr>
        <w:sectPr>
          <w:footerReference r:id="rId10" w:type="default"/>
          <w:pgSz w:w="11906" w:h="16839"/>
          <w:pgMar w:top="1571" w:right="1785" w:bottom="1748" w:left="1085" w:header="113" w:footer="1304" w:gutter="0"/>
          <w:pgNumType w:fmt="decimal" w:start="1"/>
          <w:cols w:space="720" w:num="1"/>
        </w:sectPr>
      </w:pPr>
    </w:p>
    <w:p w14:paraId="2F75B761">
      <w:pPr>
        <w:pStyle w:val="7"/>
        <w:spacing w:before="87" w:line="219" w:lineRule="auto"/>
        <w:ind w:left="3537"/>
        <w:outlineLvl w:val="0"/>
        <w:rPr>
          <w:rFonts w:hint="eastAsia" w:eastAsia="宋体"/>
          <w:lang w:eastAsia="zh-CN"/>
        </w:rPr>
      </w:pPr>
      <w:r>
        <w:rPr>
          <w:b/>
          <w:bCs/>
          <w:spacing w:val="-3"/>
        </w:rPr>
        <w:t>第二章</w:t>
      </w:r>
      <w:r>
        <w:rPr>
          <w:spacing w:val="-3"/>
        </w:rPr>
        <w:t xml:space="preserve"> </w:t>
      </w:r>
      <w:r>
        <w:rPr>
          <w:rFonts w:hint="eastAsia"/>
          <w:b/>
          <w:bCs/>
          <w:spacing w:val="-3"/>
          <w:lang w:eastAsia="zh-CN"/>
        </w:rPr>
        <w:t>投标人须知前附表</w:t>
      </w:r>
    </w:p>
    <w:p w14:paraId="60F81F6A">
      <w:pPr>
        <w:pStyle w:val="7"/>
        <w:spacing w:before="68" w:line="219" w:lineRule="auto"/>
        <w:jc w:val="center"/>
        <w:rPr>
          <w:rFonts w:hint="eastAsia"/>
          <w:spacing w:val="-2"/>
          <w:lang w:val="en-US" w:eastAsia="zh-CN"/>
        </w:rPr>
      </w:pPr>
    </w:p>
    <w:tbl>
      <w:tblPr>
        <w:tblStyle w:val="16"/>
        <w:tblW w:w="101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619"/>
        <w:gridCol w:w="8032"/>
      </w:tblGrid>
      <w:tr w14:paraId="642E6B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14:paraId="3E4236C2">
            <w:pPr>
              <w:pStyle w:val="22"/>
              <w:keepNext w:val="0"/>
              <w:keepLines w:val="0"/>
              <w:pageBreakBefore w:val="0"/>
              <w:kinsoku/>
              <w:wordWrap/>
              <w:topLinePunct w:val="0"/>
              <w:bidi w:val="0"/>
              <w:spacing w:line="400" w:lineRule="exact"/>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619" w:type="dxa"/>
            <w:noWrap w:val="0"/>
            <w:vAlign w:val="center"/>
          </w:tcPr>
          <w:p w14:paraId="4239C6FB">
            <w:pPr>
              <w:pStyle w:val="22"/>
              <w:keepNext w:val="0"/>
              <w:keepLines w:val="0"/>
              <w:pageBreakBefore w:val="0"/>
              <w:kinsoku/>
              <w:wordWrap/>
              <w:topLinePunct w:val="0"/>
              <w:bidi w:val="0"/>
              <w:spacing w:line="4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8032" w:type="dxa"/>
            <w:noWrap w:val="0"/>
            <w:vAlign w:val="center"/>
          </w:tcPr>
          <w:p w14:paraId="2EF00640">
            <w:pPr>
              <w:pStyle w:val="22"/>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52D3AC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7E4842D3">
            <w:pPr>
              <w:pStyle w:val="22"/>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619" w:type="dxa"/>
            <w:noWrap w:val="0"/>
            <w:vAlign w:val="center"/>
          </w:tcPr>
          <w:p w14:paraId="585A129A">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8032" w:type="dxa"/>
            <w:noWrap w:val="0"/>
            <w:vAlign w:val="center"/>
          </w:tcPr>
          <w:p w14:paraId="1DBAB533">
            <w:pPr>
              <w:pStyle w:val="22"/>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r>
              <w:rPr>
                <w:rFonts w:hint="eastAsia" w:cs="宋体"/>
                <w:color w:val="auto"/>
                <w:sz w:val="24"/>
                <w:szCs w:val="24"/>
                <w:lang w:val="en-US" w:eastAsia="zh-CN"/>
              </w:rPr>
              <w:t>吐鲁番市2025年固定资产投资项目节能审查及综合服务项目</w:t>
            </w:r>
          </w:p>
          <w:p w14:paraId="14CDD80A">
            <w:pPr>
              <w:pStyle w:val="22"/>
              <w:keepNext w:val="0"/>
              <w:keepLines w:val="0"/>
              <w:pageBreakBefore w:val="0"/>
              <w:kinsoku/>
              <w:wordWrap/>
              <w:topLinePunct w:val="0"/>
              <w:bidi w:val="0"/>
              <w:spacing w:line="400" w:lineRule="exact"/>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项目编号：</w:t>
            </w:r>
            <w:r>
              <w:rPr>
                <w:rFonts w:hint="eastAsia" w:cs="宋体"/>
                <w:color w:val="auto"/>
                <w:sz w:val="24"/>
                <w:szCs w:val="24"/>
                <w:lang w:val="en-US" w:eastAsia="zh-CN"/>
              </w:rPr>
              <w:t>HYZB2025-(Z)24</w:t>
            </w:r>
          </w:p>
          <w:p w14:paraId="67E700AC">
            <w:pPr>
              <w:pStyle w:val="22"/>
              <w:keepNext w:val="0"/>
              <w:keepLines w:val="0"/>
              <w:pageBreakBefore w:val="0"/>
              <w:kinsoku/>
              <w:wordWrap/>
              <w:topLinePunct w:val="0"/>
              <w:bidi w:val="0"/>
              <w:spacing w:line="400" w:lineRule="exact"/>
              <w:rPr>
                <w:rFonts w:hint="eastAsia" w:cs="宋体"/>
                <w:color w:val="auto"/>
                <w:sz w:val="24"/>
                <w:szCs w:val="24"/>
                <w:lang w:val="en-US" w:eastAsia="zh-CN"/>
              </w:rPr>
            </w:pPr>
            <w:r>
              <w:rPr>
                <w:rFonts w:hint="eastAsia" w:ascii="宋体" w:hAnsi="宋体" w:eastAsia="宋体" w:cs="宋体"/>
                <w:color w:val="auto"/>
                <w:sz w:val="24"/>
                <w:szCs w:val="24"/>
                <w:lang w:val="en-US" w:eastAsia="zh-CN"/>
              </w:rPr>
              <w:t>招标内容：</w:t>
            </w:r>
            <w:r>
              <w:rPr>
                <w:rFonts w:hint="eastAsia" w:cs="宋体"/>
                <w:color w:val="auto"/>
                <w:sz w:val="24"/>
                <w:szCs w:val="24"/>
                <w:lang w:val="en-US" w:eastAsia="zh-CN"/>
              </w:rPr>
              <w:t>采购咨询服务机构为我市固定资产投资项目节能审查、“两高”论证、节能监察、节能宣传培训提供技术支撑、咨询服务。（具体内容详见招标文件）</w:t>
            </w:r>
          </w:p>
          <w:p w14:paraId="10EC4252">
            <w:pPr>
              <w:pStyle w:val="22"/>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预算金额：949800.00</w:t>
            </w:r>
            <w:r>
              <w:rPr>
                <w:rFonts w:hint="eastAsia" w:cs="宋体"/>
                <w:color w:val="auto"/>
                <w:sz w:val="24"/>
                <w:szCs w:val="24"/>
                <w:lang w:val="en-US" w:eastAsia="zh-CN"/>
              </w:rPr>
              <w:t>元</w:t>
            </w:r>
          </w:p>
          <w:p w14:paraId="17AFCEBC">
            <w:pPr>
              <w:pStyle w:val="22"/>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cs="宋体"/>
                <w:color w:val="auto"/>
                <w:sz w:val="24"/>
                <w:szCs w:val="24"/>
                <w:lang w:val="en-US" w:eastAsia="zh-CN"/>
              </w:rPr>
              <w:t>资金来源：</w:t>
            </w:r>
            <w:r>
              <w:rPr>
                <w:rFonts w:hint="eastAsia" w:cs="宋体"/>
                <w:color w:val="auto"/>
                <w:sz w:val="24"/>
                <w:szCs w:val="24"/>
                <w:highlight w:val="none"/>
                <w:lang w:val="en-US" w:eastAsia="zh-CN"/>
              </w:rPr>
              <w:t>2024年重点项目前期费</w:t>
            </w:r>
            <w:r>
              <w:rPr>
                <w:highlight w:val="none"/>
              </w:rPr>
              <w:commentReference w:id="0"/>
            </w:r>
          </w:p>
          <w:p w14:paraId="100E695B">
            <w:pPr>
              <w:pStyle w:val="22"/>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r>
              <w:rPr>
                <w:rFonts w:hint="eastAsia" w:cs="宋体"/>
                <w:color w:val="auto"/>
                <w:sz w:val="24"/>
                <w:szCs w:val="24"/>
                <w:lang w:val="en-US" w:eastAsia="zh-CN"/>
              </w:rPr>
              <w:t>949800.00</w:t>
            </w:r>
            <w:r>
              <w:rPr>
                <w:rFonts w:hint="eastAsia" w:ascii="宋体" w:hAnsi="宋体" w:eastAsia="宋体" w:cs="宋体"/>
                <w:color w:val="auto"/>
                <w:sz w:val="24"/>
                <w:szCs w:val="24"/>
                <w:lang w:val="en-US" w:eastAsia="zh-CN"/>
              </w:rPr>
              <w:t>万</w:t>
            </w:r>
            <w:r>
              <w:rPr>
                <w:rFonts w:hint="eastAsia" w:cs="宋体"/>
                <w:color w:val="auto"/>
                <w:sz w:val="24"/>
                <w:szCs w:val="24"/>
                <w:lang w:val="en-US" w:eastAsia="zh-CN"/>
              </w:rPr>
              <w:t>元</w:t>
            </w:r>
            <w:r>
              <w:rPr>
                <w:rFonts w:hint="eastAsia" w:ascii="宋体" w:hAnsi="宋体" w:eastAsia="宋体" w:cs="宋体"/>
                <w:b/>
                <w:bCs/>
                <w:color w:val="auto"/>
                <w:sz w:val="24"/>
                <w:szCs w:val="24"/>
                <w:lang w:val="en-US" w:eastAsia="zh-CN"/>
              </w:rPr>
              <w:t>（注：投标报价超过最高限价按无效标处理）</w:t>
            </w:r>
          </w:p>
          <w:p w14:paraId="1EAD0FF9">
            <w:pPr>
              <w:pStyle w:val="22"/>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cs="宋体"/>
                <w:color w:val="auto"/>
                <w:sz w:val="24"/>
                <w:szCs w:val="24"/>
                <w:lang w:val="en-US" w:eastAsia="zh-CN"/>
              </w:rPr>
              <w:t>履约期限</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1年</w:t>
            </w:r>
          </w:p>
        </w:tc>
      </w:tr>
      <w:tr w14:paraId="217764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14CEB6E6">
            <w:pPr>
              <w:pStyle w:val="22"/>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619" w:type="dxa"/>
            <w:noWrap w:val="0"/>
            <w:vAlign w:val="center"/>
          </w:tcPr>
          <w:p w14:paraId="63536186">
            <w:pPr>
              <w:pStyle w:val="22"/>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w:t>
            </w:r>
          </w:p>
        </w:tc>
        <w:tc>
          <w:tcPr>
            <w:tcW w:w="8032" w:type="dxa"/>
            <w:noWrap w:val="0"/>
            <w:vAlign w:val="center"/>
          </w:tcPr>
          <w:p w14:paraId="3CFF9C74">
            <w:pPr>
              <w:pStyle w:val="22"/>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cs="宋体"/>
                <w:color w:val="auto"/>
                <w:sz w:val="24"/>
                <w:szCs w:val="24"/>
                <w:lang w:val="en-US" w:eastAsia="zh-CN"/>
              </w:rPr>
              <w:t>吐鲁番市发展和改革委员会 </w:t>
            </w:r>
          </w:p>
          <w:p w14:paraId="1A6D0C49">
            <w:pPr>
              <w:pStyle w:val="22"/>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w:t>
            </w:r>
            <w:r>
              <w:rPr>
                <w:rFonts w:hint="eastAsia" w:cs="宋体"/>
                <w:color w:val="auto"/>
                <w:sz w:val="24"/>
                <w:szCs w:val="24"/>
                <w:lang w:val="en-US" w:eastAsia="zh-CN"/>
              </w:rPr>
              <w:t>吐鲁番市绿洲东路495号</w:t>
            </w:r>
          </w:p>
          <w:p w14:paraId="6E708D05">
            <w:pPr>
              <w:pStyle w:val="22"/>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李莎</w:t>
            </w:r>
            <w:r>
              <w:rPr>
                <w:rFonts w:hint="eastAsia" w:ascii="宋体" w:hAnsi="宋体" w:eastAsia="宋体" w:cs="宋体"/>
                <w:color w:val="auto"/>
                <w:sz w:val="24"/>
                <w:szCs w:val="24"/>
                <w:lang w:val="en-US" w:eastAsia="zh-CN"/>
              </w:rPr>
              <w:t xml:space="preserve">   </w:t>
            </w:r>
          </w:p>
          <w:p w14:paraId="7ADF813A">
            <w:pPr>
              <w:pStyle w:val="22"/>
              <w:keepNext w:val="0"/>
              <w:keepLines w:val="0"/>
              <w:pageBreakBefore w:val="0"/>
              <w:kinsoku/>
              <w:wordWrap/>
              <w:topLinePunct w:val="0"/>
              <w:bidi w:val="0"/>
              <w:spacing w:line="400" w:lineRule="exac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联系电话：</w:t>
            </w:r>
            <w:r>
              <w:rPr>
                <w:rFonts w:hint="eastAsia" w:cs="宋体"/>
                <w:color w:val="auto"/>
                <w:sz w:val="24"/>
                <w:szCs w:val="24"/>
                <w:lang w:val="en-US" w:eastAsia="zh-CN"/>
              </w:rPr>
              <w:t>0995-8522069</w:t>
            </w:r>
          </w:p>
        </w:tc>
      </w:tr>
      <w:tr w14:paraId="4000CA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5E8B659E">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3</w:t>
            </w:r>
          </w:p>
        </w:tc>
        <w:tc>
          <w:tcPr>
            <w:tcW w:w="1619" w:type="dxa"/>
            <w:noWrap w:val="0"/>
            <w:vAlign w:val="center"/>
          </w:tcPr>
          <w:p w14:paraId="7DAC953E">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招标代理机构</w:t>
            </w:r>
          </w:p>
        </w:tc>
        <w:tc>
          <w:tcPr>
            <w:tcW w:w="8032" w:type="dxa"/>
            <w:noWrap w:val="0"/>
            <w:vAlign w:val="center"/>
          </w:tcPr>
          <w:p w14:paraId="7DE20F41">
            <w:pPr>
              <w:pStyle w:val="22"/>
              <w:keepNext w:val="0"/>
              <w:keepLines w:val="0"/>
              <w:pageBreakBefore w:val="0"/>
              <w:kinsoku/>
              <w:wordWrap/>
              <w:topLinePunct w:val="0"/>
              <w:bidi w:val="0"/>
              <w:spacing w:line="400" w:lineRule="exac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新疆华域天恒工程管理有限公司</w:t>
            </w:r>
          </w:p>
          <w:p w14:paraId="74C89762">
            <w:pPr>
              <w:pStyle w:val="22"/>
              <w:keepNext w:val="0"/>
              <w:keepLines w:val="0"/>
              <w:pageBreakBefore w:val="0"/>
              <w:kinsoku/>
              <w:wordWrap/>
              <w:topLinePunct w:val="0"/>
              <w:bidi w:val="0"/>
              <w:spacing w:line="4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址：吐鲁番市高昌区示范区和平街11幢2层201号</w:t>
            </w:r>
          </w:p>
          <w:p w14:paraId="23ECA0FE">
            <w:pPr>
              <w:pStyle w:val="22"/>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联系</w:t>
            </w:r>
            <w:r>
              <w:rPr>
                <w:rFonts w:hint="eastAsia" w:ascii="宋体" w:hAnsi="宋体" w:eastAsia="宋体" w:cs="宋体"/>
                <w:color w:val="auto"/>
                <w:kern w:val="2"/>
                <w:sz w:val="24"/>
                <w:szCs w:val="24"/>
                <w:lang w:eastAsia="zh-CN"/>
              </w:rPr>
              <w:t>人</w:t>
            </w:r>
            <w:r>
              <w:rPr>
                <w:rFonts w:hint="eastAsia" w:ascii="宋体" w:hAnsi="宋体" w:eastAsia="宋体" w:cs="宋体"/>
                <w:color w:val="auto"/>
                <w:kern w:val="2"/>
                <w:sz w:val="24"/>
                <w:szCs w:val="24"/>
              </w:rPr>
              <w:t>：</w:t>
            </w:r>
            <w:r>
              <w:rPr>
                <w:rFonts w:hint="eastAsia" w:cs="宋体"/>
                <w:color w:val="auto"/>
                <w:kern w:val="2"/>
                <w:sz w:val="24"/>
                <w:szCs w:val="24"/>
                <w:lang w:val="en-US" w:eastAsia="zh-CN"/>
              </w:rPr>
              <w:t>张莉</w:t>
            </w:r>
          </w:p>
          <w:p w14:paraId="43838701">
            <w:pPr>
              <w:pStyle w:val="22"/>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lang w:val="en-US" w:eastAsia="zh-CN"/>
              </w:rPr>
              <w:t>13</w:t>
            </w:r>
            <w:r>
              <w:rPr>
                <w:rFonts w:hint="eastAsia" w:cs="宋体"/>
                <w:color w:val="auto"/>
                <w:kern w:val="2"/>
                <w:sz w:val="24"/>
                <w:szCs w:val="24"/>
                <w:lang w:val="en-US" w:eastAsia="zh-CN"/>
              </w:rPr>
              <w:t>699902201</w:t>
            </w:r>
          </w:p>
        </w:tc>
      </w:tr>
      <w:tr w14:paraId="17E87E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3" w:hRule="atLeast"/>
          <w:jc w:val="center"/>
        </w:trPr>
        <w:tc>
          <w:tcPr>
            <w:tcW w:w="547" w:type="dxa"/>
            <w:noWrap w:val="0"/>
            <w:vAlign w:val="center"/>
          </w:tcPr>
          <w:p w14:paraId="227C9F08">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4</w:t>
            </w:r>
          </w:p>
        </w:tc>
        <w:tc>
          <w:tcPr>
            <w:tcW w:w="1619" w:type="dxa"/>
            <w:noWrap w:val="0"/>
            <w:vAlign w:val="center"/>
          </w:tcPr>
          <w:p w14:paraId="26ACA74D">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投标人资格</w:t>
            </w:r>
          </w:p>
        </w:tc>
        <w:tc>
          <w:tcPr>
            <w:tcW w:w="8032" w:type="dxa"/>
            <w:noWrap w:val="0"/>
            <w:vAlign w:val="center"/>
          </w:tcPr>
          <w:p w14:paraId="5771B90C">
            <w:pPr>
              <w:pStyle w:val="22"/>
              <w:keepNext w:val="0"/>
              <w:keepLines w:val="0"/>
              <w:pageBreakBefore w:val="0"/>
              <w:kinsoku/>
              <w:wordWrap/>
              <w:topLinePunct w:val="0"/>
              <w:bidi w:val="0"/>
              <w:spacing w:line="40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1.满足《中华人民共和国政府采购法》第二十二条规定；</w:t>
            </w:r>
          </w:p>
          <w:p w14:paraId="3AD65983">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2.落实政府采购政策需满足的资格要</w:t>
            </w:r>
            <w:r>
              <w:rPr>
                <w:rFonts w:hint="eastAsia" w:asciiTheme="minorEastAsia" w:hAnsiTheme="minorEastAsia" w:eastAsiaTheme="minorEastAsia" w:cstheme="minorEastAsia"/>
                <w:color w:val="auto"/>
                <w:kern w:val="2"/>
                <w:sz w:val="24"/>
                <w:szCs w:val="24"/>
                <w:lang w:val="en-US" w:eastAsia="zh-CN" w:bidi="ar-SA"/>
              </w:rPr>
              <w:t>求</w:t>
            </w:r>
            <w:r>
              <w:rPr>
                <w:rFonts w:hint="eastAsia" w:asciiTheme="minorEastAsia" w:hAnsiTheme="minorEastAsia" w:eastAsiaTheme="minorEastAsia" w:cstheme="minorEastAsia"/>
                <w:color w:val="auto"/>
                <w:kern w:val="2"/>
                <w:sz w:val="24"/>
                <w:szCs w:val="24"/>
                <w:highlight w:val="none"/>
                <w:lang w:val="en-US" w:eastAsia="zh-CN" w:bidi="ar-SA"/>
              </w:rPr>
              <w:t>：供应商为中小企业；</w:t>
            </w:r>
          </w:p>
          <w:p w14:paraId="4A3C8921">
            <w:pPr>
              <w:pStyle w:val="22"/>
              <w:keepNext w:val="0"/>
              <w:keepLines w:val="0"/>
              <w:pageBreakBefore w:val="0"/>
              <w:kinsoku/>
              <w:wordWrap/>
              <w:topLinePunct w:val="0"/>
              <w:bidi w:val="0"/>
              <w:spacing w:line="400" w:lineRule="exac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3.本项目的特定资格要求：无</w:t>
            </w:r>
          </w:p>
          <w:p w14:paraId="5F1D7D52">
            <w:pPr>
              <w:pStyle w:val="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4.本项目的其他要求：</w:t>
            </w:r>
          </w:p>
          <w:p w14:paraId="5C43AC68">
            <w:pPr>
              <w:pStyle w:val="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（1）具有独立承担民事责任能力的在中华人民共和国境内注册的法人营业执照原件是扫描件；</w:t>
            </w:r>
          </w:p>
          <w:p w14:paraId="7AAB2DC0">
            <w:pPr>
              <w:pStyle w:val="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（2）法定代表人须提供法定代表人资格证明书及身份证或法定代表人授权委托书及被授权人身份证；</w:t>
            </w:r>
          </w:p>
          <w:p w14:paraId="16BC2486">
            <w:pPr>
              <w:pStyle w:val="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（3）社保缴纳证明(投标企业提供被委托人)近1个月及以上单位社保缴纳凭证)；</w:t>
            </w:r>
          </w:p>
          <w:p w14:paraId="1378F61D">
            <w:pPr>
              <w:pStyle w:val="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14CBAD80">
            <w:pPr>
              <w:pStyle w:val="22"/>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（5）参加政府采购活动前三年内，在经营活动中没有重大违法记录；</w:t>
            </w:r>
          </w:p>
          <w:p w14:paraId="08181164">
            <w:pPr>
              <w:pStyle w:val="22"/>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（6）在“信用中国”（www.creditchina.gov.cn）和中国政府采购网（www.ccgp.gov.cn）网站上未被列入失信被执行人、重大税收违法案件当事人名单以及政府采购严重违法失信行为记录名单；</w:t>
            </w:r>
          </w:p>
        </w:tc>
      </w:tr>
      <w:tr w14:paraId="5176F1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noWrap w:val="0"/>
            <w:vAlign w:val="center"/>
          </w:tcPr>
          <w:p w14:paraId="5DE0B418">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19" w:type="dxa"/>
            <w:noWrap w:val="0"/>
            <w:vAlign w:val="center"/>
          </w:tcPr>
          <w:p w14:paraId="0D6465C5">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w:t>
            </w:r>
          </w:p>
        </w:tc>
        <w:tc>
          <w:tcPr>
            <w:tcW w:w="8032" w:type="dxa"/>
            <w:noWrap w:val="0"/>
            <w:vAlign w:val="center"/>
          </w:tcPr>
          <w:p w14:paraId="1519996B">
            <w:pPr>
              <w:pStyle w:val="22"/>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不接受</w:t>
            </w:r>
          </w:p>
        </w:tc>
      </w:tr>
      <w:tr w14:paraId="1CA102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161CC082">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1619" w:type="dxa"/>
            <w:noWrap w:val="0"/>
            <w:vAlign w:val="center"/>
          </w:tcPr>
          <w:p w14:paraId="4A617275">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8032" w:type="dxa"/>
            <w:noWrap w:val="0"/>
            <w:vAlign w:val="center"/>
          </w:tcPr>
          <w:p w14:paraId="478CDFE2">
            <w:pPr>
              <w:pStyle w:val="22"/>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是</w:t>
            </w:r>
          </w:p>
        </w:tc>
      </w:tr>
      <w:tr w14:paraId="5780E4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43BBEC77">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p>
        </w:tc>
        <w:tc>
          <w:tcPr>
            <w:tcW w:w="1619" w:type="dxa"/>
            <w:noWrap w:val="0"/>
            <w:vAlign w:val="center"/>
          </w:tcPr>
          <w:p w14:paraId="71EF5F59">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highlight w:val="none"/>
                <w:lang w:val="en-US" w:eastAsia="zh-CN"/>
              </w:rPr>
              <w:t>本项目采购标的中小企业划分所属行业</w:t>
            </w:r>
          </w:p>
        </w:tc>
        <w:tc>
          <w:tcPr>
            <w:tcW w:w="8032" w:type="dxa"/>
            <w:noWrap w:val="0"/>
            <w:vAlign w:val="center"/>
          </w:tcPr>
          <w:p w14:paraId="1DC4022C">
            <w:pPr>
              <w:pStyle w:val="22"/>
              <w:keepNext w:val="0"/>
              <w:keepLines w:val="0"/>
              <w:pageBreakBefore w:val="0"/>
              <w:kinsoku/>
              <w:wordWrap/>
              <w:topLinePunct w:val="0"/>
              <w:bidi w:val="0"/>
              <w:spacing w:line="400" w:lineRule="exac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其他未列明行业</w:t>
            </w:r>
          </w:p>
        </w:tc>
      </w:tr>
      <w:tr w14:paraId="628BCC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547" w:type="dxa"/>
            <w:noWrap w:val="0"/>
            <w:vAlign w:val="center"/>
          </w:tcPr>
          <w:p w14:paraId="402E9E59">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1619" w:type="dxa"/>
            <w:noWrap w:val="0"/>
            <w:vAlign w:val="center"/>
          </w:tcPr>
          <w:p w14:paraId="09C58768">
            <w:pPr>
              <w:keepNext w:val="0"/>
              <w:keepLines w:val="0"/>
              <w:pageBreakBefore w:val="0"/>
              <w:widowControl/>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8032" w:type="dxa"/>
            <w:noWrap w:val="0"/>
            <w:vAlign w:val="center"/>
          </w:tcPr>
          <w:p w14:paraId="2F9E976C">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招标文件的澄清、修改书及有关补充通知为招标文件的有效组成部分。</w:t>
            </w:r>
          </w:p>
        </w:tc>
      </w:tr>
      <w:tr w14:paraId="4DAAAD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547" w:type="dxa"/>
            <w:noWrap w:val="0"/>
            <w:vAlign w:val="center"/>
          </w:tcPr>
          <w:p w14:paraId="5CB9AC79">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w:t>
            </w:r>
          </w:p>
        </w:tc>
        <w:tc>
          <w:tcPr>
            <w:tcW w:w="1619" w:type="dxa"/>
            <w:noWrap w:val="0"/>
            <w:vAlign w:val="center"/>
          </w:tcPr>
          <w:p w14:paraId="1CBF5BAB">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8032" w:type="dxa"/>
            <w:noWrap w:val="0"/>
            <w:vAlign w:val="center"/>
          </w:tcPr>
          <w:p w14:paraId="53DEB0F3">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60</w:t>
            </w:r>
            <w:r>
              <w:rPr>
                <w:rFonts w:hint="eastAsia" w:ascii="宋体" w:hAnsi="宋体" w:eastAsia="宋体" w:cs="宋体"/>
                <w:color w:val="000000" w:themeColor="text1"/>
                <w:sz w:val="24"/>
                <w:szCs w:val="24"/>
                <w:lang w:val="zh-CN"/>
                <w14:textFill>
                  <w14:solidFill>
                    <w14:schemeClr w14:val="tx1"/>
                  </w14:solidFill>
                </w14:textFill>
              </w:rPr>
              <w:t>日历天（投标有效期从提交投标文件的截止之日起算。有效期短于该规定期限的投标无效）</w:t>
            </w:r>
          </w:p>
        </w:tc>
      </w:tr>
      <w:tr w14:paraId="1F9AA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jc w:val="center"/>
        </w:trPr>
        <w:tc>
          <w:tcPr>
            <w:tcW w:w="547" w:type="dxa"/>
            <w:noWrap w:val="0"/>
            <w:vAlign w:val="center"/>
          </w:tcPr>
          <w:p w14:paraId="3574C8B2">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0</w:t>
            </w:r>
          </w:p>
        </w:tc>
        <w:tc>
          <w:tcPr>
            <w:tcW w:w="1619" w:type="dxa"/>
            <w:noWrap w:val="0"/>
            <w:vAlign w:val="center"/>
          </w:tcPr>
          <w:p w14:paraId="3655A354">
            <w:pPr>
              <w:pStyle w:val="22"/>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8032" w:type="dxa"/>
            <w:noWrap w:val="0"/>
            <w:vAlign w:val="center"/>
          </w:tcPr>
          <w:p w14:paraId="1C2A6B75">
            <w:pPr>
              <w:pStyle w:val="22"/>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公开招标</w:t>
            </w:r>
          </w:p>
        </w:tc>
      </w:tr>
      <w:tr w14:paraId="6536A6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14:paraId="5621CA7B">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p>
        </w:tc>
        <w:tc>
          <w:tcPr>
            <w:tcW w:w="1619" w:type="dxa"/>
            <w:noWrap w:val="0"/>
            <w:vAlign w:val="center"/>
          </w:tcPr>
          <w:p w14:paraId="28AC77EF">
            <w:pPr>
              <w:pStyle w:val="22"/>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8032" w:type="dxa"/>
            <w:noWrap w:val="0"/>
            <w:vAlign w:val="center"/>
          </w:tcPr>
          <w:p w14:paraId="70B7F710">
            <w:pPr>
              <w:pStyle w:val="22"/>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r>
              <w:rPr>
                <w:rFonts w:hint="eastAsia" w:ascii="宋体" w:hAnsi="宋体" w:eastAsia="宋体" w:cs="宋体"/>
                <w:color w:val="000000" w:themeColor="text1"/>
                <w:sz w:val="24"/>
                <w:szCs w:val="24"/>
                <w:lang w:val="en-US" w:eastAsia="zh-CN"/>
                <w14:textFill>
                  <w14:solidFill>
                    <w14:schemeClr w14:val="tx1"/>
                  </w14:solidFill>
                </w14:textFill>
              </w:rPr>
              <w:t xml:space="preserve">  评标权重：商务及技术评分</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0分，价格评分</w:t>
            </w: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0分。</w:t>
            </w:r>
          </w:p>
        </w:tc>
      </w:tr>
      <w:tr w14:paraId="0C5B81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E9A5D83">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CC98657">
            <w:pPr>
              <w:pStyle w:val="22"/>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40E8428">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w:t>
            </w:r>
            <w:r>
              <w:rPr>
                <w:rFonts w:hint="eastAsia" w:ascii="宋体" w:hAnsi="宋体" w:cs="宋体"/>
                <w:b/>
                <w:color w:val="000000" w:themeColor="text1"/>
                <w:sz w:val="24"/>
                <w:szCs w:val="24"/>
                <w:lang w:val="en-US" w:eastAsia="zh-CN"/>
                <w14:textFill>
                  <w14:solidFill>
                    <w14:schemeClr w14:val="tx1"/>
                  </w14:solidFill>
                </w14:textFill>
              </w:rPr>
              <w:t>壹万伍仟</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150</w:t>
            </w:r>
            <w:r>
              <w:rPr>
                <w:rFonts w:hint="eastAsia" w:ascii="宋体" w:hAnsi="宋体" w:eastAsia="宋体" w:cs="宋体"/>
                <w:b/>
                <w:color w:val="000000" w:themeColor="text1"/>
                <w:sz w:val="24"/>
                <w:szCs w:val="24"/>
                <w:lang w:val="zh-CN" w:eastAsia="zh-CN"/>
                <w14:textFill>
                  <w14:solidFill>
                    <w14:schemeClr w14:val="tx1"/>
                  </w14:solidFill>
                </w14:textFill>
              </w:rPr>
              <w:t>00.00元整）</w:t>
            </w: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保函，转出账户必须与投标单位名称一致，否则不予受理。</w:t>
            </w:r>
          </w:p>
          <w:p w14:paraId="145FE4BF">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69B48E90">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w:t>
            </w:r>
            <w:r>
              <w:rPr>
                <w:rFonts w:hint="eastAsia" w:ascii="宋体" w:hAnsi="宋体" w:eastAsia="宋体" w:cs="宋体"/>
                <w:b/>
                <w:color w:val="000000" w:themeColor="text1"/>
                <w:sz w:val="24"/>
                <w:szCs w:val="24"/>
                <w:highlight w:val="none"/>
                <w:lang w:val="zh-CN"/>
                <w14:textFill>
                  <w14:solidFill>
                    <w14:schemeClr w14:val="tx1"/>
                  </w14:solidFill>
                </w14:textFill>
              </w:rPr>
              <w:t>金于</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投标截止</w:t>
            </w:r>
            <w:r>
              <w:rPr>
                <w:rFonts w:hint="eastAsia" w:ascii="宋体" w:hAnsi="宋体" w:eastAsia="宋体" w:cs="宋体"/>
                <w:b/>
                <w:color w:val="000000" w:themeColor="text1"/>
                <w:sz w:val="24"/>
                <w:szCs w:val="24"/>
                <w:lang w:val="zh-CN"/>
                <w14:textFill>
                  <w14:solidFill>
                    <w14:schemeClr w14:val="tx1"/>
                  </w14:solidFill>
                </w14:textFill>
              </w:rPr>
              <w:t>之前从投标人基本账户以网银或银行电汇形式汇至本公司账户，否则其投标文件将被拒绝评审，投标人提交投标保证金应充分考虑资金在途时间。</w:t>
            </w:r>
          </w:p>
          <w:p w14:paraId="6B95EC04">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户名：新疆华域天恒工程管理有限公司</w:t>
            </w:r>
          </w:p>
          <w:p w14:paraId="2B23E396">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开户银行：中国农业银行股份有限公司吐鲁番高昌支行  </w:t>
            </w:r>
          </w:p>
          <w:p w14:paraId="2B1E9A1F">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帐号：3026 5301 0400 1229 8     </w:t>
            </w:r>
          </w:p>
          <w:p w14:paraId="2DAF06F4">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行号：1038 8302 6535</w:t>
            </w:r>
          </w:p>
          <w:p w14:paraId="4B4EF286">
            <w:pPr>
              <w:keepNext w:val="0"/>
              <w:keepLines w:val="0"/>
              <w:pageBreakBefore w:val="0"/>
              <w:numPr>
                <w:ilvl w:val="0"/>
                <w:numId w:val="1"/>
              </w:numPr>
              <w:kinsoku/>
              <w:wordWrap/>
              <w:topLinePunct w:val="0"/>
              <w:bidi w:val="0"/>
              <w:spacing w:line="400" w:lineRule="exact"/>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032E557E">
            <w:pPr>
              <w:keepNext w:val="0"/>
              <w:keepLines w:val="0"/>
              <w:pageBreakBefore w:val="0"/>
              <w:numPr>
                <w:ilvl w:val="0"/>
                <w:numId w:val="0"/>
              </w:numPr>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44BEA2AD">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换取收据时，将保证金截图发送至1252412748@qq.com并与财务联系人 ：李雅楠 联系 电话：13999699360。未按时提交投标保证金的投标文件无效。</w:t>
            </w:r>
          </w:p>
          <w:p w14:paraId="1D4E50EC">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7AFB6DCA">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采购代理机构在中标通知书发出之日起5个工作日内退还未中标供应商的投标保证金，自政府采购合同签订之日起5个工作日内退还中标供应商的投标保证金。</w:t>
            </w:r>
          </w:p>
        </w:tc>
      </w:tr>
      <w:tr w14:paraId="3FA010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5C1F9F6">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D137BE5">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其他可以不予退还投标保证金的情形</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3A757819">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在其</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中提供虚假资料；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未按国家规定的招标代理服务取费标准缴纳招标代理服务费用的。</w:t>
            </w:r>
          </w:p>
        </w:tc>
      </w:tr>
      <w:tr w14:paraId="32CBAB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1A30FE0">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FCDDA1A">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递交截止时间</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4461DE4">
            <w:pPr>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（北京时间）</w:t>
            </w:r>
          </w:p>
        </w:tc>
      </w:tr>
      <w:tr w14:paraId="023991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B6195B1">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9D9583F">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yellow"/>
                <w:lang w:val="zh-CN"/>
              </w:rPr>
            </w:pPr>
            <w:r>
              <w:rPr>
                <w:rFonts w:hint="eastAsia" w:ascii="宋体" w:hAnsi="宋体" w:eastAsia="宋体" w:cs="宋体"/>
                <w:sz w:val="24"/>
                <w:szCs w:val="24"/>
                <w:lang w:eastAsia="zh-CN"/>
              </w:rPr>
              <w:t>投标文件</w:t>
            </w:r>
            <w:r>
              <w:rPr>
                <w:rFonts w:hint="eastAsia" w:ascii="宋体" w:hAnsi="宋体" w:eastAsia="宋体" w:cs="宋体"/>
                <w:sz w:val="24"/>
                <w:szCs w:val="24"/>
              </w:rPr>
              <w:t>递交地点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24AE0BDF">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政采云平台（http://www.ccgp-xinjiang.gov.cn//）</w:t>
            </w:r>
          </w:p>
        </w:tc>
      </w:tr>
      <w:tr w14:paraId="46B204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07C3EA2">
            <w:pPr>
              <w:pStyle w:val="22"/>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86257B4">
            <w:pPr>
              <w:pStyle w:val="22"/>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4EFFCD4">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14:paraId="026ABD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AAE3FB1">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r>
              <w:rPr>
                <w:rFonts w:hint="eastAsia" w:cs="宋体"/>
                <w:color w:val="auto"/>
                <w:kern w:val="2"/>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2B605E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实质性要求和条件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7E550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供应商不得偏离招标文件的实质性要求</w:t>
            </w:r>
          </w:p>
        </w:tc>
      </w:tr>
      <w:tr w14:paraId="50CAD5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43D91C3">
            <w:pPr>
              <w:pStyle w:val="22"/>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CEA1B68">
            <w:pPr>
              <w:pStyle w:val="22"/>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val="en-US" w:eastAsia="zh-CN"/>
              </w:rPr>
              <w:t>招标文件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5F0F7D5D">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时间：供应商要求采购人对已发出的</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zh-CN" w:eastAsia="zh-CN"/>
              </w:rPr>
              <w:t>进行澄清的，应在投标截止时间的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天前。</w:t>
            </w:r>
          </w:p>
          <w:p w14:paraId="0CD387CB">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rPr>
              <w:t>形式：供应商将要求澄清的内容以书面形式送达采购人（或招标代理机构）。</w:t>
            </w:r>
          </w:p>
        </w:tc>
      </w:tr>
      <w:tr w14:paraId="239075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7055B06">
            <w:pPr>
              <w:pStyle w:val="22"/>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AAFAD55">
            <w:pPr>
              <w:pStyle w:val="22"/>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澄清发出的形式</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27F5BFEB">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bidi="ar"/>
              </w:rPr>
              <w:t>以书面形式发出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508A3D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756193E">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1756352">
            <w:pPr>
              <w:pStyle w:val="22"/>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纸质版</w:t>
            </w:r>
            <w:r>
              <w:rPr>
                <w:rFonts w:hint="eastAsia" w:ascii="宋体" w:hAnsi="宋体" w:eastAsia="宋体" w:cs="宋体"/>
                <w:color w:val="auto"/>
                <w:sz w:val="24"/>
                <w:szCs w:val="24"/>
                <w:lang w:val="zh-CN"/>
              </w:rPr>
              <w:t>投标文件的</w:t>
            </w:r>
            <w:r>
              <w:rPr>
                <w:rFonts w:hint="eastAsia" w:cs="宋体"/>
                <w:color w:val="auto"/>
                <w:sz w:val="24"/>
                <w:szCs w:val="24"/>
                <w:lang w:val="en-US" w:eastAsia="zh-CN"/>
              </w:rPr>
              <w:t>份</w:t>
            </w:r>
            <w:r>
              <w:rPr>
                <w:rFonts w:hint="eastAsia" w:ascii="宋体" w:hAnsi="宋体" w:eastAsia="宋体" w:cs="宋体"/>
                <w:color w:val="auto"/>
                <w:sz w:val="24"/>
                <w:szCs w:val="24"/>
                <w:lang w:val="zh-CN"/>
              </w:rPr>
              <w:t>数</w:t>
            </w:r>
            <w:r>
              <w:rPr>
                <w:rFonts w:hint="eastAsia" w:cs="宋体"/>
                <w:color w:val="auto"/>
                <w:sz w:val="24"/>
                <w:szCs w:val="24"/>
                <w:lang w:val="zh-CN"/>
              </w:rPr>
              <w:t>（</w:t>
            </w:r>
            <w:r>
              <w:rPr>
                <w:rFonts w:hint="eastAsia" w:cs="宋体"/>
                <w:color w:val="auto"/>
                <w:sz w:val="24"/>
                <w:szCs w:val="24"/>
                <w:lang w:val="en-US" w:eastAsia="zh-CN"/>
              </w:rPr>
              <w:t>中标以后中标单位提供）</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32B74121">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投标文件的份数：投标文件应一式</w:t>
            </w:r>
            <w:r>
              <w:rPr>
                <w:rFonts w:hint="eastAsia" w:ascii="宋体" w:hAnsi="宋体" w:eastAsia="宋体" w:cs="宋体"/>
                <w:sz w:val="24"/>
                <w:szCs w:val="24"/>
                <w:lang w:val="en-US" w:eastAsia="zh-CN"/>
              </w:rPr>
              <w:t>叁</w:t>
            </w:r>
            <w:r>
              <w:rPr>
                <w:rFonts w:hint="eastAsia" w:ascii="宋体" w:hAnsi="宋体" w:eastAsia="宋体" w:cs="宋体"/>
                <w:sz w:val="24"/>
                <w:szCs w:val="24"/>
                <w:lang w:val="zh-CN" w:eastAsia="zh-CN"/>
              </w:rPr>
              <w:t>份：其中正本一份，副本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lang w:val="zh-CN" w:eastAsia="zh-CN"/>
              </w:rPr>
              <w:t>份，并注明“正本”和“副本”字样，投标文件应由投标人的合法授权代表正式签署，如有任何更改应由原签署人签字。</w:t>
            </w:r>
          </w:p>
          <w:p w14:paraId="521315D4">
            <w:pPr>
              <w:pStyle w:val="23"/>
              <w:keepNext w:val="0"/>
              <w:keepLines w:val="0"/>
              <w:pageBreakBefore w:val="0"/>
              <w:kinsoku/>
              <w:wordWrap/>
              <w:topLinePunct w:val="0"/>
              <w:bidi w:val="0"/>
              <w:spacing w:line="4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color w:val="auto"/>
                <w:sz w:val="24"/>
                <w:szCs w:val="24"/>
                <w:highlight w:val="none"/>
              </w:rPr>
              <w:t>分册装订要求：</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相应的内容编制</w:t>
            </w:r>
            <w:r>
              <w:rPr>
                <w:rFonts w:hint="eastAsia" w:ascii="宋体" w:hAnsi="宋体" w:eastAsia="宋体" w:cs="宋体"/>
                <w:color w:val="auto"/>
                <w:sz w:val="24"/>
                <w:szCs w:val="24"/>
                <w:highlight w:val="none"/>
                <w:lang w:val="en-US" w:eastAsia="zh-CN"/>
              </w:rPr>
              <w:t>详细的</w:t>
            </w:r>
            <w:r>
              <w:rPr>
                <w:rFonts w:hint="eastAsia" w:ascii="宋体" w:hAnsi="宋体" w:eastAsia="宋体" w:cs="宋体"/>
                <w:color w:val="auto"/>
                <w:sz w:val="24"/>
                <w:szCs w:val="24"/>
                <w:highlight w:val="none"/>
              </w:rPr>
              <w:t>目录，逐页按顺序标注页码，并不得采用活页装订。</w:t>
            </w:r>
          </w:p>
        </w:tc>
      </w:tr>
      <w:tr w14:paraId="4AF56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38F0978">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cs="宋体"/>
                <w:color w:val="000000" w:themeColor="text1"/>
                <w:kern w:val="2"/>
                <w:sz w:val="24"/>
                <w:szCs w:val="24"/>
                <w:lang w:val="en-US" w:eastAsia="zh-CN"/>
                <w14:textFill>
                  <w14:solidFill>
                    <w14:schemeClr w14:val="tx1"/>
                  </w14:solidFill>
                </w14:textFill>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B5ED2C1">
            <w:pPr>
              <w:pStyle w:val="22"/>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5C8829C">
            <w:pPr>
              <w:keepNext w:val="0"/>
              <w:keepLines w:val="0"/>
              <w:pageBreakBefore w:val="0"/>
              <w:kinsoku/>
              <w:wordWrap/>
              <w:topLinePunct w:val="0"/>
              <w:bidi w:val="0"/>
              <w:spacing w:line="400" w:lineRule="exact"/>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依法组建评标委员会。评标委员会成员由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人构成，其中：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政府采购平台</w:t>
            </w:r>
            <w:r>
              <w:rPr>
                <w:rFonts w:hint="eastAsia" w:ascii="宋体" w:hAnsi="宋体" w:eastAsia="宋体" w:cs="宋体"/>
                <w:color w:val="000000" w:themeColor="text1"/>
                <w:sz w:val="24"/>
                <w:szCs w:val="24"/>
                <w:highlight w:val="none"/>
                <w14:textFill>
                  <w14:solidFill>
                    <w14:schemeClr w14:val="tx1"/>
                  </w14:solidFill>
                </w14:textFill>
              </w:rPr>
              <w:t>专家库中随机抽取。</w:t>
            </w:r>
          </w:p>
        </w:tc>
      </w:tr>
      <w:tr w14:paraId="1D8C6F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C05B0B8">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CD530B4">
            <w:pPr>
              <w:pStyle w:val="22"/>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电子投标须知</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B1EA5CD">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各投标单位务必提前调试好在线参标电脑的各项配置及CA锁网上进行签到、文件解密以及操作投标，投标文件报价确认签字时间为10分钟，超过时间视为报价无</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w:t>
            </w:r>
          </w:p>
          <w:p w14:paraId="19C00AD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（如投标单位对电子投标</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不清楚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无法完成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可到招标现场，请自带笔记本电脑及</w:t>
            </w:r>
            <w:r>
              <w:rPr>
                <w:rFonts w:hint="eastAsia" w:ascii="宋体" w:hAnsi="宋体" w:cs="宋体"/>
                <w:color w:val="auto"/>
                <w:sz w:val="24"/>
                <w:szCs w:val="24"/>
                <w:highlight w:val="none"/>
                <w:lang w:val="en-US" w:eastAsia="zh-CN"/>
              </w:rPr>
              <w:t>本单位</w:t>
            </w:r>
            <w:r>
              <w:rPr>
                <w:rFonts w:hint="eastAsia" w:ascii="宋体" w:hAnsi="宋体" w:eastAsia="宋体" w:cs="宋体"/>
                <w:color w:val="auto"/>
                <w:sz w:val="24"/>
                <w:szCs w:val="24"/>
                <w:highlight w:val="none"/>
                <w:lang w:val="en-US" w:eastAsia="zh-CN"/>
              </w:rPr>
              <w:t>CA锁网上进行签到、文件解密以及操作投标。）</w:t>
            </w:r>
          </w:p>
          <w:p w14:paraId="5686EA25">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请澄清中及时提出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否则视为充分理解招标文件各项要求。</w:t>
            </w:r>
          </w:p>
          <w:p w14:paraId="1F3913A6">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投标单位应在中标后递交纸质版投标文件，如二者内容不一致，则以电子版投标文件为准。</w:t>
            </w:r>
          </w:p>
        </w:tc>
      </w:tr>
      <w:tr w14:paraId="60E23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5D0BC99">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71170A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中小企业政策</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3D984B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本次采购标的所属行业为</w:t>
            </w:r>
            <w:r>
              <w:rPr>
                <w:rFonts w:hint="eastAsia" w:cs="宋体"/>
                <w:b/>
                <w:bCs/>
                <w:color w:val="000000" w:themeColor="text1"/>
                <w:kern w:val="2"/>
                <w:sz w:val="24"/>
                <w:szCs w:val="24"/>
                <w:highlight w:val="none"/>
                <w:u w:val="single"/>
                <w:lang w:val="en-US" w:eastAsia="zh-CN"/>
                <w14:textFill>
                  <w14:solidFill>
                    <w14:schemeClr w14:val="tx1"/>
                  </w14:solidFill>
                </w14:textFill>
              </w:rPr>
              <w:t>其他未列明行业</w:t>
            </w:r>
            <w:r>
              <w:rPr>
                <w:rFonts w:hint="eastAsia" w:ascii="宋体" w:hAnsi="宋体" w:eastAsia="宋体" w:cs="宋体"/>
                <w:color w:val="auto"/>
                <w:kern w:val="2"/>
                <w:sz w:val="24"/>
                <w:szCs w:val="24"/>
                <w:highlight w:val="none"/>
                <w:lang w:val="en-US" w:eastAsia="zh-CN" w:bidi="ar-SA"/>
              </w:rPr>
              <w:t>《政府采购需求管理办法的通知》（财库〔2021〕22号）、《政府采购促进中小企业发展管理办法》（财库[2020]46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的供应商。</w:t>
            </w:r>
          </w:p>
          <w:p w14:paraId="2307754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099D203C">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85B67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（2）本次投标供应商提供的服务由中小企业承接，即服务由中小企业承接；供应商提供的服务既有中小企业承接，也有大型企业承接的，不享受本办法规定的中小企业扶持政策。</w:t>
            </w:r>
          </w:p>
          <w:p w14:paraId="6EA3E016">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w:t>
            </w:r>
            <w:r>
              <w:rPr>
                <w:rFonts w:hint="eastAsia" w:ascii="宋体" w:hAnsi="宋体" w:eastAsia="宋体" w:cs="宋体"/>
                <w:color w:val="auto"/>
                <w:kern w:val="2"/>
                <w:sz w:val="24"/>
                <w:szCs w:val="24"/>
                <w:highlight w:val="none"/>
                <w:lang w:val="en-US" w:eastAsia="zh-CN" w:bidi="ar-SA"/>
              </w:rPr>
              <w:t>定享受扶持政策获得政府采购合同的，小微企业不得将合同分包给大中型企业，中型企业不得将合同分包给大型企业。</w:t>
            </w:r>
          </w:p>
          <w:p w14:paraId="2B4B184D">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044E43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8398907">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B7F9043">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通讯联系</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CFB0381">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66EE70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3CA7A8E">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B7C98B5">
            <w:pPr>
              <w:pStyle w:val="22"/>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对招标文件资质要求、技术参数、商务要求、评分办法等采购需求提出的询问和质疑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A3D680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46A201B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张莉</w:t>
            </w:r>
          </w:p>
          <w:p w14:paraId="68B487FE">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5-8637000、13</w:t>
            </w:r>
            <w:r>
              <w:rPr>
                <w:rFonts w:hint="eastAsia" w:ascii="宋体" w:hAnsi="宋体" w:cs="宋体"/>
                <w:color w:val="auto"/>
                <w:sz w:val="24"/>
                <w:szCs w:val="24"/>
                <w:lang w:val="en-US" w:eastAsia="zh-CN"/>
              </w:rPr>
              <w:t xml:space="preserve">699902201 </w:t>
            </w:r>
            <w:r>
              <w:rPr>
                <w:rFonts w:hint="eastAsia" w:ascii="宋体" w:hAnsi="宋体" w:eastAsia="宋体" w:cs="宋体"/>
                <w:color w:val="auto"/>
                <w:sz w:val="24"/>
                <w:szCs w:val="24"/>
                <w:lang w:val="en-US" w:eastAsia="zh-CN"/>
              </w:rPr>
              <w:t>邮箱：370882269@qq.com</w:t>
            </w:r>
          </w:p>
          <w:p w14:paraId="2AACCCD5">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质疑函接受方式：</w:t>
            </w:r>
            <w:r>
              <w:rPr>
                <w:rFonts w:hint="eastAsia" w:ascii="宋体" w:hAnsi="宋体" w:eastAsia="宋体" w:cs="宋体"/>
                <w:color w:val="auto"/>
                <w:sz w:val="24"/>
                <w:szCs w:val="24"/>
                <w:lang w:val="en-US" w:eastAsia="zh-CN"/>
              </w:rPr>
              <w:t>书面形式</w:t>
            </w:r>
          </w:p>
          <w:p w14:paraId="087C32F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地址：吐鲁番市高昌区示范区和平街11幢2层201号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提出质疑时间：招标文件公告期限届满之日起七个工作日内。</w:t>
            </w:r>
          </w:p>
          <w:p w14:paraId="2ADCF66D">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备注：供应商应当在法定质疑期内一次性提出针对统一采购程序环节的质疑。</w:t>
            </w:r>
          </w:p>
        </w:tc>
      </w:tr>
      <w:tr w14:paraId="00EEC9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68F8FA1">
            <w:pPr>
              <w:pStyle w:val="22"/>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77146A8">
            <w:pPr>
              <w:pStyle w:val="22"/>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招标文件除资质要求、技术参数、商务要求、评分办法等采购需求内容以外事项、</w:t>
            </w:r>
            <w:r>
              <w:rPr>
                <w:rFonts w:hint="eastAsia" w:ascii="宋体" w:hAnsi="宋体" w:eastAsia="宋体" w:cs="宋体"/>
                <w:color w:val="auto"/>
                <w:kern w:val="2"/>
                <w:sz w:val="24"/>
                <w:szCs w:val="24"/>
              </w:rPr>
              <w:t>采购过程和采购结果的询问和质疑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24A9CD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lang w:eastAsia="zh-CN"/>
              </w:rPr>
              <w:t>新疆华域天恒工程管理有限公司</w:t>
            </w:r>
          </w:p>
          <w:p w14:paraId="258530FF">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张莉</w:t>
            </w:r>
          </w:p>
          <w:p w14:paraId="2B252B64">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联系电话：099</w:t>
            </w:r>
            <w:r>
              <w:rPr>
                <w:rFonts w:hint="eastAsia" w:ascii="宋体" w:hAnsi="宋体" w:eastAsia="宋体" w:cs="宋体"/>
                <w:color w:val="auto"/>
                <w:sz w:val="24"/>
                <w:szCs w:val="24"/>
                <w:lang w:val="en-US" w:eastAsia="zh-CN"/>
              </w:rPr>
              <w:t>5-8637000、13</w:t>
            </w:r>
            <w:r>
              <w:rPr>
                <w:rFonts w:hint="eastAsia" w:ascii="宋体" w:hAnsi="宋体" w:cs="宋体"/>
                <w:color w:val="auto"/>
                <w:sz w:val="24"/>
                <w:szCs w:val="24"/>
                <w:lang w:val="en-US" w:eastAsia="zh-CN"/>
              </w:rPr>
              <w:t xml:space="preserve">699902201 </w:t>
            </w:r>
            <w:r>
              <w:rPr>
                <w:rFonts w:hint="eastAsia" w:ascii="宋体" w:hAnsi="宋体" w:eastAsia="宋体" w:cs="宋体"/>
                <w:color w:val="auto"/>
                <w:sz w:val="24"/>
                <w:szCs w:val="24"/>
                <w:lang w:val="en-US" w:eastAsia="zh-CN"/>
              </w:rPr>
              <w:t>邮箱：370882269@qq.com</w:t>
            </w:r>
          </w:p>
          <w:p w14:paraId="12363124">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质疑函接受方式：</w:t>
            </w:r>
            <w:r>
              <w:rPr>
                <w:rFonts w:hint="eastAsia" w:ascii="宋体" w:hAnsi="宋体" w:eastAsia="宋体" w:cs="宋体"/>
                <w:color w:val="auto"/>
                <w:sz w:val="24"/>
                <w:szCs w:val="24"/>
                <w:lang w:val="en-US" w:eastAsia="zh-CN"/>
              </w:rPr>
              <w:t>书面形式</w:t>
            </w:r>
          </w:p>
          <w:p w14:paraId="23D1AEB0">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地址：吐鲁番市高昌区示范区和平街11幢2层201号</w:t>
            </w:r>
            <w:r>
              <w:rPr>
                <w:rFonts w:hint="eastAsia" w:ascii="宋体" w:hAnsi="宋体" w:eastAsia="宋体" w:cs="宋体"/>
                <w:color w:val="auto"/>
                <w:sz w:val="24"/>
                <w:szCs w:val="24"/>
                <w:lang w:val="en-US" w:eastAsia="zh-CN"/>
              </w:rPr>
              <w:t xml:space="preserve"> </w:t>
            </w:r>
          </w:p>
          <w:p w14:paraId="78272BEB">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14:paraId="37FD87BA">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14:paraId="10C3C771">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备注：1、采购单位无正当理由不按照依法推荐的中标候选供应商顺序确定中标供应商，或者在评标委员会依法推荐的中标候选供应商以外确定中标供应商的质疑由采购单位受理。</w:t>
            </w:r>
          </w:p>
          <w:p w14:paraId="7917704A">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2、供应商应当在法定质疑期内一次性提出针对统一采购程序环节的质疑。</w:t>
            </w:r>
          </w:p>
        </w:tc>
      </w:tr>
      <w:tr w14:paraId="44B0D8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32E6421">
            <w:pPr>
              <w:keepNext w:val="0"/>
              <w:keepLines w:val="0"/>
              <w:pageBreakBefore w:val="0"/>
              <w:kinsoku/>
              <w:wordWrap/>
              <w:topLinePunct w:val="0"/>
              <w:bidi w:val="0"/>
              <w:spacing w:line="400" w:lineRule="exact"/>
              <w:ind w:right="8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CF740FC">
            <w:pPr>
              <w:pStyle w:val="22"/>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28997B46">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cs="宋体"/>
                <w:color w:val="auto"/>
                <w:sz w:val="24"/>
                <w:szCs w:val="24"/>
                <w:u w:val="single"/>
                <w:lang w:val="en-US" w:eastAsia="zh-CN"/>
              </w:rPr>
              <w:t>吐鲁番市</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14:paraId="6314B3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61DC173">
            <w:pPr>
              <w:keepNext w:val="0"/>
              <w:keepLines w:val="0"/>
              <w:pageBreakBefore w:val="0"/>
              <w:kinsoku/>
              <w:wordWrap/>
              <w:topLinePunct w:val="0"/>
              <w:bidi w:val="0"/>
              <w:spacing w:line="400" w:lineRule="exact"/>
              <w:ind w:right="80" w:rightChars="0"/>
              <w:jc w:val="center"/>
              <w:rPr>
                <w:rFonts w:hint="default" w:ascii="宋体" w:hAnsi="宋体" w:eastAsia="宋体" w:cs="宋体"/>
                <w:color w:val="auto"/>
                <w:kern w:val="2"/>
                <w:sz w:val="24"/>
                <w:szCs w:val="24"/>
                <w:lang w:val="en-US" w:eastAsia="zh-CN" w:bidi="ar-SA"/>
              </w:rPr>
            </w:pPr>
            <w:r>
              <w:rPr>
                <w:rFonts w:hint="eastAsia" w:ascii="宋体" w:hAnsi="宋体" w:cs="宋体"/>
                <w:bCs/>
                <w:color w:val="auto"/>
                <w:sz w:val="24"/>
                <w:szCs w:val="24"/>
                <w:lang w:val="en-US" w:eastAsia="zh-CN"/>
              </w:rPr>
              <w:t>28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B66400F">
            <w:pPr>
              <w:pStyle w:val="22"/>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327143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14:paraId="5AF776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085EB45">
            <w:pPr>
              <w:pStyle w:val="22"/>
              <w:keepNext w:val="0"/>
              <w:keepLines w:val="0"/>
              <w:pageBreakBefore w:val="0"/>
              <w:kinsoku/>
              <w:wordWrap/>
              <w:topLinePunct w:val="0"/>
              <w:bidi w:val="0"/>
              <w:spacing w:line="400" w:lineRule="exact"/>
              <w:ind w:right="230" w:rightChars="0"/>
              <w:jc w:val="center"/>
              <w:rPr>
                <w:rFonts w:hint="default" w:ascii="宋体" w:hAnsi="宋体" w:eastAsia="宋体" w:cs="宋体"/>
                <w:color w:val="auto"/>
                <w:sz w:val="24"/>
                <w:szCs w:val="24"/>
                <w:lang w:val="en-US" w:eastAsia="zh-CN" w:bidi="ar-SA"/>
              </w:rPr>
            </w:pPr>
            <w:r>
              <w:rPr>
                <w:rFonts w:hint="eastAsia" w:cs="宋体"/>
                <w:color w:val="auto"/>
                <w:sz w:val="24"/>
                <w:szCs w:val="24"/>
                <w:lang w:val="en-US" w:eastAsia="zh-CN"/>
              </w:rPr>
              <w:t>29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EFE95E9">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14:paraId="7DA35078">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9F7A516">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个工作日内，采购人应将政府采购合同在新疆政府采购网公告；政府采购合同签订之日起七个工作日内，政府采购合同将向本采购项目同级财政部门备案。</w:t>
            </w:r>
          </w:p>
          <w:p w14:paraId="78E98A93">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个工作日内，成交供应商应将政府采购合同向采购代理机构审核</w:t>
            </w:r>
            <w:r>
              <w:rPr>
                <w:rFonts w:hint="eastAsia" w:ascii="宋体" w:hAnsi="宋体" w:eastAsia="宋体" w:cs="宋体"/>
                <w:color w:val="auto"/>
                <w:sz w:val="24"/>
                <w:szCs w:val="24"/>
                <w:lang w:val="zh-CN"/>
              </w:rPr>
              <w:t>备案。</w:t>
            </w:r>
          </w:p>
        </w:tc>
      </w:tr>
      <w:tr w14:paraId="25BD23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46D96ED">
            <w:pPr>
              <w:keepNext w:val="0"/>
              <w:keepLines w:val="0"/>
              <w:pageBreakBefore w:val="0"/>
              <w:kinsoku/>
              <w:wordWrap/>
              <w:topLinePunct w:val="0"/>
              <w:bidi w:val="0"/>
              <w:spacing w:line="400" w:lineRule="exact"/>
              <w:ind w:right="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8F49FB7">
            <w:pPr>
              <w:pStyle w:val="24"/>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低于成本价不正当竞争预防措施</w:t>
            </w:r>
          </w:p>
          <w:p w14:paraId="22917B89">
            <w:pPr>
              <w:pStyle w:val="24"/>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rPr>
              <w:t>实质性要求</w:t>
            </w:r>
            <w:r>
              <w:rPr>
                <w:rFonts w:hint="eastAsia" w:ascii="宋体" w:hAnsi="宋体" w:eastAsia="宋体" w:cs="宋体"/>
                <w:bCs/>
                <w:color w:val="auto"/>
                <w:sz w:val="24"/>
                <w:szCs w:val="24"/>
              </w:rPr>
              <w:t>）</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5409B649">
            <w:pPr>
              <w:pStyle w:val="22"/>
              <w:keepNext w:val="0"/>
              <w:keepLines w:val="0"/>
              <w:pageBreakBefore w:val="0"/>
              <w:kinsoku/>
              <w:wordWrap/>
              <w:topLinePunct w:val="0"/>
              <w:bidi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在评标过程中，评审委员会认为投标人报价低于成本价，有可能影响产品质量或者不能诚信履约的，评标委员会应当要求其在评标现场</w:t>
            </w:r>
            <w:r>
              <w:rPr>
                <w:rFonts w:hint="eastAsia" w:ascii="宋体" w:hAnsi="宋体" w:eastAsia="宋体" w:cs="宋体"/>
                <w:color w:val="auto"/>
                <w:sz w:val="24"/>
                <w:szCs w:val="24"/>
                <w:lang w:val="en-US" w:eastAsia="zh-CN"/>
              </w:rPr>
              <w:t>30分钟</w:t>
            </w:r>
            <w:r>
              <w:rPr>
                <w:rFonts w:hint="eastAsia" w:ascii="宋体" w:hAnsi="宋体" w:eastAsia="宋体" w:cs="宋体"/>
                <w:color w:val="auto"/>
                <w:sz w:val="24"/>
                <w:szCs w:val="24"/>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232A3A2">
            <w:pPr>
              <w:keepNext w:val="0"/>
              <w:keepLines w:val="0"/>
              <w:pageBreakBefore w:val="0"/>
              <w:kinsoku/>
              <w:wordWrap/>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auto"/>
                <w:sz w:val="24"/>
                <w:szCs w:val="24"/>
              </w:rPr>
              <w:t>供应商</w:t>
            </w:r>
            <w:r>
              <w:rPr>
                <w:rFonts w:hint="eastAsia" w:ascii="宋体" w:hAnsi="宋体" w:eastAsia="宋体" w:cs="宋体"/>
                <w:b/>
                <w:color w:val="auto"/>
                <w:sz w:val="24"/>
                <w:szCs w:val="24"/>
                <w:lang w:val="en-US" w:eastAsia="zh-CN"/>
              </w:rPr>
              <w:t>逾期、</w:t>
            </w:r>
            <w:r>
              <w:rPr>
                <w:rFonts w:hint="eastAsia" w:ascii="宋体" w:hAnsi="宋体" w:eastAsia="宋体" w:cs="宋体"/>
                <w:b/>
                <w:color w:val="auto"/>
                <w:sz w:val="24"/>
                <w:szCs w:val="24"/>
              </w:rPr>
              <w:t>拒绝或者变相拒绝提供有效书面说明或者书面说明不能证明其报价合理性的，评标委员会应当将其</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作为无效处理。</w:t>
            </w:r>
          </w:p>
        </w:tc>
      </w:tr>
      <w:tr w14:paraId="529460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3C5E7A7">
            <w:pPr>
              <w:keepNext w:val="0"/>
              <w:keepLines w:val="0"/>
              <w:pageBreakBefore w:val="0"/>
              <w:kinsoku/>
              <w:wordWrap/>
              <w:topLinePunct w:val="0"/>
              <w:bidi w:val="0"/>
              <w:spacing w:line="400" w:lineRule="exact"/>
              <w:ind w:right="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81B1CC7">
            <w:pPr>
              <w:pStyle w:val="22"/>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招标代理费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E66A8D5">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1B100351">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highlight w:val="none"/>
                <w:lang w:val="zh-CN"/>
              </w:rPr>
              <w:t>代理费收取标准：参照计价格【2002】1980号及发改办价格【2003】857号文件有关规定执行，</w:t>
            </w:r>
            <w:r>
              <w:rPr>
                <w:rFonts w:hint="eastAsia" w:ascii="宋体" w:hAnsi="宋体" w:eastAsia="宋体" w:cs="宋体"/>
                <w:color w:val="auto"/>
                <w:sz w:val="24"/>
                <w:szCs w:val="24"/>
                <w:highlight w:val="none"/>
                <w:lang w:val="en-US" w:eastAsia="zh-CN"/>
              </w:rPr>
              <w:t>按标准下浮20%</w:t>
            </w:r>
            <w:r>
              <w:rPr>
                <w:rFonts w:hint="eastAsia" w:ascii="宋体" w:hAnsi="宋体" w:eastAsia="宋体" w:cs="宋体"/>
                <w:color w:val="auto"/>
                <w:sz w:val="24"/>
                <w:szCs w:val="24"/>
                <w:highlight w:val="none"/>
                <w:lang w:val="zh-CN"/>
              </w:rPr>
              <w:t>，由中标人支付。</w:t>
            </w:r>
          </w:p>
        </w:tc>
      </w:tr>
      <w:tr w14:paraId="451FA3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2CE3E12">
            <w:pPr>
              <w:pStyle w:val="22"/>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8BA1AD0">
            <w:pPr>
              <w:pStyle w:val="22"/>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信用查询记录</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74EBB53">
            <w:pPr>
              <w:keepNext w:val="0"/>
              <w:keepLines w:val="0"/>
              <w:pageBreakBefore w:val="0"/>
              <w:tabs>
                <w:tab w:val="left" w:pos="7665"/>
              </w:tabs>
              <w:kinsoku/>
              <w:wordWrap/>
              <w:topLinePunct w:val="0"/>
              <w:bidi w:val="0"/>
              <w:spacing w:line="400" w:lineRule="exac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资格审查时，通过“信用中国”网站(www.creditchina.gov.cn)、中国政府采购网(www.ccgp.gov.cn)</w:t>
            </w:r>
            <w:r>
              <w:rPr>
                <w:rFonts w:hint="eastAsia" w:ascii="宋体" w:hAnsi="宋体" w:cs="宋体"/>
                <w:color w:val="auto"/>
                <w:sz w:val="24"/>
                <w:szCs w:val="24"/>
                <w:lang w:val="zh-CN"/>
              </w:rPr>
              <w:t>、</w:t>
            </w:r>
            <w:r>
              <w:rPr>
                <w:rFonts w:hint="eastAsia" w:ascii="宋体" w:hAnsi="宋体" w:eastAsia="宋体" w:cs="宋体"/>
                <w:sz w:val="24"/>
                <w:szCs w:val="24"/>
                <w:highlight w:val="none"/>
                <w:lang w:val="en-US" w:eastAsia="zh-CN"/>
              </w:rPr>
              <w:t>国家企业信用信息公示系统（www.gsxt.gov.cn）</w:t>
            </w:r>
            <w:r>
              <w:rPr>
                <w:rFonts w:hint="eastAsia" w:ascii="宋体" w:hAnsi="宋体" w:eastAsia="宋体" w:cs="宋体"/>
                <w:color w:val="auto"/>
                <w:sz w:val="24"/>
                <w:szCs w:val="24"/>
                <w:lang w:val="zh-CN"/>
              </w:rPr>
              <w:t>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4EF611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D0722E0">
            <w:pPr>
              <w:pStyle w:val="22"/>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75A8D717">
            <w:pPr>
              <w:pStyle w:val="22"/>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节能环保</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15AB7AB">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政府采购强制采购：</w:t>
            </w:r>
            <w:r>
              <w:rPr>
                <w:rFonts w:hint="eastAsia" w:ascii="宋体" w:hAnsi="宋体" w:eastAsia="宋体" w:cs="宋体"/>
                <w:color w:val="000000"/>
                <w:kern w:val="0"/>
                <w:sz w:val="24"/>
                <w:szCs w:val="24"/>
                <w:lang w:val="en-US" w:eastAsia="zh-CN" w:bidi="ar"/>
              </w:rPr>
              <w:t xml:space="preserve">(1)标记符号的节能产品；(2)其他。采购最新一期《节能产品政府采购清单》的产品。 </w:t>
            </w:r>
          </w:p>
          <w:p w14:paraId="4BC8B5C1">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政府采购优先采购：</w:t>
            </w:r>
            <w:r>
              <w:rPr>
                <w:rFonts w:hint="eastAsia" w:ascii="宋体" w:hAnsi="宋体" w:eastAsia="宋体" w:cs="宋体"/>
                <w:color w:val="000000"/>
                <w:kern w:val="0"/>
                <w:sz w:val="24"/>
                <w:szCs w:val="24"/>
                <w:lang w:val="en-US" w:eastAsia="zh-CN" w:bidi="ar"/>
              </w:rPr>
              <w:t xml:space="preserve">(1)非标记符号的节能产品；(2)环境标志产品； </w:t>
            </w:r>
          </w:p>
          <w:p w14:paraId="639C96ED">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采购产品为《节能产品政府采购清单》(最新期)内非标记符号的节能产品及《环境标 志产品政府采购清单》(最新期)内的产品： </w:t>
            </w:r>
          </w:p>
          <w:p w14:paraId="494AE354">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579A0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F51CCD9">
            <w:pPr>
              <w:pStyle w:val="22"/>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7A653145">
            <w:pPr>
              <w:pStyle w:val="22"/>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cs="宋体"/>
                <w:color w:val="auto"/>
                <w:sz w:val="24"/>
                <w:szCs w:val="24"/>
                <w:lang w:val="zh-CN"/>
              </w:rPr>
              <w:t>特别提示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5E91B86A">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文件中部分</w:t>
            </w:r>
            <w:r>
              <w:rPr>
                <w:rFonts w:hint="eastAsia" w:ascii="宋体" w:hAnsi="宋体" w:eastAsia="宋体" w:cs="宋体"/>
                <w:b/>
                <w:sz w:val="24"/>
                <w:szCs w:val="24"/>
                <w:lang w:eastAsia="zh-CN"/>
              </w:rPr>
              <w:t>标有</w:t>
            </w:r>
            <w:r>
              <w:rPr>
                <w:rFonts w:hint="eastAsia" w:ascii="宋体" w:hAnsi="宋体" w:eastAsia="宋体" w:cs="宋体"/>
                <w:b/>
                <w:bCs/>
                <w:color w:val="auto"/>
                <w:sz w:val="24"/>
                <w:szCs w:val="24"/>
              </w:rPr>
              <w:t>实质性要求</w:t>
            </w:r>
            <w:r>
              <w:rPr>
                <w:rFonts w:hint="eastAsia" w:ascii="宋体" w:hAnsi="宋体" w:eastAsia="宋体" w:cs="宋体"/>
                <w:b/>
                <w:bCs/>
                <w:color w:val="auto"/>
                <w:sz w:val="24"/>
                <w:szCs w:val="24"/>
                <w:lang w:eastAsia="zh-CN"/>
              </w:rPr>
              <w:t>、</w:t>
            </w:r>
            <w:r>
              <w:rPr>
                <w:rFonts w:hint="eastAsia" w:ascii="宋体" w:hAnsi="宋体" w:eastAsia="宋体" w:cs="宋体"/>
                <w:b/>
                <w:sz w:val="24"/>
                <w:szCs w:val="24"/>
              </w:rPr>
              <w:t>加粗、加下划线、废标、无效标、投标被拒绝字样的条款，为招标的实质性要求和条件，着重提醒各投标人注意，并认真查看</w:t>
            </w:r>
            <w:r>
              <w:rPr>
                <w:rFonts w:hint="eastAsia" w:ascii="宋体" w:hAnsi="宋体" w:eastAsia="宋体" w:cs="宋体"/>
                <w:b/>
                <w:sz w:val="24"/>
                <w:szCs w:val="24"/>
                <w:lang w:eastAsia="zh-CN"/>
              </w:rPr>
              <w:t>采购</w:t>
            </w:r>
            <w:r>
              <w:rPr>
                <w:rFonts w:hint="eastAsia" w:ascii="宋体" w:hAnsi="宋体" w:eastAsia="宋体" w:cs="宋体"/>
                <w:b/>
                <w:sz w:val="24"/>
                <w:szCs w:val="24"/>
              </w:rPr>
              <w:t>文件中的每一个条款及要求，因误读</w:t>
            </w:r>
            <w:r>
              <w:rPr>
                <w:rFonts w:hint="eastAsia" w:ascii="宋体" w:hAnsi="宋体" w:eastAsia="宋体" w:cs="宋体"/>
                <w:b/>
                <w:sz w:val="24"/>
                <w:szCs w:val="24"/>
                <w:lang w:eastAsia="zh-CN"/>
              </w:rPr>
              <w:t>采购</w:t>
            </w:r>
            <w:r>
              <w:rPr>
                <w:rFonts w:hint="eastAsia" w:ascii="宋体" w:hAnsi="宋体" w:eastAsia="宋体" w:cs="宋体"/>
                <w:b/>
                <w:sz w:val="24"/>
                <w:szCs w:val="24"/>
              </w:rPr>
              <w:t>文件而造成的后果，采购人概不负责。</w:t>
            </w:r>
          </w:p>
          <w:p w14:paraId="08037B59">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本表是本招标项目的具体资料，是对投标人须知的具体补充和修改，如有矛</w:t>
            </w:r>
          </w:p>
          <w:p w14:paraId="25DF31CC">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t>盾，应以本表为准。</w:t>
            </w:r>
          </w:p>
        </w:tc>
      </w:tr>
    </w:tbl>
    <w:p w14:paraId="5F61807B">
      <w:pPr>
        <w:pStyle w:val="7"/>
        <w:spacing w:before="67" w:line="211" w:lineRule="auto"/>
      </w:pPr>
    </w:p>
    <w:p w14:paraId="2B7D185A">
      <w:pPr>
        <w:rPr>
          <w:rFonts w:ascii="Arial" w:hAnsi="Arial" w:eastAsia="Arial" w:cs="Arial"/>
          <w:sz w:val="21"/>
          <w:szCs w:val="21"/>
        </w:rPr>
        <w:sectPr>
          <w:pgSz w:w="11906" w:h="16839"/>
          <w:pgMar w:top="1431" w:right="1145" w:bottom="1172" w:left="1145" w:header="0" w:footer="1304" w:gutter="0"/>
          <w:pgNumType w:fmt="decimal"/>
          <w:cols w:space="720" w:num="1"/>
        </w:sectPr>
      </w:pPr>
    </w:p>
    <w:p w14:paraId="5704A484">
      <w:pPr>
        <w:spacing w:line="91" w:lineRule="auto"/>
        <w:rPr>
          <w:rFonts w:ascii="Arial"/>
          <w:sz w:val="2"/>
        </w:rPr>
      </w:pPr>
    </w:p>
    <w:p w14:paraId="1882874E">
      <w:pPr>
        <w:pStyle w:val="7"/>
        <w:spacing w:before="87" w:line="219" w:lineRule="auto"/>
        <w:ind w:left="3961"/>
        <w:outlineLvl w:val="0"/>
      </w:pPr>
      <w:r>
        <w:rPr>
          <w:rFonts w:hint="eastAsia"/>
          <w:b/>
          <w:bCs/>
          <w:spacing w:val="-4"/>
          <w:lang w:val="en-US" w:eastAsia="zh-CN"/>
        </w:rPr>
        <w:t>第</w:t>
      </w:r>
      <w:r>
        <w:rPr>
          <w:b/>
          <w:bCs/>
          <w:spacing w:val="-4"/>
        </w:rPr>
        <w:t>三章</w:t>
      </w:r>
      <w:r>
        <w:rPr>
          <w:spacing w:val="-4"/>
        </w:rPr>
        <w:t xml:space="preserve"> </w:t>
      </w:r>
      <w:r>
        <w:rPr>
          <w:b/>
          <w:bCs/>
          <w:spacing w:val="-4"/>
        </w:rPr>
        <w:t>投标人须知</w:t>
      </w:r>
    </w:p>
    <w:p w14:paraId="648E6EB2">
      <w:pPr>
        <w:pStyle w:val="7"/>
        <w:spacing w:before="67" w:line="221" w:lineRule="auto"/>
        <w:ind w:left="4458"/>
        <w:outlineLvl w:val="2"/>
      </w:pPr>
      <w:r>
        <w:rPr>
          <w:b/>
          <w:bCs/>
          <w:spacing w:val="-6"/>
        </w:rPr>
        <w:t>（一）总则</w:t>
      </w:r>
    </w:p>
    <w:p w14:paraId="4105B822">
      <w:pPr>
        <w:pStyle w:val="7"/>
        <w:spacing w:before="66" w:line="219" w:lineRule="auto"/>
        <w:ind w:left="581"/>
        <w:outlineLvl w:val="3"/>
      </w:pPr>
      <w:r>
        <w:rPr>
          <w:b/>
          <w:bCs/>
          <w:spacing w:val="-4"/>
        </w:rPr>
        <w:t>1.采购人、采购代理机构及投标人</w:t>
      </w:r>
    </w:p>
    <w:p w14:paraId="1CF1B2C0">
      <w:pPr>
        <w:pStyle w:val="7"/>
        <w:spacing w:before="66" w:line="219" w:lineRule="auto"/>
        <w:jc w:val="right"/>
      </w:pPr>
      <w:r>
        <w:rPr>
          <w:spacing w:val="-2"/>
        </w:rPr>
        <w:t>1.1   采购人：是指依法进行政府采购的国家机关、事业单位、团体组织。</w:t>
      </w:r>
    </w:p>
    <w:p w14:paraId="4D6199CD">
      <w:pPr>
        <w:pStyle w:val="7"/>
        <w:spacing w:before="70" w:line="242" w:lineRule="auto"/>
        <w:ind w:left="4" w:right="14" w:firstLine="576"/>
      </w:pPr>
      <w:r>
        <w:rPr>
          <w:spacing w:val="-2"/>
        </w:rPr>
        <w:t>1.2   采购代理机构：是指集中采购机构或</w:t>
      </w:r>
      <w:r>
        <w:rPr>
          <w:spacing w:val="-3"/>
        </w:rPr>
        <w:t>从事采购代理业务的社会中介机</w:t>
      </w:r>
      <w:r>
        <w:t xml:space="preserve"> </w:t>
      </w:r>
      <w:r>
        <w:rPr>
          <w:spacing w:val="-7"/>
        </w:rPr>
        <w:t>构。</w:t>
      </w:r>
    </w:p>
    <w:p w14:paraId="53A36337">
      <w:pPr>
        <w:pStyle w:val="7"/>
        <w:spacing w:before="62" w:line="250" w:lineRule="auto"/>
        <w:ind w:left="3" w:right="13" w:firstLine="577"/>
      </w:pPr>
      <w:r>
        <w:rPr>
          <w:spacing w:val="-2"/>
        </w:rPr>
        <w:t>1.3   投标人：是指响应招标、参加投标竞</w:t>
      </w:r>
      <w:r>
        <w:rPr>
          <w:spacing w:val="-3"/>
        </w:rPr>
        <w:t>争的法人、非法人组织或者自然</w:t>
      </w:r>
      <w:r>
        <w:t xml:space="preserve"> </w:t>
      </w:r>
      <w:r>
        <w:rPr>
          <w:spacing w:val="-2"/>
        </w:rPr>
        <w:t>人。潜在投标人：以招标文件规定的方式获取本项目招标文件的法人、非法人组</w:t>
      </w:r>
      <w:r>
        <w:rPr>
          <w:spacing w:val="2"/>
        </w:rPr>
        <w:t xml:space="preserve"> </w:t>
      </w:r>
      <w:r>
        <w:rPr>
          <w:spacing w:val="-2"/>
        </w:rPr>
        <w:t>织或者自然人。</w:t>
      </w:r>
    </w:p>
    <w:p w14:paraId="0522F89F">
      <w:pPr>
        <w:pStyle w:val="7"/>
        <w:spacing w:before="64" w:line="220" w:lineRule="auto"/>
        <w:ind w:left="581"/>
        <w:outlineLvl w:val="4"/>
      </w:pPr>
      <w:r>
        <w:rPr>
          <w:b/>
          <w:bCs/>
          <w:spacing w:val="-4"/>
        </w:rPr>
        <w:t>1.4</w:t>
      </w:r>
      <w:r>
        <w:rPr>
          <w:spacing w:val="-4"/>
        </w:rPr>
        <w:t xml:space="preserve">   </w:t>
      </w:r>
      <w:r>
        <w:rPr>
          <w:b/>
          <w:bCs/>
          <w:spacing w:val="-4"/>
        </w:rPr>
        <w:t>投标人须满足以下条件：</w:t>
      </w:r>
    </w:p>
    <w:p w14:paraId="06F9EB26">
      <w:pPr>
        <w:pStyle w:val="7"/>
        <w:spacing w:before="69" w:line="242" w:lineRule="auto"/>
        <w:ind w:left="7" w:right="14" w:firstLine="573"/>
      </w:pPr>
      <w:r>
        <w:rPr>
          <w:spacing w:val="-2"/>
        </w:rPr>
        <w:t>1.4.1 具备《中华人民共和国政府采购法》</w:t>
      </w:r>
      <w:r>
        <w:rPr>
          <w:spacing w:val="-3"/>
        </w:rPr>
        <w:t>第二十二条关于供应商条件的规</w:t>
      </w:r>
      <w:r>
        <w:t xml:space="preserve"> </w:t>
      </w:r>
      <w:r>
        <w:rPr>
          <w:spacing w:val="-9"/>
        </w:rPr>
        <w:t>定。</w:t>
      </w:r>
    </w:p>
    <w:p w14:paraId="46E32FB8">
      <w:pPr>
        <w:pStyle w:val="7"/>
        <w:spacing w:before="64" w:line="219" w:lineRule="auto"/>
        <w:ind w:left="581"/>
      </w:pPr>
      <w:r>
        <w:rPr>
          <w:spacing w:val="-3"/>
        </w:rPr>
        <w:t>1.4.2</w:t>
      </w:r>
      <w:r>
        <w:rPr>
          <w:spacing w:val="48"/>
        </w:rPr>
        <w:t xml:space="preserve"> </w:t>
      </w:r>
      <w:r>
        <w:rPr>
          <w:spacing w:val="-3"/>
        </w:rPr>
        <w:t>以招标文件规定的方式获得了本项目的招标文件。</w:t>
      </w:r>
    </w:p>
    <w:p w14:paraId="7A0B4709">
      <w:pPr>
        <w:pStyle w:val="7"/>
        <w:spacing w:before="68" w:line="219" w:lineRule="auto"/>
        <w:ind w:left="581"/>
      </w:pPr>
      <w:r>
        <w:rPr>
          <w:spacing w:val="-2"/>
        </w:rPr>
        <w:t>1.4.3 符合本项目合格投标人的其他资格要求。</w:t>
      </w:r>
    </w:p>
    <w:p w14:paraId="2BC4BDDA">
      <w:pPr>
        <w:pStyle w:val="7"/>
        <w:spacing w:before="69" w:line="241" w:lineRule="auto"/>
        <w:ind w:left="2" w:right="13" w:firstLine="578"/>
      </w:pPr>
      <w:r>
        <w:rPr>
          <w:spacing w:val="-2"/>
        </w:rPr>
        <w:t>1.4.4 若本项目专门面向中小企业采购的，</w:t>
      </w:r>
      <w:r>
        <w:rPr>
          <w:spacing w:val="-3"/>
        </w:rPr>
        <w:t>如投标人非</w:t>
      </w:r>
      <w:r>
        <w:rPr>
          <w:spacing w:val="-3"/>
          <w:highlight w:val="none"/>
        </w:rPr>
        <w:t>中小企</w:t>
      </w:r>
      <w:r>
        <w:rPr>
          <w:spacing w:val="-3"/>
        </w:rPr>
        <w:t>业</w:t>
      </w:r>
      <w:r>
        <w:rPr>
          <w:rFonts w:hint="eastAsia"/>
          <w:spacing w:val="-3"/>
          <w:lang w:val="en-US" w:eastAsia="zh-CN"/>
        </w:rPr>
        <w:t>承接</w:t>
      </w:r>
      <w:r>
        <w:rPr>
          <w:spacing w:val="-3"/>
        </w:rPr>
        <w:t>，其投</w:t>
      </w:r>
      <w:r>
        <w:t xml:space="preserve"> </w:t>
      </w:r>
      <w:r>
        <w:rPr>
          <w:spacing w:val="-2"/>
        </w:rPr>
        <w:t>标将被认定为</w:t>
      </w:r>
      <w:r>
        <w:rPr>
          <w:b/>
          <w:bCs/>
          <w:spacing w:val="-2"/>
        </w:rPr>
        <w:t>投标无效</w:t>
      </w:r>
      <w:r>
        <w:rPr>
          <w:spacing w:val="-2"/>
        </w:rPr>
        <w:t>。</w:t>
      </w:r>
    </w:p>
    <w:p w14:paraId="0907F590">
      <w:pPr>
        <w:pStyle w:val="7"/>
        <w:spacing w:before="68" w:line="219" w:lineRule="auto"/>
        <w:ind w:left="581"/>
        <w:outlineLvl w:val="4"/>
        <w:rPr>
          <w:rFonts w:hint="eastAsia" w:eastAsia="宋体"/>
          <w:lang w:eastAsia="zh-CN"/>
        </w:rPr>
      </w:pPr>
      <w:r>
        <w:rPr>
          <w:b/>
          <w:bCs/>
          <w:spacing w:val="-2"/>
        </w:rPr>
        <w:t>1.5</w:t>
      </w:r>
      <w:r>
        <w:rPr>
          <w:spacing w:val="-2"/>
        </w:rPr>
        <w:t xml:space="preserve">   </w:t>
      </w:r>
      <w:r>
        <w:rPr>
          <w:b/>
          <w:bCs/>
          <w:spacing w:val="-2"/>
        </w:rPr>
        <w:t>如本项目</w:t>
      </w:r>
      <w:r>
        <w:rPr>
          <w:rFonts w:hint="eastAsia"/>
          <w:b/>
          <w:bCs/>
          <w:spacing w:val="-2"/>
          <w:lang w:val="en-US" w:eastAsia="zh-CN"/>
        </w:rPr>
        <w:t>不接受</w:t>
      </w:r>
      <w:r>
        <w:rPr>
          <w:b/>
          <w:bCs/>
          <w:spacing w:val="-2"/>
        </w:rPr>
        <w:t>联合体投标</w:t>
      </w:r>
      <w:r>
        <w:rPr>
          <w:rFonts w:hint="eastAsia"/>
          <w:b/>
          <w:bCs/>
          <w:spacing w:val="-2"/>
          <w:lang w:eastAsia="zh-CN"/>
        </w:rPr>
        <w:t>。</w:t>
      </w:r>
    </w:p>
    <w:p w14:paraId="6E35ECF5">
      <w:pPr>
        <w:pStyle w:val="7"/>
        <w:spacing w:before="68" w:line="241" w:lineRule="auto"/>
        <w:ind w:left="2" w:right="14" w:firstLine="578"/>
      </w:pPr>
      <w:r>
        <w:rPr>
          <w:spacing w:val="-2"/>
        </w:rPr>
        <w:t>1.6   单位负责人为同一人或者存在直接控</w:t>
      </w:r>
      <w:r>
        <w:rPr>
          <w:spacing w:val="-3"/>
        </w:rPr>
        <w:t>股、管理关系的不同供应商参与</w:t>
      </w:r>
      <w:r>
        <w:t xml:space="preserve"> </w:t>
      </w:r>
      <w:r>
        <w:rPr>
          <w:spacing w:val="-1"/>
        </w:rPr>
        <w:t>本项目同一合同项下的投标的，其相关投标将被认定为</w:t>
      </w:r>
      <w:r>
        <w:rPr>
          <w:b/>
          <w:bCs/>
          <w:spacing w:val="-1"/>
        </w:rPr>
        <w:t>投标无效</w:t>
      </w:r>
      <w:r>
        <w:rPr>
          <w:spacing w:val="-1"/>
        </w:rPr>
        <w:t>。</w:t>
      </w:r>
    </w:p>
    <w:p w14:paraId="71F81BB3">
      <w:pPr>
        <w:pStyle w:val="7"/>
        <w:spacing w:before="69" w:line="249" w:lineRule="auto"/>
        <w:ind w:left="1" w:right="13" w:firstLine="579"/>
      </w:pPr>
      <w:r>
        <w:rPr>
          <w:spacing w:val="-2"/>
        </w:rPr>
        <w:t>1.7   为本项目提供过整体设计、规范编制</w:t>
      </w:r>
      <w:r>
        <w:rPr>
          <w:spacing w:val="-3"/>
        </w:rPr>
        <w:t>或者项目管理、监理、检测等服</w:t>
      </w:r>
      <w:r>
        <w:t xml:space="preserve"> </w:t>
      </w:r>
      <w:r>
        <w:rPr>
          <w:spacing w:val="-2"/>
        </w:rPr>
        <w:t>务的供应商，不得再参加本项目上述服务以外的其他采购活动。否则其投标将被</w:t>
      </w:r>
      <w:r>
        <w:rPr>
          <w:spacing w:val="4"/>
        </w:rPr>
        <w:t xml:space="preserve"> </w:t>
      </w:r>
      <w:r>
        <w:rPr>
          <w:spacing w:val="-3"/>
        </w:rPr>
        <w:t>认定为</w:t>
      </w:r>
      <w:r>
        <w:rPr>
          <w:b/>
          <w:bCs/>
          <w:spacing w:val="-3"/>
        </w:rPr>
        <w:t>投标无效</w:t>
      </w:r>
      <w:r>
        <w:rPr>
          <w:spacing w:val="-3"/>
        </w:rPr>
        <w:t>。</w:t>
      </w:r>
    </w:p>
    <w:p w14:paraId="0399D9BD">
      <w:pPr>
        <w:pStyle w:val="7"/>
        <w:spacing w:before="66" w:line="252" w:lineRule="auto"/>
        <w:ind w:left="5" w:right="9" w:firstLine="575"/>
      </w:pPr>
      <w:r>
        <w:rPr>
          <w:b/>
          <w:bCs/>
          <w:spacing w:val="-5"/>
        </w:rPr>
        <w:t>1.8</w:t>
      </w:r>
      <w:r>
        <w:rPr>
          <w:spacing w:val="-5"/>
        </w:rPr>
        <w:t xml:space="preserve">   </w:t>
      </w:r>
      <w:r>
        <w:rPr>
          <w:b/>
          <w:bCs/>
          <w:spacing w:val="-5"/>
        </w:rPr>
        <w:t>在政府采购活动中，采购人员及相关人员与供应商有下列利害关系之</w:t>
      </w:r>
      <w:r>
        <w:rPr>
          <w:spacing w:val="2"/>
        </w:rPr>
        <w:t xml:space="preserve"> </w:t>
      </w:r>
      <w:r>
        <w:rPr>
          <w:b/>
          <w:bCs/>
          <w:spacing w:val="-4"/>
        </w:rPr>
        <w:t>一的，应当回避：</w:t>
      </w:r>
    </w:p>
    <w:p w14:paraId="174A1F70">
      <w:pPr>
        <w:pStyle w:val="7"/>
        <w:spacing w:before="36" w:line="219" w:lineRule="auto"/>
        <w:ind w:left="581"/>
      </w:pPr>
      <w:r>
        <w:rPr>
          <w:spacing w:val="-2"/>
        </w:rPr>
        <w:t>1.8.1 参加采购活动前</w:t>
      </w:r>
      <w:r>
        <w:rPr>
          <w:spacing w:val="-54"/>
        </w:rPr>
        <w:t xml:space="preserve"> </w:t>
      </w:r>
      <w:r>
        <w:rPr>
          <w:spacing w:val="-2"/>
        </w:rPr>
        <w:t>3</w:t>
      </w:r>
      <w:r>
        <w:rPr>
          <w:spacing w:val="-57"/>
        </w:rPr>
        <w:t xml:space="preserve"> </w:t>
      </w:r>
      <w:r>
        <w:rPr>
          <w:spacing w:val="-2"/>
        </w:rPr>
        <w:t>年内与供应商存</w:t>
      </w:r>
      <w:r>
        <w:rPr>
          <w:spacing w:val="-3"/>
        </w:rPr>
        <w:t>在劳动关系。</w:t>
      </w:r>
    </w:p>
    <w:p w14:paraId="67EAE22C">
      <w:pPr>
        <w:pStyle w:val="7"/>
        <w:spacing w:before="68" w:line="219" w:lineRule="auto"/>
        <w:ind w:left="581"/>
      </w:pPr>
      <w:r>
        <w:rPr>
          <w:spacing w:val="-2"/>
        </w:rPr>
        <w:t>1.8.2 参加采购活动前</w:t>
      </w:r>
      <w:r>
        <w:rPr>
          <w:spacing w:val="-53"/>
        </w:rPr>
        <w:t xml:space="preserve"> </w:t>
      </w:r>
      <w:r>
        <w:rPr>
          <w:spacing w:val="-2"/>
        </w:rPr>
        <w:t>3</w:t>
      </w:r>
      <w:r>
        <w:rPr>
          <w:spacing w:val="-58"/>
        </w:rPr>
        <w:t xml:space="preserve"> </w:t>
      </w:r>
      <w:r>
        <w:rPr>
          <w:spacing w:val="-2"/>
        </w:rPr>
        <w:t>年内担任供应商的董事</w:t>
      </w:r>
      <w:r>
        <w:rPr>
          <w:spacing w:val="-3"/>
        </w:rPr>
        <w:t>、监事。</w:t>
      </w:r>
    </w:p>
    <w:p w14:paraId="23E8C308">
      <w:pPr>
        <w:pStyle w:val="7"/>
        <w:spacing w:before="69" w:line="219" w:lineRule="auto"/>
        <w:ind w:left="581"/>
      </w:pPr>
      <w:r>
        <w:rPr>
          <w:spacing w:val="-2"/>
        </w:rPr>
        <w:t>1.8.3 参加采购活动前</w:t>
      </w:r>
      <w:r>
        <w:rPr>
          <w:spacing w:val="-48"/>
        </w:rPr>
        <w:t xml:space="preserve"> </w:t>
      </w:r>
      <w:r>
        <w:rPr>
          <w:spacing w:val="-2"/>
        </w:rPr>
        <w:t>3</w:t>
      </w:r>
      <w:r>
        <w:rPr>
          <w:spacing w:val="-58"/>
        </w:rPr>
        <w:t xml:space="preserve"> </w:t>
      </w:r>
      <w:r>
        <w:rPr>
          <w:spacing w:val="-2"/>
        </w:rPr>
        <w:t>年内是供应商的控股股东或者实际控制人。</w:t>
      </w:r>
    </w:p>
    <w:p w14:paraId="7205BBC6">
      <w:pPr>
        <w:pStyle w:val="7"/>
        <w:spacing w:before="66" w:line="242" w:lineRule="auto"/>
        <w:ind w:left="3" w:right="13" w:firstLine="577"/>
      </w:pPr>
      <w:r>
        <w:rPr>
          <w:spacing w:val="-2"/>
        </w:rPr>
        <w:t>1.8.4 与供应商的法定代表人或者负责人有</w:t>
      </w:r>
      <w:r>
        <w:rPr>
          <w:spacing w:val="-3"/>
        </w:rPr>
        <w:t>夫妻、直系血亲、三代以内旁系</w:t>
      </w:r>
      <w:r>
        <w:t xml:space="preserve"> </w:t>
      </w:r>
      <w:r>
        <w:rPr>
          <w:spacing w:val="-2"/>
        </w:rPr>
        <w:t>血亲或者近姻亲关系。</w:t>
      </w:r>
    </w:p>
    <w:p w14:paraId="40FCEA4C">
      <w:pPr>
        <w:pStyle w:val="7"/>
        <w:spacing w:before="68" w:line="219" w:lineRule="auto"/>
        <w:ind w:left="581"/>
      </w:pPr>
      <w:r>
        <w:rPr>
          <w:spacing w:val="-1"/>
        </w:rPr>
        <w:t>1.8.5 与供应商有其他可能影响政府采购活动公平、公正进行的关系。</w:t>
      </w:r>
    </w:p>
    <w:p w14:paraId="483B98D4">
      <w:pPr>
        <w:pStyle w:val="7"/>
        <w:spacing w:before="67" w:line="249" w:lineRule="auto"/>
        <w:ind w:right="13" w:firstLine="581"/>
      </w:pPr>
      <w:r>
        <w:rPr>
          <w:spacing w:val="-2"/>
        </w:rPr>
        <w:t>1.8.6 供应商认为采购人员及相关人员与其</w:t>
      </w:r>
      <w:r>
        <w:rPr>
          <w:spacing w:val="-3"/>
        </w:rPr>
        <w:t>他供应商有利害关系的，可以向</w:t>
      </w:r>
      <w:r>
        <w:t xml:space="preserve"> </w:t>
      </w:r>
      <w:r>
        <w:rPr>
          <w:spacing w:val="-2"/>
        </w:rPr>
        <w:t>采购人或者采购代理机构书面提出回避申请，并说明理由。采购人或者采购代理</w:t>
      </w:r>
      <w:r>
        <w:rPr>
          <w:spacing w:val="5"/>
        </w:rPr>
        <w:t xml:space="preserve"> </w:t>
      </w:r>
      <w:r>
        <w:t>机构应当及时询问被申请回避人员，有利害关系的被</w:t>
      </w:r>
      <w:r>
        <w:rPr>
          <w:spacing w:val="-1"/>
        </w:rPr>
        <w:t>申请回避人员应当回避。</w:t>
      </w:r>
    </w:p>
    <w:p w14:paraId="3000054E">
      <w:pPr>
        <w:pStyle w:val="7"/>
        <w:spacing w:before="66" w:line="220" w:lineRule="auto"/>
        <w:ind w:left="563"/>
        <w:outlineLvl w:val="3"/>
      </w:pPr>
      <w:r>
        <w:rPr>
          <w:b/>
          <w:bCs/>
          <w:spacing w:val="-5"/>
        </w:rPr>
        <w:t>2.资金来源</w:t>
      </w:r>
    </w:p>
    <w:p w14:paraId="31F5A7F6">
      <w:pPr>
        <w:spacing w:line="220" w:lineRule="auto"/>
        <w:sectPr>
          <w:pgSz w:w="11906" w:h="16839"/>
          <w:pgMar w:top="1431" w:right="1065" w:bottom="0" w:left="1089" w:header="0" w:footer="1304" w:gutter="0"/>
          <w:pgNumType w:fmt="decimal"/>
          <w:cols w:space="720" w:num="1"/>
        </w:sectPr>
      </w:pPr>
    </w:p>
    <w:p w14:paraId="79F83DA3">
      <w:pPr>
        <w:pStyle w:val="7"/>
        <w:spacing w:before="88" w:line="245" w:lineRule="auto"/>
        <w:ind w:left="3" w:right="14" w:firstLine="560"/>
      </w:pPr>
      <w:r>
        <w:rPr>
          <w:spacing w:val="6"/>
        </w:rPr>
        <w:t>2.1   本项目的采购人已获得足以支付本次招标后所签订的合同项下的资</w:t>
      </w:r>
      <w:r>
        <w:rPr>
          <w:spacing w:val="2"/>
        </w:rPr>
        <w:t xml:space="preserve"> </w:t>
      </w:r>
      <w:r>
        <w:rPr>
          <w:spacing w:val="-7"/>
        </w:rPr>
        <w:t>金。</w:t>
      </w:r>
    </w:p>
    <w:p w14:paraId="69E24267">
      <w:pPr>
        <w:pStyle w:val="7"/>
        <w:spacing w:before="58" w:line="241" w:lineRule="auto"/>
        <w:ind w:left="1" w:right="13" w:firstLine="562"/>
      </w:pPr>
      <w:r>
        <w:rPr>
          <w:spacing w:val="-2"/>
        </w:rPr>
        <w:t>2.2   投标人报价超过招标文件规定的预算金额或者最高限价的，其投标将</w:t>
      </w:r>
      <w:r>
        <w:rPr>
          <w:spacing w:val="4"/>
        </w:rPr>
        <w:t xml:space="preserve"> </w:t>
      </w:r>
      <w:r>
        <w:rPr>
          <w:spacing w:val="-2"/>
        </w:rPr>
        <w:t>被认定为投标无效。</w:t>
      </w:r>
    </w:p>
    <w:p w14:paraId="6A01F707">
      <w:pPr>
        <w:pStyle w:val="7"/>
        <w:spacing w:before="66" w:line="221" w:lineRule="auto"/>
        <w:ind w:left="565"/>
        <w:outlineLvl w:val="3"/>
      </w:pPr>
      <w:r>
        <w:rPr>
          <w:b/>
          <w:bCs/>
          <w:spacing w:val="-5"/>
        </w:rPr>
        <w:t>3.投标费用</w:t>
      </w:r>
    </w:p>
    <w:p w14:paraId="6112A77F">
      <w:pPr>
        <w:pStyle w:val="7"/>
        <w:spacing w:before="66" w:line="220" w:lineRule="auto"/>
        <w:ind w:left="564"/>
      </w:pPr>
      <w:r>
        <w:rPr>
          <w:spacing w:val="-1"/>
        </w:rPr>
        <w:t>不论投标结果如何，投标人应承担所有与投标有关的费用。</w:t>
      </w:r>
    </w:p>
    <w:p w14:paraId="728B1643">
      <w:pPr>
        <w:pStyle w:val="7"/>
        <w:spacing w:before="64" w:line="220" w:lineRule="auto"/>
        <w:ind w:left="4178"/>
        <w:outlineLvl w:val="2"/>
      </w:pPr>
      <w:r>
        <w:rPr>
          <w:b/>
          <w:bCs/>
          <w:spacing w:val="-5"/>
        </w:rPr>
        <w:t>（二）招标文件</w:t>
      </w:r>
    </w:p>
    <w:p w14:paraId="566A6AC6">
      <w:pPr>
        <w:pStyle w:val="7"/>
        <w:spacing w:before="67" w:line="220" w:lineRule="auto"/>
        <w:ind w:left="559"/>
      </w:pPr>
      <w:r>
        <w:rPr>
          <w:spacing w:val="-1"/>
        </w:rPr>
        <w:t>4.招标文件构成</w:t>
      </w:r>
    </w:p>
    <w:p w14:paraId="6A74865B">
      <w:pPr>
        <w:pStyle w:val="7"/>
        <w:spacing w:before="67" w:line="221" w:lineRule="auto"/>
        <w:ind w:left="559"/>
        <w:rPr>
          <w:rFonts w:hint="default" w:eastAsia="宋体"/>
          <w:lang w:val="en-US" w:eastAsia="zh-CN"/>
        </w:rPr>
      </w:pPr>
      <w:r>
        <w:rPr>
          <w:spacing w:val="-4"/>
        </w:rPr>
        <w:t>4.1</w:t>
      </w:r>
      <w:r>
        <w:rPr>
          <w:spacing w:val="6"/>
        </w:rPr>
        <w:t xml:space="preserve">   </w:t>
      </w:r>
      <w:r>
        <w:rPr>
          <w:rFonts w:hint="eastAsia"/>
          <w:spacing w:val="-4"/>
          <w:lang w:val="en-US" w:eastAsia="zh-CN"/>
        </w:rPr>
        <w:t>招标公告</w:t>
      </w:r>
    </w:p>
    <w:p w14:paraId="3516FDFF">
      <w:pPr>
        <w:pStyle w:val="7"/>
        <w:spacing w:before="64" w:line="219" w:lineRule="auto"/>
        <w:ind w:left="559"/>
        <w:rPr>
          <w:rFonts w:hint="eastAsia" w:eastAsia="宋体"/>
          <w:lang w:eastAsia="zh-CN"/>
        </w:rPr>
      </w:pPr>
      <w:r>
        <w:rPr>
          <w:spacing w:val="-1"/>
        </w:rPr>
        <w:t xml:space="preserve">4.2   </w:t>
      </w:r>
      <w:r>
        <w:rPr>
          <w:rFonts w:hint="eastAsia"/>
          <w:spacing w:val="-1"/>
          <w:lang w:eastAsia="zh-CN"/>
        </w:rPr>
        <w:t>投标人须知前附表</w:t>
      </w:r>
    </w:p>
    <w:p w14:paraId="2E5F2ABF">
      <w:pPr>
        <w:pStyle w:val="7"/>
        <w:spacing w:before="69" w:line="219" w:lineRule="auto"/>
        <w:ind w:left="559"/>
        <w:rPr>
          <w:rFonts w:hint="eastAsia" w:eastAsia="宋体"/>
          <w:lang w:eastAsia="zh-CN"/>
        </w:rPr>
      </w:pPr>
      <w:r>
        <w:rPr>
          <w:spacing w:val="-1"/>
        </w:rPr>
        <w:t xml:space="preserve">4.3   </w:t>
      </w:r>
      <w:r>
        <w:rPr>
          <w:rFonts w:hint="eastAsia"/>
          <w:spacing w:val="-1"/>
          <w:lang w:eastAsia="zh-CN"/>
        </w:rPr>
        <w:t>投标人须知</w:t>
      </w:r>
    </w:p>
    <w:p w14:paraId="17617C8C">
      <w:pPr>
        <w:pStyle w:val="7"/>
        <w:spacing w:before="66" w:line="221" w:lineRule="auto"/>
        <w:ind w:left="559"/>
        <w:rPr>
          <w:rFonts w:hint="eastAsia"/>
          <w:spacing w:val="-1"/>
          <w:lang w:eastAsia="zh-CN"/>
        </w:rPr>
      </w:pPr>
      <w:r>
        <w:rPr>
          <w:spacing w:val="-1"/>
        </w:rPr>
        <w:t xml:space="preserve">4.4   </w:t>
      </w:r>
      <w:r>
        <w:rPr>
          <w:rFonts w:hint="eastAsia"/>
          <w:spacing w:val="-1"/>
          <w:lang w:eastAsia="zh-CN"/>
        </w:rPr>
        <w:t>采购项目需求</w:t>
      </w:r>
    </w:p>
    <w:p w14:paraId="5AC3A0BC">
      <w:pPr>
        <w:pStyle w:val="7"/>
        <w:spacing w:before="66" w:line="221" w:lineRule="auto"/>
        <w:ind w:left="559"/>
      </w:pPr>
      <w:r>
        <w:rPr>
          <w:spacing w:val="-1"/>
        </w:rPr>
        <w:t>4.5   评标方法和标准</w:t>
      </w:r>
    </w:p>
    <w:p w14:paraId="5F14DA8D">
      <w:pPr>
        <w:pStyle w:val="7"/>
        <w:spacing w:before="66" w:line="219" w:lineRule="auto"/>
        <w:ind w:left="559"/>
      </w:pPr>
      <w:r>
        <w:rPr>
          <w:spacing w:val="-1"/>
        </w:rPr>
        <w:t>4.6   政府采购合同范本</w:t>
      </w:r>
    </w:p>
    <w:p w14:paraId="3B56C295">
      <w:pPr>
        <w:pStyle w:val="7"/>
        <w:spacing w:before="68" w:line="220" w:lineRule="auto"/>
        <w:ind w:left="559"/>
      </w:pPr>
      <w:r>
        <w:rPr>
          <w:spacing w:val="-1"/>
        </w:rPr>
        <w:t>4.7   投标文件格式</w:t>
      </w:r>
    </w:p>
    <w:p w14:paraId="52C8FC7F">
      <w:pPr>
        <w:pStyle w:val="7"/>
        <w:spacing w:before="65" w:line="220" w:lineRule="auto"/>
        <w:ind w:left="565"/>
      </w:pPr>
      <w:r>
        <w:rPr>
          <w:spacing w:val="-2"/>
        </w:rPr>
        <w:t>5.招标文件的澄清与修改</w:t>
      </w:r>
    </w:p>
    <w:p w14:paraId="1235BCA6">
      <w:pPr>
        <w:pStyle w:val="7"/>
        <w:spacing w:before="69" w:line="248" w:lineRule="auto"/>
        <w:ind w:left="3" w:right="14" w:firstLine="562"/>
      </w:pPr>
      <w:r>
        <w:rPr>
          <w:spacing w:val="-2"/>
        </w:rPr>
        <w:t>5.1   采购人、采购代理机构可以对已发出的招标文件等进行必要的澄清或</w:t>
      </w:r>
      <w:r>
        <w:rPr>
          <w:spacing w:val="1"/>
        </w:rPr>
        <w:t xml:space="preserve"> </w:t>
      </w:r>
      <w:r>
        <w:rPr>
          <w:spacing w:val="-2"/>
        </w:rPr>
        <w:t>者修改，但不得改变采购标的和资格条件。澄清或者修改应当在原公告发布媒体</w:t>
      </w:r>
      <w:r>
        <w:rPr>
          <w:spacing w:val="2"/>
        </w:rPr>
        <w:t xml:space="preserve"> </w:t>
      </w:r>
      <w:r>
        <w:rPr>
          <w:spacing w:val="-1"/>
        </w:rPr>
        <w:t>上发布澄清公告。澄清或者修改的内容为招标文件的组成部分。</w:t>
      </w:r>
    </w:p>
    <w:p w14:paraId="027F31ED">
      <w:pPr>
        <w:pStyle w:val="7"/>
        <w:spacing w:before="70" w:line="249" w:lineRule="auto"/>
        <w:ind w:right="13" w:firstLine="565"/>
      </w:pPr>
      <w:r>
        <w:rPr>
          <w:spacing w:val="-2"/>
        </w:rPr>
        <w:t>5.2   招标文件中有不一致的，有澄清的部分以最终的澄清更正内容为准；</w:t>
      </w:r>
      <w:r>
        <w:rPr>
          <w:spacing w:val="1"/>
        </w:rPr>
        <w:t xml:space="preserve"> </w:t>
      </w:r>
      <w:r>
        <w:rPr>
          <w:spacing w:val="-2"/>
        </w:rPr>
        <w:t>未澄清的，以</w:t>
      </w:r>
      <w:r>
        <w:rPr>
          <w:rFonts w:hint="eastAsia"/>
          <w:spacing w:val="-2"/>
          <w:lang w:eastAsia="zh-CN"/>
        </w:rPr>
        <w:t>投标人须知前附表</w:t>
      </w:r>
      <w:r>
        <w:rPr>
          <w:spacing w:val="-2"/>
        </w:rPr>
        <w:t>为准；</w:t>
      </w:r>
      <w:r>
        <w:rPr>
          <w:rFonts w:hint="eastAsia"/>
          <w:spacing w:val="-2"/>
          <w:lang w:eastAsia="zh-CN"/>
        </w:rPr>
        <w:t>投标人须知前附表</w:t>
      </w:r>
      <w:r>
        <w:rPr>
          <w:spacing w:val="-2"/>
        </w:rPr>
        <w:t>不涉及的内容，以编排</w:t>
      </w:r>
      <w:r>
        <w:rPr>
          <w:spacing w:val="5"/>
        </w:rPr>
        <w:t xml:space="preserve"> </w:t>
      </w:r>
      <w:r>
        <w:rPr>
          <w:spacing w:val="-1"/>
        </w:rPr>
        <w:t>在后的最后描述为准。</w:t>
      </w:r>
    </w:p>
    <w:p w14:paraId="34F3FEF3">
      <w:pPr>
        <w:pStyle w:val="7"/>
        <w:spacing w:before="66" w:line="242" w:lineRule="auto"/>
        <w:ind w:left="35" w:right="14" w:firstLine="530"/>
      </w:pPr>
      <w:r>
        <w:rPr>
          <w:spacing w:val="6"/>
        </w:rPr>
        <w:t>5.3   投标人应及时关注本项目原公告发布媒体上发布的澄清公告或修改</w:t>
      </w:r>
      <w:r>
        <w:t xml:space="preserve"> </w:t>
      </w:r>
      <w:r>
        <w:rPr>
          <w:spacing w:val="-2"/>
        </w:rPr>
        <w:t>内容并自行下载，采购人、采购代理机构不再另行通知。</w:t>
      </w:r>
    </w:p>
    <w:p w14:paraId="02BBE88E">
      <w:pPr>
        <w:pStyle w:val="7"/>
        <w:spacing w:before="66" w:line="221" w:lineRule="auto"/>
        <w:ind w:left="562"/>
      </w:pPr>
      <w:r>
        <w:rPr>
          <w:spacing w:val="-1"/>
        </w:rPr>
        <w:t>6.投标截止时间的顺延</w:t>
      </w:r>
    </w:p>
    <w:p w14:paraId="286535AF">
      <w:pPr>
        <w:pStyle w:val="7"/>
        <w:spacing w:before="68" w:line="248" w:lineRule="auto"/>
        <w:ind w:left="2" w:right="13" w:firstLine="560"/>
      </w:pPr>
      <w:r>
        <w:rPr>
          <w:spacing w:val="6"/>
        </w:rPr>
        <w:t>6.1   为使投标人有足够的时间对招标文件的澄清或者修改部分进行研究</w:t>
      </w:r>
      <w:r>
        <w:rPr>
          <w:spacing w:val="3"/>
        </w:rPr>
        <w:t xml:space="preserve"> </w:t>
      </w:r>
      <w:r>
        <w:rPr>
          <w:spacing w:val="-2"/>
        </w:rPr>
        <w:t>而准备投标或因其他原因，采购人将依法决定是否顺延投标截止时间。顺延变更</w:t>
      </w:r>
      <w:r>
        <w:rPr>
          <w:spacing w:val="3"/>
        </w:rPr>
        <w:t xml:space="preserve"> </w:t>
      </w:r>
      <w:r>
        <w:rPr>
          <w:spacing w:val="-1"/>
        </w:rPr>
        <w:t>公告应当在原公告发布媒体上发布。</w:t>
      </w:r>
    </w:p>
    <w:p w14:paraId="0264ACE0">
      <w:pPr>
        <w:pStyle w:val="7"/>
        <w:spacing w:before="69" w:line="242" w:lineRule="auto"/>
        <w:ind w:left="3" w:right="14" w:firstLine="559"/>
      </w:pPr>
      <w:r>
        <w:rPr>
          <w:spacing w:val="6"/>
        </w:rPr>
        <w:t>6.2   投标人应及时关注本项目原公告发布媒体上发布的变更公告，采购</w:t>
      </w:r>
      <w:r>
        <w:rPr>
          <w:spacing w:val="3"/>
        </w:rPr>
        <w:t xml:space="preserve"> </w:t>
      </w:r>
      <w:r>
        <w:rPr>
          <w:spacing w:val="-1"/>
        </w:rPr>
        <w:t>人、采购代理机构不再另行通知。</w:t>
      </w:r>
    </w:p>
    <w:p w14:paraId="5464F95B">
      <w:pPr>
        <w:pStyle w:val="7"/>
        <w:spacing w:before="65" w:line="221" w:lineRule="auto"/>
        <w:ind w:left="567"/>
      </w:pPr>
      <w:r>
        <w:rPr>
          <w:spacing w:val="-2"/>
        </w:rPr>
        <w:t>7.其他投标事项</w:t>
      </w:r>
    </w:p>
    <w:p w14:paraId="5DE70FFA">
      <w:pPr>
        <w:pStyle w:val="7"/>
        <w:spacing w:before="64" w:line="255" w:lineRule="auto"/>
        <w:ind w:left="5" w:firstLine="561"/>
      </w:pPr>
      <w:r>
        <w:rPr>
          <w:spacing w:val="-2"/>
        </w:rPr>
        <w:t>7.1   投标人应认真阅读招标文件所有的事项、格式、条款和技术规范等。</w:t>
      </w:r>
      <w:r>
        <w:rPr>
          <w:spacing w:val="14"/>
        </w:rPr>
        <w:t xml:space="preserve"> </w:t>
      </w:r>
      <w:r>
        <w:rPr>
          <w:spacing w:val="-2"/>
        </w:rPr>
        <w:t>如投标人没有按照招标文件要求提交全部资料，或者投标文件没有对招标文件的</w:t>
      </w:r>
      <w:r>
        <w:t xml:space="preserve"> </w:t>
      </w:r>
      <w:r>
        <w:rPr>
          <w:spacing w:val="-1"/>
        </w:rPr>
        <w:t>实质性要求做出响应，其投标将被认定为投标无效。</w:t>
      </w:r>
    </w:p>
    <w:p w14:paraId="4D781362">
      <w:pPr>
        <w:spacing w:line="255" w:lineRule="auto"/>
        <w:sectPr>
          <w:pgSz w:w="11906" w:h="16839"/>
          <w:pgMar w:top="1431" w:right="1065" w:bottom="0" w:left="1089" w:header="0" w:footer="1304" w:gutter="0"/>
          <w:pgNumType w:fmt="decimal"/>
          <w:cols w:space="720" w:num="1"/>
        </w:sectPr>
      </w:pPr>
    </w:p>
    <w:p w14:paraId="6E05D0B5">
      <w:pPr>
        <w:pStyle w:val="7"/>
        <w:spacing w:before="87" w:line="220" w:lineRule="auto"/>
        <w:ind w:left="3756"/>
        <w:outlineLvl w:val="2"/>
      </w:pPr>
      <w:r>
        <w:rPr>
          <w:b/>
          <w:bCs/>
          <w:spacing w:val="-4"/>
        </w:rPr>
        <w:t>（三）投标文件的编制</w:t>
      </w:r>
    </w:p>
    <w:p w14:paraId="5B9FE4E1">
      <w:pPr>
        <w:pStyle w:val="7"/>
        <w:spacing w:before="67" w:line="220" w:lineRule="auto"/>
        <w:ind w:left="560"/>
      </w:pPr>
      <w:r>
        <w:rPr>
          <w:spacing w:val="-1"/>
        </w:rPr>
        <w:t>8.投标范围及文字、计量单位要求</w:t>
      </w:r>
    </w:p>
    <w:p w14:paraId="0CDC059F">
      <w:pPr>
        <w:pStyle w:val="7"/>
        <w:spacing w:before="68" w:line="241" w:lineRule="auto"/>
        <w:ind w:left="3" w:right="13" w:firstLine="556"/>
      </w:pPr>
      <w:r>
        <w:rPr>
          <w:spacing w:val="-2"/>
        </w:rPr>
        <w:t>8.1   投标人应当对招标文件中所列的所有内容进行投标，如仅响应部分内</w:t>
      </w:r>
      <w:r>
        <w:rPr>
          <w:spacing w:val="6"/>
        </w:rPr>
        <w:t xml:space="preserve"> </w:t>
      </w:r>
      <w:r>
        <w:rPr>
          <w:spacing w:val="-1"/>
        </w:rPr>
        <w:t>容，其投标将被认定为投标无效。</w:t>
      </w:r>
    </w:p>
    <w:p w14:paraId="4393591B">
      <w:pPr>
        <w:pStyle w:val="7"/>
        <w:spacing w:before="67" w:line="242" w:lineRule="auto"/>
        <w:ind w:left="2" w:right="14" w:firstLine="558"/>
      </w:pPr>
      <w:r>
        <w:rPr>
          <w:spacing w:val="-2"/>
        </w:rPr>
        <w:t>8.2   无论招标文件中是否要求，投标人所投服务及伴随的货物和工程均应</w:t>
      </w:r>
      <w:r>
        <w:rPr>
          <w:spacing w:val="6"/>
        </w:rPr>
        <w:t xml:space="preserve"> </w:t>
      </w:r>
      <w:r>
        <w:rPr>
          <w:spacing w:val="-2"/>
        </w:rPr>
        <w:t>符合国家强制性标准。</w:t>
      </w:r>
    </w:p>
    <w:p w14:paraId="7A356A63">
      <w:pPr>
        <w:pStyle w:val="7"/>
        <w:spacing w:before="64" w:line="242" w:lineRule="auto"/>
        <w:ind w:left="2" w:right="13" w:firstLine="558"/>
      </w:pPr>
      <w:r>
        <w:rPr>
          <w:spacing w:val="-2"/>
        </w:rPr>
        <w:t>8.3   投标文件应使用规范汉字书写(专有名词须加注中文解释)，并采用通</w:t>
      </w:r>
      <w:r>
        <w:rPr>
          <w:spacing w:val="8"/>
        </w:rPr>
        <w:t xml:space="preserve"> </w:t>
      </w:r>
      <w:r>
        <w:rPr>
          <w:spacing w:val="-1"/>
        </w:rPr>
        <w:t>用的图形符号，不得出现与常规书写格式不符的内容。</w:t>
      </w:r>
    </w:p>
    <w:p w14:paraId="4D996DF6">
      <w:pPr>
        <w:pStyle w:val="7"/>
        <w:spacing w:before="69" w:line="241" w:lineRule="auto"/>
        <w:ind w:left="26" w:right="13" w:firstLine="533"/>
      </w:pPr>
      <w:r>
        <w:rPr>
          <w:spacing w:val="-2"/>
        </w:rPr>
        <w:t>8.4   除招标文件中有特殊要求外，投标文件中所使用的计量单位，应采用</w:t>
      </w:r>
      <w:r>
        <w:rPr>
          <w:spacing w:val="6"/>
        </w:rPr>
        <w:t xml:space="preserve"> </w:t>
      </w:r>
      <w:r>
        <w:rPr>
          <w:spacing w:val="-3"/>
        </w:rPr>
        <w:t>中华人民共和国法定计量单位。</w:t>
      </w:r>
    </w:p>
    <w:p w14:paraId="676D7DE5">
      <w:pPr>
        <w:pStyle w:val="7"/>
        <w:spacing w:before="67" w:line="220" w:lineRule="auto"/>
        <w:ind w:left="560"/>
      </w:pPr>
      <w:r>
        <w:rPr>
          <w:spacing w:val="-1"/>
        </w:rPr>
        <w:t>9.投标文件的组成</w:t>
      </w:r>
    </w:p>
    <w:p w14:paraId="4CEBEC64">
      <w:pPr>
        <w:pStyle w:val="7"/>
        <w:spacing w:before="65" w:line="255" w:lineRule="auto"/>
        <w:ind w:left="1" w:right="13" w:firstLine="561"/>
      </w:pPr>
      <w:r>
        <w:rPr>
          <w:spacing w:val="-2"/>
        </w:rPr>
        <w:t>投标人应完整地按照招标文件提供的投标文件格式及要求编写投标文件</w:t>
      </w:r>
      <w:r>
        <w:rPr>
          <w:spacing w:val="-3"/>
        </w:rPr>
        <w:t>，对</w:t>
      </w:r>
      <w:r>
        <w:t xml:space="preserve"> </w:t>
      </w:r>
      <w:r>
        <w:rPr>
          <w:spacing w:val="-2"/>
        </w:rPr>
        <w:t>其投标文件的真实性与准确性负责，投标人中标后，其投标文件将作为合同的组</w:t>
      </w:r>
      <w:r>
        <w:rPr>
          <w:spacing w:val="3"/>
        </w:rPr>
        <w:t xml:space="preserve"> </w:t>
      </w:r>
      <w:r>
        <w:rPr>
          <w:spacing w:val="-3"/>
        </w:rPr>
        <w:t>成部分。</w:t>
      </w:r>
    </w:p>
    <w:p w14:paraId="4FF99339">
      <w:pPr>
        <w:pStyle w:val="7"/>
        <w:spacing w:before="41" w:line="220" w:lineRule="auto"/>
        <w:ind w:left="579"/>
        <w:outlineLvl w:val="3"/>
      </w:pPr>
      <w:r>
        <w:rPr>
          <w:b/>
          <w:bCs/>
          <w:spacing w:val="-3"/>
        </w:rPr>
        <w:t>10.证明投标标的的合格性和符合招标文件规定的技术文件</w:t>
      </w:r>
    </w:p>
    <w:p w14:paraId="74584CFC">
      <w:pPr>
        <w:pStyle w:val="7"/>
        <w:spacing w:before="65" w:line="242" w:lineRule="auto"/>
        <w:ind w:left="2" w:right="13" w:firstLine="577"/>
      </w:pPr>
      <w:r>
        <w:rPr>
          <w:spacing w:val="-2"/>
        </w:rPr>
        <w:t>10.1  投标人应提交证明文件，证明其投标</w:t>
      </w:r>
      <w:r>
        <w:rPr>
          <w:spacing w:val="-3"/>
        </w:rPr>
        <w:t>标的符合招标文件规定。该证明</w:t>
      </w:r>
      <w:r>
        <w:t xml:space="preserve"> </w:t>
      </w:r>
      <w:r>
        <w:rPr>
          <w:spacing w:val="-2"/>
        </w:rPr>
        <w:t>文件是投标文件的技术文件。</w:t>
      </w:r>
    </w:p>
    <w:p w14:paraId="3DEE68DA">
      <w:pPr>
        <w:pStyle w:val="7"/>
        <w:spacing w:before="68" w:line="220" w:lineRule="auto"/>
        <w:ind w:left="579"/>
        <w:rPr>
          <w:rFonts w:hint="eastAsia" w:eastAsia="宋体"/>
          <w:lang w:eastAsia="zh-CN"/>
        </w:rPr>
      </w:pPr>
      <w:r>
        <w:rPr>
          <w:spacing w:val="-1"/>
        </w:rPr>
        <w:t>10.2  上款所述的证明文件，可以是文字资料、图纸和数据</w:t>
      </w:r>
      <w:r>
        <w:rPr>
          <w:rFonts w:hint="eastAsia"/>
          <w:spacing w:val="-1"/>
          <w:lang w:val="en-US" w:eastAsia="zh-CN"/>
        </w:rPr>
        <w:t>等</w:t>
      </w:r>
      <w:r>
        <w:rPr>
          <w:rFonts w:hint="eastAsia"/>
          <w:spacing w:val="-1"/>
          <w:lang w:eastAsia="zh-CN"/>
        </w:rPr>
        <w:t>。</w:t>
      </w:r>
    </w:p>
    <w:p w14:paraId="6C925A05">
      <w:pPr>
        <w:pStyle w:val="7"/>
        <w:spacing w:before="65" w:line="219" w:lineRule="auto"/>
        <w:jc w:val="right"/>
      </w:pPr>
      <w:r>
        <w:rPr>
          <w:spacing w:val="-2"/>
        </w:rPr>
        <w:t>10.3  本条所指证明文件不包括对招标文件相关部分的文字、图标的复制。</w:t>
      </w:r>
    </w:p>
    <w:p w14:paraId="71B407E3">
      <w:pPr>
        <w:pStyle w:val="7"/>
        <w:spacing w:before="67" w:line="219" w:lineRule="auto"/>
        <w:ind w:left="579"/>
        <w:outlineLvl w:val="3"/>
      </w:pPr>
      <w:r>
        <w:rPr>
          <w:b/>
          <w:bCs/>
          <w:spacing w:val="-7"/>
        </w:rPr>
        <w:t>11.投标报价</w:t>
      </w:r>
    </w:p>
    <w:p w14:paraId="12F513A0">
      <w:pPr>
        <w:pStyle w:val="7"/>
        <w:spacing w:before="68" w:line="241" w:lineRule="auto"/>
        <w:ind w:left="31" w:right="77" w:firstLine="548"/>
      </w:pPr>
      <w:r>
        <w:t>11.1 投标人的报价应当包括满足本次招标全部采购需</w:t>
      </w:r>
      <w:r>
        <w:rPr>
          <w:spacing w:val="-1"/>
        </w:rPr>
        <w:t>求所应提供的服务，</w:t>
      </w:r>
      <w:r>
        <w:t xml:space="preserve"> </w:t>
      </w:r>
      <w:r>
        <w:rPr>
          <w:spacing w:val="-2"/>
        </w:rPr>
        <w:t>以及伴随的货物和工程。所有投标均应以人民币报价。</w:t>
      </w:r>
    </w:p>
    <w:p w14:paraId="5FA6F273">
      <w:pPr>
        <w:pStyle w:val="7"/>
        <w:spacing w:before="71" w:line="241" w:lineRule="auto"/>
        <w:ind w:right="13" w:firstLine="579"/>
      </w:pPr>
      <w:r>
        <w:rPr>
          <w:spacing w:val="-6"/>
        </w:rPr>
        <w:t>11.2 投标人应在价格明细表上标明分项服务、伴随的</w:t>
      </w:r>
      <w:r>
        <w:rPr>
          <w:spacing w:val="-7"/>
        </w:rPr>
        <w:t>货物和工程的价格（如</w:t>
      </w:r>
      <w:r>
        <w:t xml:space="preserve"> </w:t>
      </w:r>
      <w:r>
        <w:rPr>
          <w:spacing w:val="-1"/>
        </w:rPr>
        <w:t>适用）和总价，并由法定代表人或其授权代表签署。</w:t>
      </w:r>
    </w:p>
    <w:p w14:paraId="3F97568A">
      <w:pPr>
        <w:pStyle w:val="7"/>
        <w:spacing w:before="68" w:line="241" w:lineRule="auto"/>
        <w:ind w:left="3" w:right="14" w:firstLine="576"/>
      </w:pPr>
      <w:r>
        <w:rPr>
          <w:spacing w:val="2"/>
        </w:rPr>
        <w:t>11.3 投标人所报的价格明细在合同履</w:t>
      </w:r>
      <w:r>
        <w:rPr>
          <w:spacing w:val="1"/>
        </w:rPr>
        <w:t>行过程中是固定不变的，不得以任何</w:t>
      </w:r>
      <w:r>
        <w:t xml:space="preserve"> </w:t>
      </w:r>
      <w:r>
        <w:rPr>
          <w:spacing w:val="-1"/>
        </w:rPr>
        <w:t>理由予以变更。任何包含价格调整要求的投标，其投标将被认定为投标无效。</w:t>
      </w:r>
    </w:p>
    <w:p w14:paraId="56BB6285">
      <w:pPr>
        <w:pStyle w:val="7"/>
        <w:spacing w:before="69" w:line="219" w:lineRule="auto"/>
        <w:ind w:left="579"/>
      </w:pPr>
      <w:r>
        <w:rPr>
          <w:spacing w:val="-1"/>
        </w:rPr>
        <w:t>11.4 采购人不接受具有附加条件的报价或多个方案的报</w:t>
      </w:r>
      <w:r>
        <w:rPr>
          <w:spacing w:val="-2"/>
        </w:rPr>
        <w:t>价。</w:t>
      </w:r>
    </w:p>
    <w:p w14:paraId="3525A5C3">
      <w:pPr>
        <w:pStyle w:val="7"/>
        <w:spacing w:before="66" w:line="221" w:lineRule="auto"/>
        <w:ind w:left="579"/>
        <w:outlineLvl w:val="3"/>
      </w:pPr>
      <w:r>
        <w:rPr>
          <w:b/>
          <w:bCs/>
          <w:spacing w:val="-6"/>
        </w:rPr>
        <w:t>12.投标保证金</w:t>
      </w:r>
    </w:p>
    <w:p w14:paraId="540AD5ED">
      <w:pPr>
        <w:pStyle w:val="7"/>
        <w:spacing w:before="67" w:line="242" w:lineRule="auto"/>
        <w:ind w:left="23" w:right="14" w:firstLine="556"/>
      </w:pPr>
      <w:r>
        <w:rPr>
          <w:spacing w:val="1"/>
        </w:rPr>
        <w:t>12.1 保证金是投标文件的组成部分。本项目要求投标人提交投标保证金</w:t>
      </w:r>
      <w:r>
        <w:rPr>
          <w:spacing w:val="18"/>
        </w:rPr>
        <w:t xml:space="preserve"> </w:t>
      </w:r>
      <w:r>
        <w:rPr>
          <w:spacing w:val="-2"/>
        </w:rPr>
        <w:t>的，应当在招标文件中明确保证金的数额及缴纳形式。</w:t>
      </w:r>
    </w:p>
    <w:p w14:paraId="76E56949">
      <w:pPr>
        <w:pStyle w:val="7"/>
        <w:spacing w:before="65" w:line="242" w:lineRule="auto"/>
        <w:ind w:left="2" w:right="14" w:firstLine="577"/>
      </w:pPr>
      <w:r>
        <w:rPr>
          <w:spacing w:val="1"/>
        </w:rPr>
        <w:t>12.2 投标人未在规定时间内缴纳保证金或保证金数额不足以及未按招标</w:t>
      </w:r>
      <w:r>
        <w:rPr>
          <w:spacing w:val="18"/>
        </w:rPr>
        <w:t xml:space="preserve"> </w:t>
      </w:r>
      <w:r>
        <w:rPr>
          <w:spacing w:val="-1"/>
        </w:rPr>
        <w:t>文件规定交纳保证金的，其投标将被认定为投标无效。</w:t>
      </w:r>
    </w:p>
    <w:p w14:paraId="5E086A86">
      <w:pPr>
        <w:spacing w:line="242" w:lineRule="auto"/>
        <w:sectPr>
          <w:pgSz w:w="11906" w:h="16839"/>
          <w:pgMar w:top="1431" w:right="1065" w:bottom="0" w:left="1090" w:header="0" w:footer="1304" w:gutter="0"/>
          <w:pgNumType w:fmt="decimal"/>
          <w:cols w:space="720" w:num="1"/>
        </w:sectPr>
      </w:pPr>
    </w:p>
    <w:p w14:paraId="54520047">
      <w:pPr>
        <w:pStyle w:val="7"/>
        <w:spacing w:before="85" w:line="256" w:lineRule="auto"/>
        <w:ind w:left="24" w:right="2" w:firstLine="556"/>
        <w:jc w:val="both"/>
      </w:pPr>
      <w:r>
        <w:rPr>
          <w:spacing w:val="1"/>
        </w:rPr>
        <w:t>12.3 采购人或者采购代理机构应当自</w:t>
      </w:r>
      <w:r>
        <w:t>中标通知书发出之日起</w:t>
      </w:r>
      <w:r>
        <w:rPr>
          <w:spacing w:val="-51"/>
        </w:rPr>
        <w:t xml:space="preserve"> </w:t>
      </w:r>
      <w:r>
        <w:t>5</w:t>
      </w:r>
      <w:r>
        <w:rPr>
          <w:spacing w:val="-58"/>
        </w:rPr>
        <w:t xml:space="preserve"> </w:t>
      </w:r>
      <w:r>
        <w:t xml:space="preserve">个工作日 </w:t>
      </w:r>
      <w:r>
        <w:rPr>
          <w:spacing w:val="-3"/>
        </w:rPr>
        <w:t>内退还未中标人的投标保证金；自采购合同签订之日起</w:t>
      </w:r>
      <w:r>
        <w:rPr>
          <w:spacing w:val="-54"/>
        </w:rPr>
        <w:t xml:space="preserve"> </w:t>
      </w:r>
      <w:r>
        <w:rPr>
          <w:spacing w:val="-3"/>
        </w:rPr>
        <w:t>5</w:t>
      </w:r>
      <w:r>
        <w:rPr>
          <w:spacing w:val="-61"/>
        </w:rPr>
        <w:t xml:space="preserve"> </w:t>
      </w:r>
      <w:r>
        <w:rPr>
          <w:spacing w:val="-3"/>
        </w:rPr>
        <w:t>个</w:t>
      </w:r>
      <w:r>
        <w:rPr>
          <w:spacing w:val="-4"/>
        </w:rPr>
        <w:t>工作日内退还中标人</w:t>
      </w:r>
      <w:r>
        <w:t xml:space="preserve"> </w:t>
      </w:r>
      <w:r>
        <w:rPr>
          <w:spacing w:val="-5"/>
        </w:rPr>
        <w:t>的投标保证金。</w:t>
      </w:r>
    </w:p>
    <w:p w14:paraId="19B21957">
      <w:pPr>
        <w:pStyle w:val="7"/>
        <w:spacing w:before="36" w:line="221" w:lineRule="auto"/>
        <w:ind w:left="581"/>
        <w:outlineLvl w:val="3"/>
      </w:pPr>
      <w:r>
        <w:rPr>
          <w:b/>
          <w:bCs/>
          <w:spacing w:val="-6"/>
        </w:rPr>
        <w:t>13.投标有效期</w:t>
      </w:r>
    </w:p>
    <w:p w14:paraId="5B907E2E">
      <w:pPr>
        <w:pStyle w:val="7"/>
        <w:spacing w:before="66" w:line="242" w:lineRule="auto"/>
        <w:ind w:left="1" w:right="2" w:firstLine="579"/>
      </w:pPr>
      <w:r>
        <w:rPr>
          <w:spacing w:val="1"/>
        </w:rPr>
        <w:t>13.1 投标应在</w:t>
      </w:r>
      <w:r>
        <w:rPr>
          <w:rFonts w:hint="eastAsia"/>
          <w:spacing w:val="1"/>
          <w:lang w:eastAsia="zh-CN"/>
        </w:rPr>
        <w:t>投标人须知前附表</w:t>
      </w:r>
      <w:r>
        <w:rPr>
          <w:spacing w:val="1"/>
        </w:rPr>
        <w:t>中规定时间内保持有效。投标有效期不</w:t>
      </w:r>
      <w:r>
        <w:rPr>
          <w:spacing w:val="18"/>
        </w:rPr>
        <w:t xml:space="preserve"> </w:t>
      </w:r>
      <w:r>
        <w:rPr>
          <w:spacing w:val="-1"/>
        </w:rPr>
        <w:t>满足要求的投标，其投标将被认定为投标无效。</w:t>
      </w:r>
    </w:p>
    <w:p w14:paraId="55AD7F05">
      <w:pPr>
        <w:pStyle w:val="7"/>
        <w:spacing w:before="62" w:line="250" w:lineRule="auto"/>
        <w:ind w:left="2" w:right="2" w:firstLine="578"/>
      </w:pPr>
      <w:r>
        <w:rPr>
          <w:spacing w:val="2"/>
        </w:rPr>
        <w:t>13.2 因特殊原因，采购人或采购代理</w:t>
      </w:r>
      <w:r>
        <w:rPr>
          <w:spacing w:val="1"/>
        </w:rPr>
        <w:t>机构可在原投标有效期截止之前，要</w:t>
      </w:r>
      <w:r>
        <w:t xml:space="preserve"> </w:t>
      </w:r>
      <w:r>
        <w:rPr>
          <w:spacing w:val="-2"/>
        </w:rPr>
        <w:t>求投标人延长投标文件的有效期。接受该要求的投标人将不会被要求和允许修正</w:t>
      </w:r>
      <w:r>
        <w:rPr>
          <w:spacing w:val="3"/>
        </w:rPr>
        <w:t xml:space="preserve"> </w:t>
      </w:r>
      <w:r>
        <w:t>其投标。投标人也可以拒绝延长投标有效期</w:t>
      </w:r>
      <w:r>
        <w:rPr>
          <w:spacing w:val="-1"/>
        </w:rPr>
        <w:t>的要求，且不承担任何责任。</w:t>
      </w:r>
    </w:p>
    <w:p w14:paraId="56D61652">
      <w:pPr>
        <w:pStyle w:val="7"/>
        <w:spacing w:before="65" w:line="220" w:lineRule="auto"/>
        <w:ind w:left="581"/>
        <w:outlineLvl w:val="3"/>
      </w:pPr>
      <w:r>
        <w:rPr>
          <w:b/>
          <w:bCs/>
          <w:spacing w:val="-6"/>
        </w:rPr>
        <w:t>14.投标文件的制作</w:t>
      </w:r>
    </w:p>
    <w:p w14:paraId="4E4BEA2E">
      <w:pPr>
        <w:pStyle w:val="7"/>
        <w:spacing w:before="67" w:line="242" w:lineRule="auto"/>
        <w:ind w:left="4" w:right="2" w:firstLine="576"/>
      </w:pPr>
      <w:r>
        <w:rPr>
          <w:spacing w:val="2"/>
        </w:rPr>
        <w:t>14.1 投标人应按</w:t>
      </w:r>
      <w:r>
        <w:rPr>
          <w:rFonts w:hint="eastAsia"/>
          <w:spacing w:val="2"/>
          <w:lang w:eastAsia="zh-CN"/>
        </w:rPr>
        <w:t>投标人须知前附表</w:t>
      </w:r>
      <w:r>
        <w:rPr>
          <w:spacing w:val="2"/>
        </w:rPr>
        <w:t>中</w:t>
      </w:r>
      <w:r>
        <w:rPr>
          <w:spacing w:val="1"/>
        </w:rPr>
        <w:t>的规定，准备和递交投标文件。电子</w:t>
      </w:r>
      <w:r>
        <w:t xml:space="preserve"> </w:t>
      </w:r>
      <w:r>
        <w:rPr>
          <w:spacing w:val="-1"/>
        </w:rPr>
        <w:t>投标文件需符合以下要求： 无</w:t>
      </w:r>
    </w:p>
    <w:p w14:paraId="1AEE373F">
      <w:pPr>
        <w:pStyle w:val="7"/>
        <w:spacing w:before="66" w:line="249" w:lineRule="auto"/>
        <w:ind w:right="2" w:firstLine="581"/>
      </w:pPr>
      <w:r>
        <w:rPr>
          <w:spacing w:val="2"/>
        </w:rPr>
        <w:t>14.2 投标文件需由投标人的法定代表</w:t>
      </w:r>
      <w:r>
        <w:rPr>
          <w:spacing w:val="1"/>
        </w:rPr>
        <w:t>人或经其正式委托代理人按招标文件</w:t>
      </w:r>
      <w:r>
        <w:t xml:space="preserve"> </w:t>
      </w:r>
      <w:r>
        <w:rPr>
          <w:spacing w:val="-2"/>
        </w:rPr>
        <w:t>规定在投标文件上签字并加盖公章。委托代理人须持有书面的“法定代表人授权</w:t>
      </w:r>
      <w:r>
        <w:rPr>
          <w:spacing w:val="5"/>
        </w:rPr>
        <w:t xml:space="preserve"> </w:t>
      </w:r>
      <w:r>
        <w:rPr>
          <w:spacing w:val="-3"/>
        </w:rPr>
        <w:t>委托书</w:t>
      </w:r>
      <w:r>
        <w:rPr>
          <w:spacing w:val="-101"/>
        </w:rPr>
        <w:t xml:space="preserve"> </w:t>
      </w:r>
      <w:r>
        <w:rPr>
          <w:spacing w:val="-3"/>
        </w:rPr>
        <w:t>”，并将其附在投标文件中。</w:t>
      </w:r>
    </w:p>
    <w:p w14:paraId="65F79BAD">
      <w:pPr>
        <w:pStyle w:val="7"/>
        <w:spacing w:before="66" w:line="219" w:lineRule="auto"/>
        <w:ind w:left="564"/>
      </w:pPr>
      <w:r>
        <w:rPr>
          <w:spacing w:val="-1"/>
        </w:rPr>
        <w:t>未按招标文件要求签署和盖章的投标文件，其投标将被认定为投标无效。</w:t>
      </w:r>
    </w:p>
    <w:p w14:paraId="626A4C49">
      <w:pPr>
        <w:pStyle w:val="7"/>
        <w:spacing w:before="68" w:line="220" w:lineRule="auto"/>
        <w:ind w:left="3758"/>
        <w:outlineLvl w:val="2"/>
      </w:pPr>
      <w:r>
        <w:rPr>
          <w:b/>
          <w:bCs/>
          <w:spacing w:val="-4"/>
        </w:rPr>
        <w:t>（四）投标文件的递交</w:t>
      </w:r>
    </w:p>
    <w:p w14:paraId="7EE487F0">
      <w:pPr>
        <w:pStyle w:val="7"/>
        <w:spacing w:before="68" w:line="220" w:lineRule="auto"/>
        <w:ind w:left="581"/>
        <w:outlineLvl w:val="3"/>
      </w:pPr>
      <w:r>
        <w:rPr>
          <w:b/>
          <w:bCs/>
          <w:spacing w:val="-5"/>
        </w:rPr>
        <w:t>15.投标文件的密封和标记</w:t>
      </w:r>
    </w:p>
    <w:p w14:paraId="2338A0F6">
      <w:pPr>
        <w:pStyle w:val="7"/>
        <w:spacing w:before="65" w:line="242" w:lineRule="auto"/>
        <w:ind w:left="1" w:right="2" w:firstLine="579"/>
      </w:pPr>
      <w:r>
        <w:rPr>
          <w:spacing w:val="1"/>
        </w:rPr>
        <w:t>15.1 投标文件的制作应按照招标文件的要求进行制作并递交。投标文件</w:t>
      </w:r>
      <w:r>
        <w:rPr>
          <w:spacing w:val="18"/>
        </w:rPr>
        <w:t xml:space="preserve"> </w:t>
      </w:r>
      <w:r>
        <w:rPr>
          <w:spacing w:val="-1"/>
        </w:rPr>
        <w:t>应当用不能被他人知悉或更换投标文件内容的方式密封。</w:t>
      </w:r>
    </w:p>
    <w:p w14:paraId="5FB36AE5">
      <w:pPr>
        <w:pStyle w:val="7"/>
        <w:spacing w:before="68" w:line="249" w:lineRule="auto"/>
        <w:ind w:left="4" w:right="2" w:firstLine="576"/>
      </w:pPr>
      <w:r>
        <w:t>15.2 纸质投标文件密封和递交要求</w:t>
      </w:r>
      <w:r>
        <w:rPr>
          <w:spacing w:val="-43"/>
        </w:rPr>
        <w:t>：（</w:t>
      </w:r>
      <w:r>
        <w:t>采购人或者采购代理机构不得因</w:t>
      </w:r>
      <w:r>
        <w:rPr>
          <w:spacing w:val="-2"/>
        </w:rPr>
        <w:t>投标文件装订、纸张、文件排序等非实质性的格式、形式问题限制和影响供应商</w:t>
      </w:r>
      <w:r>
        <w:rPr>
          <w:spacing w:val="1"/>
        </w:rPr>
        <w:t xml:space="preserve"> </w:t>
      </w:r>
      <w:r>
        <w:rPr>
          <w:spacing w:val="-5"/>
        </w:rPr>
        <w:t>投标）</w:t>
      </w:r>
    </w:p>
    <w:p w14:paraId="5C5D8C53">
      <w:pPr>
        <w:pStyle w:val="7"/>
        <w:spacing w:before="66" w:line="220" w:lineRule="auto"/>
        <w:ind w:left="581"/>
      </w:pPr>
      <w:r>
        <w:rPr>
          <w:spacing w:val="-3"/>
        </w:rPr>
        <w:t>15.3</w:t>
      </w:r>
      <w:r>
        <w:rPr>
          <w:spacing w:val="15"/>
        </w:rPr>
        <w:t xml:space="preserve"> </w:t>
      </w:r>
      <w:r>
        <w:rPr>
          <w:spacing w:val="-3"/>
        </w:rPr>
        <w:t>电子投标文件密封和递交要求：无</w:t>
      </w:r>
    </w:p>
    <w:p w14:paraId="551C7F82">
      <w:pPr>
        <w:pStyle w:val="7"/>
        <w:spacing w:before="64" w:line="221" w:lineRule="auto"/>
        <w:ind w:left="581"/>
        <w:outlineLvl w:val="3"/>
      </w:pPr>
      <w:r>
        <w:rPr>
          <w:b/>
          <w:bCs/>
          <w:spacing w:val="-7"/>
        </w:rPr>
        <w:t>16.投标截止</w:t>
      </w:r>
    </w:p>
    <w:p w14:paraId="443B3D4E">
      <w:pPr>
        <w:pStyle w:val="7"/>
        <w:spacing w:before="68" w:line="241" w:lineRule="auto"/>
        <w:ind w:left="8" w:right="2" w:firstLine="572"/>
      </w:pPr>
      <w:r>
        <w:rPr>
          <w:spacing w:val="2"/>
        </w:rPr>
        <w:t>16.1 投标人应在</w:t>
      </w:r>
      <w:r>
        <w:rPr>
          <w:rFonts w:hint="eastAsia"/>
          <w:spacing w:val="2"/>
          <w:lang w:eastAsia="zh-CN"/>
        </w:rPr>
        <w:t>投标人须知前附表</w:t>
      </w:r>
      <w:r>
        <w:rPr>
          <w:spacing w:val="2"/>
        </w:rPr>
        <w:t>中</w:t>
      </w:r>
      <w:r>
        <w:rPr>
          <w:spacing w:val="1"/>
        </w:rPr>
        <w:t>规定的截止时间前，将投标文件递交</w:t>
      </w:r>
      <w:r>
        <w:t xml:space="preserve"> </w:t>
      </w:r>
      <w:r>
        <w:rPr>
          <w:spacing w:val="-2"/>
        </w:rPr>
        <w:t>到招标公告中规定的地点。</w:t>
      </w:r>
    </w:p>
    <w:p w14:paraId="79E8628D">
      <w:pPr>
        <w:pStyle w:val="7"/>
        <w:spacing w:before="67" w:line="219" w:lineRule="auto"/>
        <w:ind w:left="581"/>
      </w:pPr>
      <w:r>
        <w:rPr>
          <w:spacing w:val="-1"/>
        </w:rPr>
        <w:t>16.2 采购人和采购代理机构将拒绝接收在投标截止时间后送达投标文件。</w:t>
      </w:r>
    </w:p>
    <w:p w14:paraId="3528CF08">
      <w:pPr>
        <w:pStyle w:val="7"/>
        <w:spacing w:before="68" w:line="220" w:lineRule="auto"/>
        <w:ind w:left="581"/>
        <w:outlineLvl w:val="3"/>
      </w:pPr>
      <w:r>
        <w:rPr>
          <w:b/>
          <w:bCs/>
          <w:spacing w:val="-4"/>
        </w:rPr>
        <w:t>17.投标文件的接收、修改与撤回</w:t>
      </w:r>
    </w:p>
    <w:p w14:paraId="7767D9BE">
      <w:pPr>
        <w:pStyle w:val="7"/>
        <w:spacing w:before="68" w:line="241" w:lineRule="auto"/>
        <w:ind w:right="2" w:firstLine="581"/>
      </w:pPr>
      <w:r>
        <w:rPr>
          <w:spacing w:val="10"/>
        </w:rPr>
        <w:t>17.1 采购人和采购代理机构将按招标文件规定的时间和地</w:t>
      </w:r>
      <w:r>
        <w:rPr>
          <w:spacing w:val="9"/>
        </w:rPr>
        <w:t>点接收投标文</w:t>
      </w:r>
      <w:r>
        <w:t xml:space="preserve"> </w:t>
      </w:r>
      <w:r>
        <w:rPr>
          <w:spacing w:val="-5"/>
        </w:rPr>
        <w:t>件。</w:t>
      </w:r>
    </w:p>
    <w:p w14:paraId="4447C9DF">
      <w:pPr>
        <w:pStyle w:val="7"/>
        <w:spacing w:before="66" w:line="249" w:lineRule="auto"/>
        <w:ind w:left="3" w:firstLine="577"/>
      </w:pPr>
      <w:r>
        <w:rPr>
          <w:spacing w:val="2"/>
        </w:rPr>
        <w:t>17.2 递交投标文件以后，如果投标人</w:t>
      </w:r>
      <w:r>
        <w:rPr>
          <w:spacing w:val="1"/>
        </w:rPr>
        <w:t>要进行修改，须在投标截止时间前提</w:t>
      </w:r>
      <w:r>
        <w:t xml:space="preserve"> </w:t>
      </w:r>
      <w:r>
        <w:rPr>
          <w:spacing w:val="-2"/>
        </w:rPr>
        <w:t>出申请，投标人对投标文件的修改申请应按本须知规定编制、签署、密封。采购</w:t>
      </w:r>
      <w:r>
        <w:rPr>
          <w:spacing w:val="4"/>
        </w:rPr>
        <w:t xml:space="preserve"> </w:t>
      </w:r>
      <w:r>
        <w:rPr>
          <w:spacing w:val="-1"/>
        </w:rPr>
        <w:t>人和采购代理机构将予以接收，并视为投标文件的组成部分。</w:t>
      </w:r>
    </w:p>
    <w:p w14:paraId="6A6D338A">
      <w:pPr>
        <w:spacing w:line="249" w:lineRule="auto"/>
        <w:sectPr>
          <w:pgSz w:w="11906" w:h="16839"/>
          <w:pgMar w:top="1431" w:right="1077" w:bottom="0" w:left="1089" w:header="0" w:footer="1304" w:gutter="0"/>
          <w:pgNumType w:fmt="decimal"/>
          <w:cols w:space="720" w:num="1"/>
        </w:sectPr>
      </w:pPr>
    </w:p>
    <w:p w14:paraId="207AE8D7">
      <w:pPr>
        <w:pStyle w:val="7"/>
        <w:spacing w:before="86" w:line="251" w:lineRule="auto"/>
        <w:ind w:right="98" w:firstLine="562"/>
      </w:pPr>
      <w:r>
        <w:rPr>
          <w:spacing w:val="-2"/>
        </w:rPr>
        <w:t>递交投标文件以后，如果投标人要进行撤回的，须在投标截止时间前提出申</w:t>
      </w:r>
      <w:r>
        <w:t xml:space="preserve"> </w:t>
      </w:r>
      <w:r>
        <w:rPr>
          <w:spacing w:val="-1"/>
        </w:rPr>
        <w:t>请，采购人和采购代理机构将予以接受。</w:t>
      </w:r>
    </w:p>
    <w:p w14:paraId="19E479A9">
      <w:pPr>
        <w:pStyle w:val="7"/>
        <w:spacing w:before="41" w:line="220" w:lineRule="auto"/>
        <w:ind w:left="582"/>
      </w:pPr>
      <w:r>
        <w:rPr>
          <w:spacing w:val="-1"/>
        </w:rPr>
        <w:t>17.3 在投标截止时间之后，投标人不得对其投标文件做任何修改。</w:t>
      </w:r>
    </w:p>
    <w:p w14:paraId="5C0C07CA">
      <w:pPr>
        <w:pStyle w:val="7"/>
        <w:spacing w:before="65" w:line="242" w:lineRule="auto"/>
        <w:ind w:left="1" w:right="98" w:firstLine="581"/>
      </w:pPr>
      <w:r>
        <w:rPr>
          <w:spacing w:val="1"/>
        </w:rPr>
        <w:t>17.4 除投标人不足</w:t>
      </w:r>
      <w:r>
        <w:rPr>
          <w:spacing w:val="-54"/>
        </w:rPr>
        <w:t xml:space="preserve"> </w:t>
      </w:r>
      <w:r>
        <w:rPr>
          <w:spacing w:val="1"/>
        </w:rPr>
        <w:t>3</w:t>
      </w:r>
      <w:r>
        <w:rPr>
          <w:spacing w:val="-54"/>
        </w:rPr>
        <w:t xml:space="preserve"> </w:t>
      </w:r>
      <w:r>
        <w:rPr>
          <w:spacing w:val="1"/>
        </w:rPr>
        <w:t>家未开标外，采购人和</w:t>
      </w:r>
      <w:r>
        <w:t xml:space="preserve">采购代理机构对所接收投标文 </w:t>
      </w:r>
      <w:r>
        <w:rPr>
          <w:spacing w:val="-2"/>
        </w:rPr>
        <w:t>件概不退回。</w:t>
      </w:r>
    </w:p>
    <w:p w14:paraId="0698836F">
      <w:pPr>
        <w:pStyle w:val="7"/>
        <w:spacing w:before="66" w:line="221" w:lineRule="auto"/>
        <w:ind w:left="4039"/>
        <w:outlineLvl w:val="2"/>
      </w:pPr>
      <w:r>
        <w:rPr>
          <w:b/>
          <w:bCs/>
          <w:spacing w:val="-5"/>
        </w:rPr>
        <w:t>（五）开标及评标</w:t>
      </w:r>
    </w:p>
    <w:p w14:paraId="7EF9F25F">
      <w:pPr>
        <w:pStyle w:val="7"/>
        <w:spacing w:before="63" w:line="221" w:lineRule="auto"/>
        <w:ind w:left="582"/>
        <w:outlineLvl w:val="3"/>
      </w:pPr>
      <w:r>
        <w:rPr>
          <w:b/>
          <w:bCs/>
          <w:spacing w:val="-8"/>
        </w:rPr>
        <w:t>18.开标</w:t>
      </w:r>
    </w:p>
    <w:p w14:paraId="61238F0B">
      <w:pPr>
        <w:pStyle w:val="7"/>
        <w:spacing w:before="65" w:line="251" w:lineRule="auto"/>
        <w:ind w:left="2" w:right="98" w:firstLine="579"/>
      </w:pPr>
      <w:r>
        <w:rPr>
          <w:spacing w:val="1"/>
        </w:rPr>
        <w:t>18.1</w:t>
      </w:r>
      <w:r>
        <w:rPr>
          <w:rFonts w:hint="eastAsia"/>
          <w:spacing w:val="1"/>
          <w:lang w:val="en-US" w:eastAsia="zh-CN"/>
        </w:rPr>
        <w:t xml:space="preserve"> </w:t>
      </w:r>
      <w:r>
        <w:rPr>
          <w:spacing w:val="1"/>
        </w:rPr>
        <w:t>采购人和采购代理机构将按</w:t>
      </w:r>
      <w:r>
        <w:rPr>
          <w:rFonts w:hint="eastAsia"/>
          <w:spacing w:val="1"/>
          <w:lang w:eastAsia="zh-CN"/>
        </w:rPr>
        <w:t>投标人须知前附表</w:t>
      </w:r>
      <w:r>
        <w:rPr>
          <w:spacing w:val="1"/>
        </w:rPr>
        <w:t>中规定的开标时间和</w:t>
      </w:r>
      <w:r>
        <w:rPr>
          <w:spacing w:val="18"/>
        </w:rPr>
        <w:t xml:space="preserve"> </w:t>
      </w:r>
      <w:r>
        <w:rPr>
          <w:spacing w:val="-1"/>
        </w:rPr>
        <w:t>地点组织开标，并邀请所有投标人代表参加。投标人不足</w:t>
      </w:r>
      <w:r>
        <w:rPr>
          <w:spacing w:val="-54"/>
        </w:rPr>
        <w:t xml:space="preserve"> </w:t>
      </w:r>
      <w:r>
        <w:rPr>
          <w:spacing w:val="-1"/>
        </w:rPr>
        <w:t>3</w:t>
      </w:r>
      <w:r>
        <w:rPr>
          <w:spacing w:val="-58"/>
        </w:rPr>
        <w:t xml:space="preserve"> </w:t>
      </w:r>
      <w:r>
        <w:rPr>
          <w:spacing w:val="-1"/>
        </w:rPr>
        <w:t>家的</w:t>
      </w:r>
      <w:r>
        <w:rPr>
          <w:spacing w:val="-2"/>
        </w:rPr>
        <w:t>，不予开标。</w:t>
      </w:r>
    </w:p>
    <w:p w14:paraId="110A180D">
      <w:pPr>
        <w:pStyle w:val="7"/>
        <w:spacing w:before="39" w:line="219" w:lineRule="auto"/>
        <w:ind w:left="560"/>
      </w:pPr>
      <w:r>
        <w:rPr>
          <w:spacing w:val="-1"/>
        </w:rPr>
        <w:t>评标委员会成员不得参加开标活动。</w:t>
      </w:r>
    </w:p>
    <w:p w14:paraId="4B536D96">
      <w:pPr>
        <w:pStyle w:val="7"/>
        <w:spacing w:before="66" w:line="251" w:lineRule="auto"/>
        <w:ind w:left="25" w:right="98" w:firstLine="556"/>
      </w:pPr>
      <w:r>
        <w:rPr>
          <w:spacing w:val="1"/>
        </w:rPr>
        <w:t>18.2 开标时，采购人或者采购代理机构公布投标人名单，介绍参加开标</w:t>
      </w:r>
      <w:r>
        <w:rPr>
          <w:spacing w:val="18"/>
        </w:rPr>
        <w:t xml:space="preserve"> </w:t>
      </w:r>
      <w:r>
        <w:rPr>
          <w:spacing w:val="-1"/>
        </w:rPr>
        <w:t>的人员，宣布工作人员，宣读投标人在开标一览表中所填写的全部</w:t>
      </w:r>
      <w:r>
        <w:rPr>
          <w:spacing w:val="-2"/>
        </w:rPr>
        <w:t>内容。</w:t>
      </w:r>
    </w:p>
    <w:p w14:paraId="23F205DC">
      <w:pPr>
        <w:pStyle w:val="7"/>
        <w:spacing w:before="39" w:line="219" w:lineRule="auto"/>
        <w:ind w:left="565"/>
      </w:pPr>
      <w:r>
        <w:rPr>
          <w:spacing w:val="-1"/>
        </w:rPr>
        <w:t>未宣读的投标价格、价格折扣等实质内容，评标时不予承认。</w:t>
      </w:r>
    </w:p>
    <w:p w14:paraId="7F85CA09">
      <w:pPr>
        <w:pStyle w:val="7"/>
        <w:spacing w:before="69" w:line="251" w:lineRule="auto"/>
        <w:ind w:left="3" w:right="98" w:firstLine="578"/>
      </w:pPr>
      <w:r>
        <w:rPr>
          <w:spacing w:val="1"/>
        </w:rPr>
        <w:t>18.3 采购人或采购代理机构将对开标过程进行记录</w:t>
      </w:r>
      <w:r>
        <w:rPr>
          <w:spacing w:val="-1"/>
        </w:rPr>
        <w:t>。</w:t>
      </w:r>
    </w:p>
    <w:p w14:paraId="6F79AEAD">
      <w:pPr>
        <w:pStyle w:val="7"/>
        <w:spacing w:before="38" w:line="220" w:lineRule="auto"/>
        <w:ind w:left="564"/>
      </w:pPr>
      <w:r>
        <w:rPr>
          <w:spacing w:val="-1"/>
        </w:rPr>
        <w:t>投标人未派代表参加开标的，视同投标人认可开标结果。</w:t>
      </w:r>
    </w:p>
    <w:p w14:paraId="607A42C0">
      <w:pPr>
        <w:pStyle w:val="7"/>
        <w:spacing w:before="67" w:line="249" w:lineRule="auto"/>
        <w:ind w:left="4" w:right="98" w:firstLine="577"/>
      </w:pPr>
      <w:r>
        <w:rPr>
          <w:spacing w:val="1"/>
        </w:rPr>
        <w:t>18.4 投标人代表对开标过程和开标记录有疑义，以及认为开标现场采购</w:t>
      </w:r>
      <w:r>
        <w:rPr>
          <w:spacing w:val="18"/>
        </w:rPr>
        <w:t xml:space="preserve"> </w:t>
      </w:r>
      <w:r>
        <w:rPr>
          <w:spacing w:val="-2"/>
        </w:rPr>
        <w:t>人、采购代理机构相关工作人员有需要回避的情形的，应当场提出询问或者回避</w:t>
      </w:r>
      <w:r>
        <w:rPr>
          <w:spacing w:val="2"/>
        </w:rPr>
        <w:t xml:space="preserve"> </w:t>
      </w:r>
      <w:r>
        <w:rPr>
          <w:spacing w:val="-4"/>
        </w:rPr>
        <w:t>申请。</w:t>
      </w:r>
    </w:p>
    <w:p w14:paraId="4E2B4074">
      <w:pPr>
        <w:pStyle w:val="7"/>
        <w:spacing w:before="67" w:line="221" w:lineRule="auto"/>
        <w:ind w:left="582"/>
      </w:pPr>
      <w:r>
        <w:rPr>
          <w:spacing w:val="-3"/>
        </w:rPr>
        <w:t>18.5 其他开标要求：</w:t>
      </w:r>
    </w:p>
    <w:p w14:paraId="3615902D">
      <w:pPr>
        <w:pStyle w:val="7"/>
        <w:spacing w:before="66" w:line="219" w:lineRule="auto"/>
        <w:ind w:left="582"/>
        <w:outlineLvl w:val="3"/>
      </w:pPr>
      <w:r>
        <w:rPr>
          <w:b/>
          <w:bCs/>
          <w:spacing w:val="-4"/>
        </w:rPr>
        <w:t>19.资格审查及组建评标委员会</w:t>
      </w:r>
    </w:p>
    <w:p w14:paraId="599336AC">
      <w:pPr>
        <w:pStyle w:val="7"/>
        <w:spacing w:before="64" w:line="250" w:lineRule="auto"/>
        <w:ind w:left="2" w:right="97" w:firstLine="579"/>
      </w:pPr>
      <w:r>
        <w:rPr>
          <w:spacing w:val="1"/>
        </w:rPr>
        <w:t>19.1 采购人依据法律法规和招标文件中规定的内容，对</w:t>
      </w:r>
      <w:r>
        <w:rPr>
          <w:spacing w:val="-2"/>
        </w:rPr>
        <w:t>投标人资格进行审查，未通过资格审查的投标人不进入评标。合</w:t>
      </w:r>
      <w:r>
        <w:rPr>
          <w:spacing w:val="-1"/>
        </w:rPr>
        <w:t>格投标人不足三家的，不得评标。</w:t>
      </w:r>
    </w:p>
    <w:p w14:paraId="3FB0EC8A">
      <w:pPr>
        <w:pStyle w:val="7"/>
        <w:spacing w:before="65" w:line="242" w:lineRule="auto"/>
        <w:ind w:left="3" w:right="98" w:firstLine="578"/>
      </w:pPr>
      <w:r>
        <w:rPr>
          <w:spacing w:val="1"/>
        </w:rPr>
        <w:t>19.2 采购人或采购代理机构将按</w:t>
      </w:r>
      <w:r>
        <w:rPr>
          <w:rFonts w:hint="eastAsia"/>
          <w:spacing w:val="1"/>
          <w:lang w:eastAsia="zh-CN"/>
        </w:rPr>
        <w:t>投标人须知前附表</w:t>
      </w:r>
      <w:r>
        <w:rPr>
          <w:spacing w:val="1"/>
        </w:rPr>
        <w:t>中规定的时间查询投</w:t>
      </w:r>
      <w:r>
        <w:rPr>
          <w:spacing w:val="18"/>
        </w:rPr>
        <w:t xml:space="preserve"> </w:t>
      </w:r>
      <w:r>
        <w:rPr>
          <w:spacing w:val="-2"/>
        </w:rPr>
        <w:t>标人的信用记录。</w:t>
      </w:r>
    </w:p>
    <w:p w14:paraId="01E6D6AC">
      <w:pPr>
        <w:pStyle w:val="7"/>
        <w:spacing w:before="65" w:line="253" w:lineRule="auto"/>
        <w:ind w:left="1" w:firstLine="581"/>
      </w:pPr>
      <w:r>
        <w:rPr>
          <w:spacing w:val="-1"/>
        </w:rPr>
        <w:t>19.2.1</w:t>
      </w:r>
      <w:r>
        <w:rPr>
          <w:spacing w:val="-43"/>
        </w:rPr>
        <w:t xml:space="preserve"> </w:t>
      </w:r>
      <w:r>
        <w:rPr>
          <w:spacing w:val="-1"/>
        </w:rPr>
        <w:t>投标人在中国政府采购网（www.ccgp.gov.cn）被列入政府采购严重</w:t>
      </w:r>
      <w:r>
        <w:t xml:space="preserve"> </w:t>
      </w:r>
      <w:r>
        <w:rPr>
          <w:spacing w:val="-2"/>
        </w:rPr>
        <w:t>违法失信行为记录名单，或在“信用中国</w:t>
      </w:r>
      <w:r>
        <w:rPr>
          <w:spacing w:val="-105"/>
        </w:rPr>
        <w:t xml:space="preserve"> </w:t>
      </w:r>
      <w:r>
        <w:rPr>
          <w:spacing w:val="-2"/>
        </w:rPr>
        <w:t>”网站（www.creditchina.</w:t>
      </w:r>
      <w:r>
        <w:rPr>
          <w:spacing w:val="-3"/>
        </w:rPr>
        <w:t>gov.cn）被</w:t>
      </w:r>
      <w:r>
        <w:t xml:space="preserve"> </w:t>
      </w:r>
      <w:r>
        <w:rPr>
          <w:spacing w:val="-2"/>
        </w:rPr>
        <w:t>列入失信被执行人、重大税收违法案件当事人名单，以及存在《中华人民共和国</w:t>
      </w:r>
      <w:r>
        <w:rPr>
          <w:spacing w:val="5"/>
        </w:rPr>
        <w:t xml:space="preserve"> </w:t>
      </w:r>
      <w:r>
        <w:rPr>
          <w:spacing w:val="-7"/>
        </w:rPr>
        <w:t>政府采购法实施条例》第十九条规定的行政处罚记录，投标将被认定为投标无效。</w:t>
      </w:r>
    </w:p>
    <w:p w14:paraId="503DB580">
      <w:pPr>
        <w:pStyle w:val="7"/>
        <w:spacing w:before="88" w:line="255" w:lineRule="auto"/>
        <w:ind w:left="3" w:right="76" w:firstLine="577"/>
        <w:jc w:val="both"/>
        <w:rPr>
          <w:spacing w:val="-1"/>
        </w:rPr>
      </w:pPr>
      <w:r>
        <w:rPr>
          <w:spacing w:val="-3"/>
        </w:rPr>
        <w:t>以联合体形式参加投标的，联合体任何成员存在以上不良信用记录的，联合</w:t>
      </w:r>
      <w:r>
        <w:rPr>
          <w:spacing w:val="2"/>
        </w:rPr>
        <w:t xml:space="preserve"> </w:t>
      </w:r>
      <w:r>
        <w:rPr>
          <w:spacing w:val="-1"/>
        </w:rPr>
        <w:t>体投标将被认定为投标无效。</w:t>
      </w:r>
    </w:p>
    <w:p w14:paraId="40C256DC">
      <w:pPr>
        <w:pStyle w:val="7"/>
        <w:spacing w:before="88" w:line="255" w:lineRule="auto"/>
        <w:ind w:left="3" w:right="76" w:firstLine="577"/>
        <w:jc w:val="both"/>
      </w:pPr>
      <w:r>
        <w:rPr>
          <w:spacing w:val="-1"/>
        </w:rPr>
        <w:t>19.2.2 采购人或采购代理机构经办人将查询网页存档备查。投标人不良信</w:t>
      </w:r>
      <w:r>
        <w:rPr>
          <w:spacing w:val="6"/>
        </w:rPr>
        <w:t xml:space="preserve"> </w:t>
      </w:r>
      <w:r>
        <w:rPr>
          <w:spacing w:val="-2"/>
        </w:rPr>
        <w:t>用记录以采购人或采购代理机构查询结果为准。投标人自行提供的与网站信息不</w:t>
      </w:r>
      <w:r>
        <w:rPr>
          <w:spacing w:val="2"/>
        </w:rPr>
        <w:t xml:space="preserve"> </w:t>
      </w:r>
      <w:r>
        <w:rPr>
          <w:spacing w:val="-1"/>
        </w:rPr>
        <w:t>一致的其他证明材料亦不作为资格审查依据。</w:t>
      </w:r>
    </w:p>
    <w:p w14:paraId="3CEED82C">
      <w:pPr>
        <w:pStyle w:val="7"/>
        <w:spacing w:before="37" w:line="251" w:lineRule="auto"/>
        <w:ind w:left="15" w:right="76" w:firstLine="543"/>
      </w:pPr>
      <w:r>
        <w:rPr>
          <w:spacing w:val="-2"/>
        </w:rPr>
        <w:t>在本招标文件规定的查询时间之外，网站信息发生的任何变更均不作为资格</w:t>
      </w:r>
      <w:r>
        <w:rPr>
          <w:spacing w:val="2"/>
        </w:rPr>
        <w:t xml:space="preserve"> </w:t>
      </w:r>
      <w:r>
        <w:rPr>
          <w:spacing w:val="-5"/>
        </w:rPr>
        <w:t>审查依据。</w:t>
      </w:r>
    </w:p>
    <w:p w14:paraId="186CEF81">
      <w:pPr>
        <w:pStyle w:val="7"/>
        <w:spacing w:before="41" w:line="249" w:lineRule="auto"/>
        <w:ind w:left="2" w:right="76" w:firstLine="578"/>
      </w:pPr>
      <w:r>
        <w:rPr>
          <w:spacing w:val="1"/>
        </w:rPr>
        <w:t>19.3 按照《中华人民共和国政府采购法》、《中华人民共和国政府采购</w:t>
      </w:r>
      <w:r>
        <w:rPr>
          <w:spacing w:val="18"/>
        </w:rPr>
        <w:t xml:space="preserve"> </w:t>
      </w:r>
      <w:r>
        <w:rPr>
          <w:spacing w:val="-2"/>
        </w:rPr>
        <w:t>法实施条例》及本项目本级和上级财政部门的有关规定依法组建的评标委员会，</w:t>
      </w:r>
      <w:r>
        <w:rPr>
          <w:spacing w:val="3"/>
        </w:rPr>
        <w:t xml:space="preserve"> </w:t>
      </w:r>
      <w:r>
        <w:rPr>
          <w:spacing w:val="-2"/>
        </w:rPr>
        <w:t>负责评标工作。</w:t>
      </w:r>
    </w:p>
    <w:p w14:paraId="40DE1DD4">
      <w:pPr>
        <w:pStyle w:val="7"/>
        <w:spacing w:before="68" w:line="241" w:lineRule="auto"/>
        <w:ind w:left="3" w:right="160" w:firstLine="577"/>
      </w:pPr>
      <w:r>
        <w:rPr>
          <w:spacing w:val="-2"/>
        </w:rPr>
        <w:t>19.3.1 评标委员会由采购人代表和评审专家组成，成员人数应当为</w:t>
      </w:r>
      <w:r>
        <w:rPr>
          <w:spacing w:val="-42"/>
        </w:rPr>
        <w:t xml:space="preserve"> </w:t>
      </w:r>
      <w:r>
        <w:rPr>
          <w:spacing w:val="-2"/>
        </w:rPr>
        <w:t>5</w:t>
      </w:r>
      <w:r>
        <w:rPr>
          <w:spacing w:val="-56"/>
        </w:rPr>
        <w:t xml:space="preserve"> </w:t>
      </w:r>
      <w:r>
        <w:rPr>
          <w:spacing w:val="-2"/>
        </w:rPr>
        <w:t>人</w:t>
      </w:r>
      <w:r>
        <w:rPr>
          <w:spacing w:val="-1"/>
        </w:rPr>
        <w:t>单数，其中评审专家不得少于成员总数的三分之二。</w:t>
      </w:r>
    </w:p>
    <w:p w14:paraId="76A04F27">
      <w:pPr>
        <w:pStyle w:val="7"/>
        <w:spacing w:before="66" w:line="219" w:lineRule="auto"/>
        <w:ind w:left="581"/>
      </w:pPr>
      <w:r>
        <w:rPr>
          <w:spacing w:val="-1"/>
        </w:rPr>
        <w:t>19.3.2  评标委员会成员名称在评标结果公告前应当保</w:t>
      </w:r>
      <w:r>
        <w:rPr>
          <w:spacing w:val="-2"/>
        </w:rPr>
        <w:t>密。</w:t>
      </w:r>
    </w:p>
    <w:p w14:paraId="2AD74996">
      <w:pPr>
        <w:pStyle w:val="7"/>
        <w:spacing w:before="69" w:line="220" w:lineRule="auto"/>
        <w:ind w:left="563"/>
        <w:outlineLvl w:val="3"/>
      </w:pPr>
      <w:r>
        <w:rPr>
          <w:b/>
          <w:bCs/>
          <w:spacing w:val="-3"/>
        </w:rPr>
        <w:t>20.投标文件符合性审查与澄清</w:t>
      </w:r>
    </w:p>
    <w:p w14:paraId="0B51EDFF">
      <w:pPr>
        <w:pStyle w:val="7"/>
        <w:spacing w:before="65" w:line="242" w:lineRule="auto"/>
        <w:ind w:right="62" w:firstLine="563"/>
      </w:pPr>
      <w:r>
        <w:rPr>
          <w:spacing w:val="2"/>
        </w:rPr>
        <w:t>20.1 符合性审查是指依据招标文件的规定，从商务和技术角度对投标文</w:t>
      </w:r>
      <w:r>
        <w:t xml:space="preserve"> </w:t>
      </w:r>
      <w:r>
        <w:rPr>
          <w:spacing w:val="-1"/>
        </w:rPr>
        <w:t>件的有效性和完整性进行审查，以确定是否</w:t>
      </w:r>
      <w:r>
        <w:rPr>
          <w:spacing w:val="-2"/>
        </w:rPr>
        <w:t>对招标文件的实质性要求做出响应。</w:t>
      </w:r>
    </w:p>
    <w:p w14:paraId="546B436F">
      <w:pPr>
        <w:pStyle w:val="7"/>
        <w:spacing w:before="67" w:line="220" w:lineRule="auto"/>
        <w:ind w:left="563"/>
      </w:pPr>
      <w:r>
        <w:rPr>
          <w:spacing w:val="-2"/>
        </w:rPr>
        <w:t>20.2 投标文件的澄清</w:t>
      </w:r>
    </w:p>
    <w:p w14:paraId="335B02F3">
      <w:pPr>
        <w:pStyle w:val="7"/>
        <w:spacing w:before="66" w:line="255" w:lineRule="auto"/>
        <w:ind w:right="62" w:firstLine="563"/>
      </w:pPr>
      <w:r>
        <w:rPr>
          <w:spacing w:val="-1"/>
        </w:rPr>
        <w:t>20.2.1  在评标期间，评标委员会要</w:t>
      </w:r>
      <w:r>
        <w:rPr>
          <w:spacing w:val="-2"/>
        </w:rPr>
        <w:t>求投标人对其投标文件中含义不明确、</w:t>
      </w:r>
      <w:r>
        <w:t xml:space="preserve"> </w:t>
      </w:r>
      <w:r>
        <w:rPr>
          <w:spacing w:val="-2"/>
        </w:rPr>
        <w:t>对同类问题表述不一致或者有明显文字和计算错误的内容，以及评标委员会认为</w:t>
      </w:r>
      <w:r>
        <w:rPr>
          <w:spacing w:val="5"/>
        </w:rPr>
        <w:t xml:space="preserve"> </w:t>
      </w:r>
      <w:r>
        <w:rPr>
          <w:spacing w:val="-2"/>
        </w:rPr>
        <w:t>投标人的报价明显低于其他通过符合性审查投标人的报价，有可能影响履约的情</w:t>
      </w:r>
      <w:r>
        <w:rPr>
          <w:spacing w:val="5"/>
        </w:rPr>
        <w:t xml:space="preserve"> </w:t>
      </w:r>
      <w:r>
        <w:rPr>
          <w:spacing w:val="-2"/>
        </w:rPr>
        <w:t>况作必要的澄清、说明或补正。投标人的澄清、说明或补正应在评标委员会规定</w:t>
      </w:r>
      <w:r>
        <w:rPr>
          <w:spacing w:val="5"/>
        </w:rPr>
        <w:t xml:space="preserve"> </w:t>
      </w:r>
      <w:r>
        <w:t>的时间内进行，并不得超出投标文件范围或者改变投</w:t>
      </w:r>
      <w:r>
        <w:rPr>
          <w:spacing w:val="-1"/>
        </w:rPr>
        <w:t>标文件的实质性内容。</w:t>
      </w:r>
    </w:p>
    <w:p w14:paraId="2D85B39D">
      <w:pPr>
        <w:pStyle w:val="7"/>
        <w:spacing w:before="67" w:line="220" w:lineRule="auto"/>
        <w:ind w:left="563"/>
      </w:pPr>
      <w:r>
        <w:rPr>
          <w:spacing w:val="-1"/>
        </w:rPr>
        <w:t>20.2.2 投标人的澄清、说明或补正将作为投标文件的一部分。</w:t>
      </w:r>
    </w:p>
    <w:p w14:paraId="62BF5E7D">
      <w:pPr>
        <w:pStyle w:val="7"/>
        <w:spacing w:before="64" w:line="219" w:lineRule="auto"/>
        <w:ind w:left="563"/>
      </w:pPr>
      <w:r>
        <w:rPr>
          <w:spacing w:val="-1"/>
        </w:rPr>
        <w:t>20.3 投标文件报价出现前后不一致的，按照下列规定修正：</w:t>
      </w:r>
    </w:p>
    <w:p w14:paraId="73D9C66E">
      <w:pPr>
        <w:pStyle w:val="7"/>
        <w:spacing w:before="70" w:line="241" w:lineRule="auto"/>
        <w:ind w:left="24" w:right="76" w:firstLine="544"/>
      </w:pPr>
      <w:r>
        <w:rPr>
          <w:spacing w:val="2"/>
        </w:rPr>
        <w:t>（1）投标文件中开标一览表（报价表）内容与投标文件中相应内容不一致</w:t>
      </w:r>
      <w:r>
        <w:rPr>
          <w:spacing w:val="1"/>
        </w:rPr>
        <w:t xml:space="preserve"> </w:t>
      </w:r>
      <w:r>
        <w:rPr>
          <w:spacing w:val="-3"/>
        </w:rPr>
        <w:t>的，以开标一览表（报价表）为准；</w:t>
      </w:r>
    </w:p>
    <w:p w14:paraId="4EEE2F25">
      <w:pPr>
        <w:pStyle w:val="7"/>
        <w:spacing w:before="67" w:line="220" w:lineRule="auto"/>
        <w:ind w:left="568"/>
      </w:pPr>
      <w:r>
        <w:rPr>
          <w:spacing w:val="-1"/>
        </w:rPr>
        <w:t>（2）大写金额和小写金额不一致的，以大写金额为准；</w:t>
      </w:r>
    </w:p>
    <w:p w14:paraId="1EC756C6">
      <w:pPr>
        <w:pStyle w:val="7"/>
        <w:spacing w:before="69" w:line="241" w:lineRule="auto"/>
        <w:ind w:left="7" w:firstLine="560"/>
      </w:pPr>
      <w:r>
        <w:rPr>
          <w:spacing w:val="-4"/>
        </w:rPr>
        <w:t>（3）单价金额小数点或者百分比有明显错位的，以开标一览表的总价为准，</w:t>
      </w:r>
      <w:r>
        <w:t xml:space="preserve"> </w:t>
      </w:r>
      <w:r>
        <w:rPr>
          <w:spacing w:val="-3"/>
        </w:rPr>
        <w:t>并修改单价；</w:t>
      </w:r>
    </w:p>
    <w:p w14:paraId="0C250338">
      <w:pPr>
        <w:pStyle w:val="7"/>
        <w:spacing w:before="67" w:line="242" w:lineRule="auto"/>
        <w:ind w:left="587" w:right="484" w:hanging="19"/>
      </w:pPr>
      <w:r>
        <w:rPr>
          <w:spacing w:val="-2"/>
        </w:rPr>
        <w:t>（4）总价金额与按单价汇总金额不一致的，以单价金额计算结果为准。</w:t>
      </w:r>
      <w:r>
        <w:rPr>
          <w:spacing w:val="2"/>
        </w:rPr>
        <w:t xml:space="preserve"> </w:t>
      </w:r>
      <w:r>
        <w:rPr>
          <w:spacing w:val="-2"/>
        </w:rPr>
        <w:t>同时出现两种以上不一致的，按照前款规定的顺序修正。</w:t>
      </w:r>
    </w:p>
    <w:p w14:paraId="69930B60">
      <w:pPr>
        <w:pStyle w:val="7"/>
        <w:spacing w:before="67" w:line="221" w:lineRule="auto"/>
        <w:ind w:left="563"/>
        <w:outlineLvl w:val="3"/>
      </w:pPr>
      <w:r>
        <w:rPr>
          <w:b/>
          <w:bCs/>
          <w:spacing w:val="-4"/>
        </w:rPr>
        <w:t>21.投标无效</w:t>
      </w:r>
    </w:p>
    <w:p w14:paraId="7A30CE8E">
      <w:pPr>
        <w:pStyle w:val="7"/>
        <w:spacing w:before="63" w:line="220" w:lineRule="auto"/>
        <w:ind w:left="563"/>
        <w:outlineLvl w:val="4"/>
      </w:pPr>
      <w:r>
        <w:rPr>
          <w:b/>
          <w:bCs/>
          <w:spacing w:val="-2"/>
        </w:rPr>
        <w:t>21.1</w:t>
      </w:r>
      <w:r>
        <w:rPr>
          <w:spacing w:val="-2"/>
        </w:rPr>
        <w:t xml:space="preserve">  </w:t>
      </w:r>
      <w:r>
        <w:rPr>
          <w:b/>
          <w:bCs/>
          <w:spacing w:val="-2"/>
        </w:rPr>
        <w:t>如发现下列情况之一的，其投标将被</w:t>
      </w:r>
      <w:r>
        <w:rPr>
          <w:b/>
          <w:bCs/>
          <w:spacing w:val="-3"/>
        </w:rPr>
        <w:t>认定为投标无效：</w:t>
      </w:r>
    </w:p>
    <w:p w14:paraId="50820CDD">
      <w:pPr>
        <w:pStyle w:val="7"/>
        <w:spacing w:before="68" w:line="219" w:lineRule="auto"/>
        <w:ind w:left="563"/>
        <w:outlineLvl w:val="5"/>
      </w:pPr>
      <w:r>
        <w:rPr>
          <w:b/>
          <w:bCs/>
          <w:spacing w:val="-3"/>
        </w:rPr>
        <w:t>21.1.1</w:t>
      </w:r>
      <w:r>
        <w:rPr>
          <w:spacing w:val="-56"/>
        </w:rPr>
        <w:t xml:space="preserve"> </w:t>
      </w:r>
      <w:r>
        <w:rPr>
          <w:b/>
          <w:bCs/>
          <w:spacing w:val="-3"/>
        </w:rPr>
        <w:t>未按照招标文件规定要求签署、盖</w:t>
      </w:r>
      <w:r>
        <w:rPr>
          <w:b/>
          <w:bCs/>
          <w:spacing w:val="-4"/>
        </w:rPr>
        <w:t>章的；</w:t>
      </w:r>
    </w:p>
    <w:p w14:paraId="5636DF3E">
      <w:pPr>
        <w:pStyle w:val="7"/>
        <w:spacing w:before="68" w:line="220" w:lineRule="auto"/>
        <w:ind w:left="563"/>
        <w:outlineLvl w:val="5"/>
      </w:pPr>
      <w:r>
        <w:rPr>
          <w:b/>
          <w:bCs/>
          <w:spacing w:val="-4"/>
        </w:rPr>
        <w:t>21.1.2</w:t>
      </w:r>
      <w:r>
        <w:rPr>
          <w:spacing w:val="-41"/>
        </w:rPr>
        <w:t xml:space="preserve"> </w:t>
      </w:r>
      <w:r>
        <w:rPr>
          <w:b/>
          <w:bCs/>
          <w:spacing w:val="-4"/>
        </w:rPr>
        <w:t>未满足招标文件中的实质性要求；</w:t>
      </w:r>
    </w:p>
    <w:p w14:paraId="67FCE451">
      <w:pPr>
        <w:pStyle w:val="7"/>
        <w:spacing w:before="88" w:line="250" w:lineRule="auto"/>
        <w:ind w:left="24" w:right="95" w:firstLine="539"/>
        <w:rPr>
          <w:b/>
          <w:bCs/>
          <w:spacing w:val="-3"/>
        </w:rPr>
      </w:pPr>
      <w:r>
        <w:rPr>
          <w:b/>
          <w:bCs/>
          <w:spacing w:val="-3"/>
        </w:rPr>
        <w:t>21.1.3</w:t>
      </w:r>
      <w:r>
        <w:rPr>
          <w:spacing w:val="-58"/>
        </w:rPr>
        <w:t xml:space="preserve"> </w:t>
      </w:r>
      <w:r>
        <w:rPr>
          <w:b/>
          <w:bCs/>
          <w:spacing w:val="-3"/>
        </w:rPr>
        <w:t>属于串通投标，或者依法被视为串通投标；</w:t>
      </w:r>
    </w:p>
    <w:p w14:paraId="6C94A940">
      <w:pPr>
        <w:pStyle w:val="7"/>
        <w:spacing w:before="88" w:line="250" w:lineRule="auto"/>
        <w:ind w:left="24" w:right="95" w:firstLine="539"/>
      </w:pPr>
      <w:r>
        <w:rPr>
          <w:b/>
          <w:bCs/>
          <w:spacing w:val="1"/>
        </w:rPr>
        <w:t>21.1.4</w:t>
      </w:r>
      <w:r>
        <w:rPr>
          <w:spacing w:val="-57"/>
        </w:rPr>
        <w:t xml:space="preserve"> </w:t>
      </w:r>
      <w:r>
        <w:rPr>
          <w:b/>
          <w:bCs/>
          <w:spacing w:val="1"/>
        </w:rPr>
        <w:t>评标委员会认为投标人的报价明显低于其他通过符</w:t>
      </w:r>
      <w:r>
        <w:rPr>
          <w:b/>
          <w:bCs/>
        </w:rPr>
        <w:t>合性审查投标人</w:t>
      </w:r>
      <w:r>
        <w:t xml:space="preserve"> </w:t>
      </w:r>
      <w:r>
        <w:rPr>
          <w:b/>
          <w:bCs/>
          <w:spacing w:val="-3"/>
        </w:rPr>
        <w:t>的报价，有可能影响履约的，且投标人未按照规定证明其报价合理性的；</w:t>
      </w:r>
    </w:p>
    <w:p w14:paraId="0CD98014">
      <w:pPr>
        <w:pStyle w:val="7"/>
        <w:spacing w:before="43" w:line="219" w:lineRule="auto"/>
        <w:ind w:left="563"/>
        <w:outlineLvl w:val="5"/>
      </w:pPr>
      <w:r>
        <w:rPr>
          <w:b/>
          <w:bCs/>
          <w:spacing w:val="-3"/>
        </w:rPr>
        <w:t>21.1.5</w:t>
      </w:r>
      <w:r>
        <w:rPr>
          <w:spacing w:val="-57"/>
        </w:rPr>
        <w:t xml:space="preserve"> </w:t>
      </w:r>
      <w:r>
        <w:rPr>
          <w:b/>
          <w:bCs/>
          <w:spacing w:val="-3"/>
        </w:rPr>
        <w:t>投标文件含有采购人不能接受的附加条件的；</w:t>
      </w:r>
    </w:p>
    <w:p w14:paraId="4B431112">
      <w:pPr>
        <w:pStyle w:val="7"/>
        <w:spacing w:before="65" w:line="220" w:lineRule="auto"/>
        <w:ind w:left="563"/>
        <w:outlineLvl w:val="5"/>
      </w:pPr>
      <w:r>
        <w:rPr>
          <w:b/>
          <w:bCs/>
          <w:spacing w:val="-3"/>
        </w:rPr>
        <w:t>21.1.6</w:t>
      </w:r>
      <w:r>
        <w:rPr>
          <w:spacing w:val="-59"/>
        </w:rPr>
        <w:t xml:space="preserve"> </w:t>
      </w:r>
      <w:r>
        <w:rPr>
          <w:b/>
          <w:bCs/>
          <w:spacing w:val="-3"/>
        </w:rPr>
        <w:t>属于招标文件规定的其他投标无效情形；</w:t>
      </w:r>
    </w:p>
    <w:p w14:paraId="48AD303D">
      <w:pPr>
        <w:pStyle w:val="7"/>
        <w:spacing w:before="67" w:line="219" w:lineRule="auto"/>
        <w:ind w:left="563"/>
        <w:outlineLvl w:val="5"/>
      </w:pPr>
      <w:r>
        <w:rPr>
          <w:b/>
          <w:bCs/>
          <w:spacing w:val="-3"/>
        </w:rPr>
        <w:t>21.1.7</w:t>
      </w:r>
      <w:r>
        <w:rPr>
          <w:spacing w:val="-47"/>
        </w:rPr>
        <w:t xml:space="preserve"> </w:t>
      </w:r>
      <w:r>
        <w:rPr>
          <w:b/>
          <w:bCs/>
          <w:spacing w:val="-3"/>
        </w:rPr>
        <w:t>不符合政府采购法律法规和招标文件中规定的其他实质性要求的。</w:t>
      </w:r>
    </w:p>
    <w:p w14:paraId="7678FD49">
      <w:pPr>
        <w:pStyle w:val="7"/>
        <w:spacing w:before="67" w:line="219" w:lineRule="auto"/>
        <w:ind w:left="563"/>
        <w:outlineLvl w:val="3"/>
      </w:pPr>
      <w:r>
        <w:rPr>
          <w:b/>
          <w:bCs/>
          <w:spacing w:val="-4"/>
        </w:rPr>
        <w:t>22.比较与评价</w:t>
      </w:r>
    </w:p>
    <w:p w14:paraId="76B4671C">
      <w:pPr>
        <w:pStyle w:val="7"/>
        <w:spacing w:before="68" w:line="241" w:lineRule="auto"/>
        <w:ind w:left="2" w:right="98" w:firstLine="561"/>
      </w:pPr>
      <w:r>
        <w:rPr>
          <w:spacing w:val="2"/>
        </w:rPr>
        <w:t>22.1 经符合性审查合格的投标文件，评标委员会将根据招标文件确定的评</w:t>
      </w:r>
      <w:r>
        <w:rPr>
          <w:spacing w:val="1"/>
        </w:rPr>
        <w:t xml:space="preserve"> </w:t>
      </w:r>
      <w:r>
        <w:rPr>
          <w:spacing w:val="-1"/>
        </w:rPr>
        <w:t>标方法和标准，对其技术部分和商务部分作进一步的比较和评价。</w:t>
      </w:r>
    </w:p>
    <w:p w14:paraId="6CD1DCA5">
      <w:pPr>
        <w:pStyle w:val="7"/>
        <w:spacing w:before="69" w:line="241" w:lineRule="auto"/>
        <w:ind w:left="5" w:right="97" w:firstLine="558"/>
      </w:pPr>
      <w:r>
        <w:rPr>
          <w:spacing w:val="-2"/>
        </w:rPr>
        <w:t>22.2 评标严格按照招标文件的要求和条件进行。根据实际情况，在供应商</w:t>
      </w:r>
      <w:r>
        <w:rPr>
          <w:spacing w:val="4"/>
        </w:rPr>
        <w:t xml:space="preserve"> </w:t>
      </w:r>
      <w:r>
        <w:rPr>
          <w:spacing w:val="-1"/>
        </w:rPr>
        <w:t>须知前附表中规定采用下列一种评标方法：</w:t>
      </w:r>
    </w:p>
    <w:p w14:paraId="4DBED997">
      <w:pPr>
        <w:pStyle w:val="7"/>
        <w:spacing w:before="69" w:line="242" w:lineRule="auto"/>
        <w:ind w:left="4" w:right="100" w:firstLine="559"/>
      </w:pPr>
      <w:r>
        <w:rPr>
          <w:spacing w:val="2"/>
        </w:rPr>
        <w:t>22.2.1 综合评分法，是指投标文件满足招标文件全部要求，且按照</w:t>
      </w:r>
      <w:r>
        <w:rPr>
          <w:spacing w:val="1"/>
        </w:rPr>
        <w:t>评审因</w:t>
      </w:r>
      <w:r>
        <w:t xml:space="preserve"> </w:t>
      </w:r>
      <w:r>
        <w:rPr>
          <w:spacing w:val="-1"/>
        </w:rPr>
        <w:t>素的量化指标评审得分最高的投标人为中标候选人的评标方法。</w:t>
      </w:r>
    </w:p>
    <w:p w14:paraId="2E5752E8">
      <w:pPr>
        <w:pStyle w:val="7"/>
        <w:spacing w:before="64" w:line="242" w:lineRule="auto"/>
        <w:ind w:left="2" w:firstLine="560"/>
      </w:pPr>
      <w:r>
        <w:rPr>
          <w:spacing w:val="-5"/>
        </w:rPr>
        <w:t>22.3  根据《政府采购促进中小企业发展管理办法》（财库[2020]46</w:t>
      </w:r>
      <w:r>
        <w:rPr>
          <w:spacing w:val="-45"/>
        </w:rPr>
        <w:t xml:space="preserve"> </w:t>
      </w:r>
      <w:r>
        <w:rPr>
          <w:spacing w:val="-5"/>
        </w:rPr>
        <w:t>号）、</w:t>
      </w:r>
      <w:r>
        <w:t xml:space="preserve"> </w:t>
      </w:r>
      <w:r>
        <w:rPr>
          <w:spacing w:val="-10"/>
        </w:rPr>
        <w:t>《财政部 司法部关于政府采购支持监狱企业发展有关问题的通知》（财库〔201</w:t>
      </w:r>
      <w:r>
        <w:rPr>
          <w:spacing w:val="-11"/>
        </w:rPr>
        <w:t>4〕</w:t>
      </w:r>
    </w:p>
    <w:p w14:paraId="6645579C">
      <w:pPr>
        <w:pStyle w:val="7"/>
        <w:spacing w:before="67" w:line="241" w:lineRule="auto"/>
        <w:ind w:left="33" w:right="97" w:hanging="30"/>
      </w:pPr>
      <w:r>
        <w:rPr>
          <w:spacing w:val="3"/>
        </w:rPr>
        <w:t>68</w:t>
      </w:r>
      <w:r>
        <w:rPr>
          <w:spacing w:val="-33"/>
        </w:rPr>
        <w:t xml:space="preserve"> </w:t>
      </w:r>
      <w:r>
        <w:rPr>
          <w:spacing w:val="3"/>
        </w:rPr>
        <w:t>号）和《三部门联合发布关于促进残疾人就业政府采购政策的通知》（财库</w:t>
      </w:r>
      <w:r>
        <w:t xml:space="preserve"> </w:t>
      </w:r>
      <w:r>
        <w:rPr>
          <w:spacing w:val="-1"/>
        </w:rPr>
        <w:t>〔2017〕141</w:t>
      </w:r>
      <w:r>
        <w:rPr>
          <w:spacing w:val="-51"/>
        </w:rPr>
        <w:t xml:space="preserve"> </w:t>
      </w:r>
      <w:r>
        <w:rPr>
          <w:spacing w:val="-1"/>
        </w:rPr>
        <w:t>号）的规定，对满足价格扣除条件且在投标文</w:t>
      </w:r>
      <w:r>
        <w:rPr>
          <w:spacing w:val="-2"/>
        </w:rPr>
        <w:t>件中提交了《中小企</w:t>
      </w:r>
    </w:p>
    <w:p w14:paraId="572ED91A">
      <w:pPr>
        <w:pStyle w:val="7"/>
        <w:spacing w:before="70" w:line="250" w:lineRule="auto"/>
        <w:ind w:left="3" w:right="95" w:hanging="3"/>
      </w:pPr>
      <w:r>
        <w:rPr>
          <w:spacing w:val="-2"/>
        </w:rPr>
        <w:t>业声明函》、《残疾人福利性单位声明函》相关属于监狱企业的证明文件的投标</w:t>
      </w:r>
      <w:r>
        <w:rPr>
          <w:spacing w:val="8"/>
        </w:rPr>
        <w:t xml:space="preserve"> </w:t>
      </w:r>
      <w:r>
        <w:rPr>
          <w:spacing w:val="-1"/>
        </w:rPr>
        <w:t>人，按照相关价格扣除规定和</w:t>
      </w:r>
      <w:r>
        <w:rPr>
          <w:rFonts w:hint="eastAsia"/>
          <w:spacing w:val="-1"/>
          <w:lang w:eastAsia="zh-CN"/>
        </w:rPr>
        <w:t>投标人须知前附表</w:t>
      </w:r>
      <w:r>
        <w:rPr>
          <w:spacing w:val="-1"/>
        </w:rPr>
        <w:t>要求执行。</w:t>
      </w:r>
    </w:p>
    <w:p w14:paraId="4F684F17">
      <w:pPr>
        <w:pStyle w:val="7"/>
        <w:spacing w:before="40" w:line="219" w:lineRule="auto"/>
        <w:ind w:left="563"/>
      </w:pPr>
      <w:r>
        <w:t>22.4   落实其他政府采购政策条款，</w:t>
      </w:r>
      <w:r>
        <w:rPr>
          <w:spacing w:val="-1"/>
        </w:rPr>
        <w:t>具体详见</w:t>
      </w:r>
      <w:r>
        <w:rPr>
          <w:rFonts w:hint="eastAsia"/>
          <w:spacing w:val="-1"/>
          <w:lang w:eastAsia="zh-CN"/>
        </w:rPr>
        <w:t>投标人须知前附表</w:t>
      </w:r>
      <w:r>
        <w:rPr>
          <w:spacing w:val="-1"/>
        </w:rPr>
        <w:t>。</w:t>
      </w:r>
    </w:p>
    <w:p w14:paraId="5E31ED37">
      <w:pPr>
        <w:pStyle w:val="7"/>
        <w:spacing w:before="68" w:line="221" w:lineRule="auto"/>
        <w:ind w:left="563"/>
        <w:outlineLvl w:val="3"/>
      </w:pPr>
      <w:r>
        <w:rPr>
          <w:b/>
          <w:bCs/>
          <w:spacing w:val="-5"/>
        </w:rPr>
        <w:t>23.废标</w:t>
      </w:r>
    </w:p>
    <w:p w14:paraId="7CA52F40">
      <w:pPr>
        <w:pStyle w:val="7"/>
        <w:spacing w:before="66" w:line="220" w:lineRule="auto"/>
        <w:ind w:left="563"/>
        <w:outlineLvl w:val="4"/>
      </w:pPr>
      <w:r>
        <w:rPr>
          <w:b/>
          <w:bCs/>
          <w:spacing w:val="-2"/>
        </w:rPr>
        <w:t>23.1</w:t>
      </w:r>
      <w:r>
        <w:rPr>
          <w:spacing w:val="-2"/>
        </w:rPr>
        <w:t xml:space="preserve">  </w:t>
      </w:r>
      <w:r>
        <w:rPr>
          <w:b/>
          <w:bCs/>
          <w:spacing w:val="-2"/>
        </w:rPr>
        <w:t>出现下列情形之一，将导致</w:t>
      </w:r>
      <w:r>
        <w:rPr>
          <w:b/>
          <w:bCs/>
          <w:spacing w:val="-3"/>
        </w:rPr>
        <w:t>项目废标：</w:t>
      </w:r>
    </w:p>
    <w:p w14:paraId="46B9F4A4">
      <w:pPr>
        <w:pStyle w:val="7"/>
        <w:spacing w:before="67" w:line="242" w:lineRule="auto"/>
        <w:ind w:left="1" w:right="95" w:firstLine="562"/>
        <w:outlineLvl w:val="5"/>
      </w:pPr>
      <w:r>
        <w:rPr>
          <w:b/>
          <w:bCs/>
          <w:spacing w:val="-1"/>
        </w:rPr>
        <w:t>23.1.1</w:t>
      </w:r>
      <w:r>
        <w:rPr>
          <w:spacing w:val="-1"/>
        </w:rPr>
        <w:t xml:space="preserve"> </w:t>
      </w:r>
      <w:r>
        <w:rPr>
          <w:b/>
          <w:bCs/>
          <w:spacing w:val="-1"/>
        </w:rPr>
        <w:t>符合专业条件的供应商或者对招标文件做实质性响应的供应商不足</w:t>
      </w:r>
      <w:r>
        <w:rPr>
          <w:spacing w:val="7"/>
        </w:rPr>
        <w:t xml:space="preserve"> </w:t>
      </w:r>
      <w:r>
        <w:rPr>
          <w:b/>
          <w:bCs/>
          <w:spacing w:val="-6"/>
        </w:rPr>
        <w:t>三家；</w:t>
      </w:r>
    </w:p>
    <w:p w14:paraId="1EBDABCB">
      <w:pPr>
        <w:pStyle w:val="7"/>
        <w:spacing w:before="66" w:line="219" w:lineRule="auto"/>
        <w:ind w:left="563"/>
        <w:outlineLvl w:val="5"/>
      </w:pPr>
      <w:r>
        <w:rPr>
          <w:b/>
          <w:bCs/>
          <w:spacing w:val="-4"/>
        </w:rPr>
        <w:t>23.1.2</w:t>
      </w:r>
      <w:r>
        <w:rPr>
          <w:spacing w:val="37"/>
        </w:rPr>
        <w:t xml:space="preserve"> </w:t>
      </w:r>
      <w:r>
        <w:rPr>
          <w:b/>
          <w:bCs/>
          <w:spacing w:val="-4"/>
        </w:rPr>
        <w:t>出现影响采购公正的违法、违规行为的；</w:t>
      </w:r>
    </w:p>
    <w:p w14:paraId="066DE75E">
      <w:pPr>
        <w:pStyle w:val="7"/>
        <w:spacing w:before="65" w:line="219" w:lineRule="auto"/>
        <w:ind w:left="563"/>
        <w:outlineLvl w:val="5"/>
      </w:pPr>
      <w:r>
        <w:rPr>
          <w:b/>
          <w:bCs/>
          <w:spacing w:val="-2"/>
        </w:rPr>
        <w:t>23.1.3</w:t>
      </w:r>
      <w:r>
        <w:rPr>
          <w:spacing w:val="-2"/>
        </w:rPr>
        <w:t xml:space="preserve"> </w:t>
      </w:r>
      <w:r>
        <w:rPr>
          <w:b/>
          <w:bCs/>
          <w:spacing w:val="-2"/>
        </w:rPr>
        <w:t>投标人的报价均超过了采购预算，采</w:t>
      </w:r>
      <w:r>
        <w:rPr>
          <w:b/>
          <w:bCs/>
          <w:spacing w:val="-3"/>
        </w:rPr>
        <w:t>购人不能支付的；</w:t>
      </w:r>
    </w:p>
    <w:p w14:paraId="44623BB6">
      <w:pPr>
        <w:pStyle w:val="7"/>
        <w:spacing w:before="70" w:line="219" w:lineRule="auto"/>
        <w:ind w:left="563"/>
        <w:outlineLvl w:val="5"/>
      </w:pPr>
      <w:r>
        <w:rPr>
          <w:b/>
          <w:bCs/>
          <w:spacing w:val="-3"/>
        </w:rPr>
        <w:t>23.1.4</w:t>
      </w:r>
      <w:r>
        <w:rPr>
          <w:spacing w:val="-3"/>
        </w:rPr>
        <w:t xml:space="preserve"> </w:t>
      </w:r>
      <w:r>
        <w:rPr>
          <w:b/>
          <w:bCs/>
          <w:spacing w:val="-3"/>
        </w:rPr>
        <w:t>因重大变故，采购任务取消的。</w:t>
      </w:r>
    </w:p>
    <w:p w14:paraId="7F845665">
      <w:pPr>
        <w:pStyle w:val="7"/>
        <w:spacing w:before="68" w:line="221" w:lineRule="auto"/>
        <w:ind w:left="563"/>
        <w:outlineLvl w:val="3"/>
      </w:pPr>
      <w:r>
        <w:rPr>
          <w:b/>
          <w:bCs/>
          <w:spacing w:val="-4"/>
        </w:rPr>
        <w:t>24.保密要求</w:t>
      </w:r>
    </w:p>
    <w:p w14:paraId="2C524482">
      <w:pPr>
        <w:pStyle w:val="7"/>
        <w:spacing w:before="63" w:line="220" w:lineRule="auto"/>
        <w:ind w:left="563"/>
      </w:pPr>
      <w:r>
        <w:rPr>
          <w:spacing w:val="-1"/>
        </w:rPr>
        <w:t>24.1  评标将在严格保密的情况下进行。</w:t>
      </w:r>
    </w:p>
    <w:p w14:paraId="0AB2FFF9">
      <w:pPr>
        <w:pStyle w:val="7"/>
        <w:spacing w:before="68" w:line="242" w:lineRule="auto"/>
        <w:ind w:left="2" w:right="98" w:firstLine="561"/>
      </w:pPr>
      <w:r>
        <w:rPr>
          <w:spacing w:val="2"/>
        </w:rPr>
        <w:t>24.2 有关人员应当遵守评标工作纪律，不得泄露评标文件、评标情况和评</w:t>
      </w:r>
      <w:r>
        <w:rPr>
          <w:spacing w:val="1"/>
        </w:rPr>
        <w:t xml:space="preserve"> </w:t>
      </w:r>
      <w:r>
        <w:rPr>
          <w:spacing w:val="-1"/>
        </w:rPr>
        <w:t>标中获悉的国家秘密、商业秘密。</w:t>
      </w:r>
    </w:p>
    <w:p w14:paraId="67DF92AC">
      <w:pPr>
        <w:pStyle w:val="7"/>
        <w:spacing w:before="64" w:line="221" w:lineRule="auto"/>
        <w:ind w:left="4178"/>
        <w:outlineLvl w:val="2"/>
      </w:pPr>
      <w:r>
        <w:rPr>
          <w:b/>
          <w:bCs/>
          <w:spacing w:val="-5"/>
        </w:rPr>
        <w:t>（六）确定中标</w:t>
      </w:r>
    </w:p>
    <w:p w14:paraId="6C955286">
      <w:pPr>
        <w:pStyle w:val="7"/>
        <w:spacing w:before="66" w:line="220" w:lineRule="auto"/>
        <w:ind w:left="563"/>
        <w:outlineLvl w:val="3"/>
      </w:pPr>
      <w:r>
        <w:rPr>
          <w:b/>
          <w:bCs/>
          <w:spacing w:val="-3"/>
        </w:rPr>
        <w:t>25.中标候选人的确定原则及标准</w:t>
      </w:r>
    </w:p>
    <w:p w14:paraId="76659F27">
      <w:pPr>
        <w:pStyle w:val="7"/>
        <w:spacing w:before="68" w:line="219" w:lineRule="auto"/>
        <w:ind w:left="563"/>
      </w:pPr>
      <w:r>
        <w:rPr>
          <w:spacing w:val="-2"/>
        </w:rPr>
        <w:t>25.1   除评标委员会受采购人委托直接确定中标供应商的情形外，对实质</w:t>
      </w:r>
    </w:p>
    <w:p w14:paraId="02F477DB">
      <w:pPr>
        <w:pStyle w:val="7"/>
        <w:spacing w:before="66" w:line="220" w:lineRule="auto"/>
        <w:ind w:left="3"/>
      </w:pPr>
      <w:r>
        <w:rPr>
          <w:spacing w:val="-1"/>
        </w:rPr>
        <w:t>上响应招标文件的投标人按下列方法进行排序，确定中标候选人：</w:t>
      </w:r>
    </w:p>
    <w:p w14:paraId="4F043775">
      <w:pPr>
        <w:spacing w:line="220" w:lineRule="auto"/>
        <w:sectPr>
          <w:pgSz w:w="11906" w:h="16839"/>
          <w:pgMar w:top="1431" w:right="981" w:bottom="1748" w:left="1089" w:header="0" w:footer="1304" w:gutter="0"/>
          <w:pgNumType w:fmt="decimal"/>
          <w:cols w:space="720" w:num="1"/>
        </w:sectPr>
      </w:pPr>
    </w:p>
    <w:p w14:paraId="7E4E3BC0">
      <w:pPr>
        <w:pStyle w:val="7"/>
        <w:spacing w:before="87" w:line="219" w:lineRule="auto"/>
        <w:ind w:left="563"/>
      </w:pPr>
      <w:r>
        <w:rPr>
          <w:spacing w:val="-1"/>
        </w:rPr>
        <w:t>25.1.1  采用综合评分法的，评标结果按评审后得分由高</w:t>
      </w:r>
      <w:r>
        <w:rPr>
          <w:spacing w:val="-8"/>
        </w:rPr>
        <w:t>到低顺序排列。得分相同的，按修正和扣除后的投标报价由低到高顺序排列。</w:t>
      </w:r>
      <w:r>
        <w:rPr>
          <w:spacing w:val="17"/>
        </w:rPr>
        <w:t xml:space="preserve"> </w:t>
      </w:r>
      <w:r>
        <w:rPr>
          <w:spacing w:val="-1"/>
        </w:rPr>
        <w:t>得分与投标报价均相同的处理方式：按照技术部分优劣进行排序。</w:t>
      </w:r>
    </w:p>
    <w:p w14:paraId="57FAD354">
      <w:pPr>
        <w:pStyle w:val="7"/>
        <w:spacing w:before="40" w:line="219" w:lineRule="auto"/>
        <w:ind w:left="563"/>
        <w:outlineLvl w:val="3"/>
      </w:pPr>
      <w:r>
        <w:rPr>
          <w:b/>
          <w:bCs/>
          <w:spacing w:val="-3"/>
        </w:rPr>
        <w:t>26.确定中标候选人和中标供应商</w:t>
      </w:r>
    </w:p>
    <w:p w14:paraId="4817E4B6">
      <w:pPr>
        <w:pStyle w:val="7"/>
        <w:spacing w:before="69" w:line="242" w:lineRule="auto"/>
        <w:ind w:left="27" w:right="98" w:firstLine="536"/>
      </w:pPr>
      <w:r>
        <w:rPr>
          <w:spacing w:val="2"/>
        </w:rPr>
        <w:t>26.1   评标委员会将根据评标标准，按</w:t>
      </w:r>
      <w:r>
        <w:rPr>
          <w:rFonts w:hint="eastAsia"/>
          <w:spacing w:val="2"/>
          <w:lang w:eastAsia="zh-CN"/>
        </w:rPr>
        <w:t>投标人须知前附表</w:t>
      </w:r>
      <w:r>
        <w:rPr>
          <w:spacing w:val="2"/>
        </w:rPr>
        <w:t>中规定数量推荐</w:t>
      </w:r>
      <w:r>
        <w:t xml:space="preserve"> </w:t>
      </w:r>
      <w:r>
        <w:rPr>
          <w:spacing w:val="-6"/>
        </w:rPr>
        <w:t>中标候选人。</w:t>
      </w:r>
    </w:p>
    <w:p w14:paraId="5EB47F3C">
      <w:pPr>
        <w:pStyle w:val="7"/>
        <w:spacing w:before="65" w:line="219" w:lineRule="auto"/>
        <w:ind w:left="563"/>
      </w:pPr>
      <w:r>
        <w:t>26.2   按</w:t>
      </w:r>
      <w:r>
        <w:rPr>
          <w:rFonts w:hint="eastAsia"/>
          <w:lang w:eastAsia="zh-CN"/>
        </w:rPr>
        <w:t>投标人须知前附表</w:t>
      </w:r>
      <w:r>
        <w:t>中规定，由评标</w:t>
      </w:r>
      <w:r>
        <w:rPr>
          <w:spacing w:val="-1"/>
        </w:rPr>
        <w:t>委员会直接确定中标供应商。</w:t>
      </w:r>
    </w:p>
    <w:p w14:paraId="09AC8B71">
      <w:pPr>
        <w:pStyle w:val="7"/>
        <w:spacing w:before="68" w:line="219" w:lineRule="auto"/>
        <w:ind w:left="563"/>
        <w:outlineLvl w:val="3"/>
      </w:pPr>
      <w:r>
        <w:rPr>
          <w:b/>
          <w:bCs/>
          <w:spacing w:val="-4"/>
        </w:rPr>
        <w:t>27.发出中标通知书</w:t>
      </w:r>
    </w:p>
    <w:p w14:paraId="1A1EF4A9">
      <w:pPr>
        <w:pStyle w:val="7"/>
        <w:spacing w:before="67" w:line="255" w:lineRule="auto"/>
        <w:ind w:left="7" w:right="97" w:firstLine="551"/>
        <w:jc w:val="both"/>
      </w:pPr>
      <w:r>
        <w:rPr>
          <w:spacing w:val="-2"/>
        </w:rPr>
        <w:t>在投标有效期内，中标供应商确定后，采购人或者采购代理机构发布中标公</w:t>
      </w:r>
      <w:r>
        <w:rPr>
          <w:spacing w:val="2"/>
        </w:rPr>
        <w:t xml:space="preserve"> </w:t>
      </w:r>
      <w:r>
        <w:rPr>
          <w:spacing w:val="-2"/>
        </w:rPr>
        <w:t>告。在公告中标结果的同时，向中标供应商发出中标通知书，中标通知书</w:t>
      </w:r>
      <w:r>
        <w:rPr>
          <w:spacing w:val="-3"/>
        </w:rPr>
        <w:t>是合同</w:t>
      </w:r>
      <w:r>
        <w:t xml:space="preserve"> </w:t>
      </w:r>
      <w:r>
        <w:rPr>
          <w:spacing w:val="-3"/>
        </w:rPr>
        <w:t>的组成部分。</w:t>
      </w:r>
    </w:p>
    <w:p w14:paraId="60824E90">
      <w:pPr>
        <w:pStyle w:val="7"/>
        <w:spacing w:before="41" w:line="219" w:lineRule="auto"/>
        <w:ind w:left="563"/>
        <w:outlineLvl w:val="3"/>
      </w:pPr>
      <w:r>
        <w:rPr>
          <w:b/>
          <w:bCs/>
          <w:spacing w:val="-3"/>
        </w:rPr>
        <w:t>28.</w:t>
      </w:r>
      <w:r>
        <w:rPr>
          <w:spacing w:val="-3"/>
        </w:rPr>
        <w:t xml:space="preserve"> </w:t>
      </w:r>
      <w:r>
        <w:rPr>
          <w:b/>
          <w:bCs/>
          <w:spacing w:val="-3"/>
        </w:rPr>
        <w:t>告知招标结果</w:t>
      </w:r>
    </w:p>
    <w:p w14:paraId="688CFD1A">
      <w:pPr>
        <w:pStyle w:val="7"/>
        <w:spacing w:before="67" w:line="250" w:lineRule="auto"/>
        <w:ind w:left="2" w:right="97" w:firstLine="556"/>
      </w:pPr>
      <w:r>
        <w:rPr>
          <w:spacing w:val="-2"/>
        </w:rPr>
        <w:t>在公告中标结果的同时，告知未通过资格审查投标人未通过的原因；采用综</w:t>
      </w:r>
      <w:r>
        <w:rPr>
          <w:spacing w:val="2"/>
        </w:rPr>
        <w:t xml:space="preserve"> </w:t>
      </w:r>
      <w:r>
        <w:rPr>
          <w:spacing w:val="-1"/>
        </w:rPr>
        <w:t>合评分法评审的，还将告知未中标供应商本人的评审得分和排序。</w:t>
      </w:r>
    </w:p>
    <w:p w14:paraId="0AA2ABE1">
      <w:pPr>
        <w:pStyle w:val="7"/>
        <w:spacing w:before="43" w:line="220" w:lineRule="auto"/>
        <w:ind w:left="3758"/>
        <w:outlineLvl w:val="2"/>
      </w:pPr>
      <w:r>
        <w:rPr>
          <w:b/>
          <w:bCs/>
          <w:spacing w:val="-4"/>
        </w:rPr>
        <w:t>（七）合同及履约验收</w:t>
      </w:r>
    </w:p>
    <w:p w14:paraId="1401C384">
      <w:pPr>
        <w:pStyle w:val="7"/>
        <w:spacing w:before="65" w:line="222" w:lineRule="auto"/>
        <w:ind w:left="563"/>
        <w:outlineLvl w:val="3"/>
      </w:pPr>
      <w:r>
        <w:rPr>
          <w:b/>
          <w:bCs/>
          <w:spacing w:val="-4"/>
        </w:rPr>
        <w:t>29.签订合同</w:t>
      </w:r>
    </w:p>
    <w:p w14:paraId="45BB2FDD">
      <w:pPr>
        <w:pStyle w:val="7"/>
        <w:spacing w:before="63" w:line="242" w:lineRule="auto"/>
        <w:ind w:right="98" w:firstLine="563"/>
      </w:pPr>
      <w:r>
        <w:rPr>
          <w:spacing w:val="2"/>
        </w:rPr>
        <w:t>29.1 采购人与中标供应商应当在中标通知书发出之日起三十日内，签订政</w:t>
      </w:r>
      <w:r>
        <w:rPr>
          <w:spacing w:val="1"/>
        </w:rPr>
        <w:t xml:space="preserve"> </w:t>
      </w:r>
      <w:r>
        <w:rPr>
          <w:spacing w:val="-2"/>
        </w:rPr>
        <w:t>府采购合同。</w:t>
      </w:r>
    </w:p>
    <w:p w14:paraId="4355D762">
      <w:pPr>
        <w:pStyle w:val="7"/>
        <w:spacing w:before="67" w:line="249" w:lineRule="auto"/>
        <w:ind w:left="3" w:right="97" w:firstLine="560"/>
      </w:pPr>
      <w:r>
        <w:rPr>
          <w:spacing w:val="-2"/>
        </w:rPr>
        <w:t>29.2 招标文件、中标供应商的投标文件及其澄清文件等，均为签订合同的</w:t>
      </w:r>
      <w:r>
        <w:rPr>
          <w:spacing w:val="4"/>
        </w:rPr>
        <w:t xml:space="preserve"> </w:t>
      </w:r>
      <w:r>
        <w:rPr>
          <w:spacing w:val="6"/>
        </w:rPr>
        <w:t>依据。所签订的合同不得对招标文件确定的事项和中标人投标文件作实质性修</w:t>
      </w:r>
      <w:r>
        <w:rPr>
          <w:spacing w:val="8"/>
        </w:rPr>
        <w:t xml:space="preserve"> </w:t>
      </w:r>
      <w:r>
        <w:rPr>
          <w:spacing w:val="-1"/>
        </w:rPr>
        <w:t>改。采购人不得向中标人提出任何不合理的要求作为签订合同的条件。</w:t>
      </w:r>
    </w:p>
    <w:p w14:paraId="40A58A4C">
      <w:pPr>
        <w:pStyle w:val="7"/>
        <w:spacing w:before="67" w:line="249" w:lineRule="auto"/>
        <w:ind w:left="3" w:right="98" w:firstLine="560"/>
      </w:pPr>
      <w:r>
        <w:rPr>
          <w:spacing w:val="2"/>
        </w:rPr>
        <w:t>29.3 如中标供应商拒绝与采购人签订合同的，中标供应商须按投标函内</w:t>
      </w:r>
      <w:r>
        <w:t xml:space="preserve"> </w:t>
      </w:r>
      <w:r>
        <w:rPr>
          <w:spacing w:val="-2"/>
        </w:rPr>
        <w:t>容向采购人和采购代理机构支付赔偿；采购人可以按照评标报告推荐的中标候选</w:t>
      </w:r>
      <w:r>
        <w:rPr>
          <w:spacing w:val="2"/>
        </w:rPr>
        <w:t xml:space="preserve"> </w:t>
      </w:r>
      <w:r>
        <w:rPr>
          <w:spacing w:val="-1"/>
        </w:rPr>
        <w:t>人排序，确定下一中标候选人为中标供应商，也可以重新开展采购活动。</w:t>
      </w:r>
    </w:p>
    <w:p w14:paraId="12AE1863">
      <w:pPr>
        <w:pStyle w:val="7"/>
        <w:spacing w:before="67" w:line="249" w:lineRule="auto"/>
        <w:ind w:left="1" w:right="97" w:firstLine="562"/>
      </w:pPr>
      <w:r>
        <w:rPr>
          <w:spacing w:val="2"/>
        </w:rPr>
        <w:t>29.4 当出现法律法规规定的中标无效或中标结果无效情形时，且合格的</w:t>
      </w:r>
      <w:r>
        <w:t xml:space="preserve"> </w:t>
      </w:r>
      <w:r>
        <w:rPr>
          <w:spacing w:val="-2"/>
        </w:rPr>
        <w:t>供应商数量符合规定，采购人可与排名下一位的中标候选人另行签订合同，或依</w:t>
      </w:r>
      <w:r>
        <w:rPr>
          <w:spacing w:val="4"/>
        </w:rPr>
        <w:t xml:space="preserve"> </w:t>
      </w:r>
      <w:r>
        <w:rPr>
          <w:spacing w:val="-2"/>
        </w:rPr>
        <w:t>法重新开展采购活动。</w:t>
      </w:r>
    </w:p>
    <w:p w14:paraId="5BFF94DA">
      <w:pPr>
        <w:pStyle w:val="7"/>
        <w:spacing w:before="66" w:line="221" w:lineRule="auto"/>
        <w:ind w:left="565"/>
        <w:outlineLvl w:val="3"/>
      </w:pPr>
      <w:r>
        <w:rPr>
          <w:b/>
          <w:bCs/>
          <w:spacing w:val="-4"/>
        </w:rPr>
        <w:t>30.履约保证金</w:t>
      </w:r>
    </w:p>
    <w:p w14:paraId="32081AB6">
      <w:pPr>
        <w:pStyle w:val="7"/>
        <w:spacing w:before="66" w:line="251" w:lineRule="auto"/>
        <w:ind w:left="6" w:right="98" w:firstLine="558"/>
      </w:pPr>
      <w:r>
        <w:rPr>
          <w:spacing w:val="-2"/>
        </w:rPr>
        <w:t>如果需要履约保证金，中标供应商应按照</w:t>
      </w:r>
      <w:r>
        <w:rPr>
          <w:rFonts w:hint="eastAsia"/>
          <w:spacing w:val="-2"/>
          <w:lang w:eastAsia="zh-CN"/>
        </w:rPr>
        <w:t>投标人须知前附表</w:t>
      </w:r>
      <w:r>
        <w:rPr>
          <w:spacing w:val="-2"/>
        </w:rPr>
        <w:t>规定向</w:t>
      </w:r>
      <w:r>
        <w:rPr>
          <w:spacing w:val="-3"/>
        </w:rPr>
        <w:t>采购人提</w:t>
      </w:r>
      <w:r>
        <w:t xml:space="preserve"> </w:t>
      </w:r>
      <w:r>
        <w:rPr>
          <w:spacing w:val="-3"/>
        </w:rPr>
        <w:t>交履约保证金。</w:t>
      </w:r>
    </w:p>
    <w:p w14:paraId="1029B490">
      <w:pPr>
        <w:pStyle w:val="7"/>
        <w:spacing w:before="37" w:line="220" w:lineRule="auto"/>
        <w:ind w:left="565"/>
        <w:outlineLvl w:val="3"/>
      </w:pPr>
      <w:r>
        <w:rPr>
          <w:b/>
          <w:bCs/>
          <w:spacing w:val="-5"/>
        </w:rPr>
        <w:t>31.履约验收</w:t>
      </w:r>
    </w:p>
    <w:p w14:paraId="59A8A2E8">
      <w:pPr>
        <w:pStyle w:val="7"/>
        <w:spacing w:before="68" w:line="219" w:lineRule="auto"/>
        <w:ind w:left="562"/>
      </w:pPr>
      <w:r>
        <w:rPr>
          <w:spacing w:val="-2"/>
        </w:rPr>
        <w:t>按采购人要求执行</w:t>
      </w:r>
    </w:p>
    <w:p w14:paraId="01FECBC5">
      <w:pPr>
        <w:pStyle w:val="7"/>
        <w:spacing w:before="68" w:line="220" w:lineRule="auto"/>
        <w:ind w:left="565"/>
        <w:outlineLvl w:val="3"/>
      </w:pPr>
      <w:r>
        <w:rPr>
          <w:b/>
          <w:bCs/>
          <w:spacing w:val="-4"/>
        </w:rPr>
        <w:t>32.招标代理费</w:t>
      </w:r>
    </w:p>
    <w:p w14:paraId="49C4A783">
      <w:pPr>
        <w:spacing w:line="220" w:lineRule="auto"/>
        <w:sectPr>
          <w:pgSz w:w="11906" w:h="16839"/>
          <w:pgMar w:top="1431" w:right="981" w:bottom="0" w:left="1089" w:header="0" w:footer="1304" w:gutter="0"/>
          <w:pgNumType w:fmt="decimal"/>
          <w:cols w:space="720" w:num="1"/>
        </w:sectPr>
      </w:pPr>
    </w:p>
    <w:p w14:paraId="0D2F9C81">
      <w:pPr>
        <w:pStyle w:val="7"/>
        <w:spacing w:before="86" w:line="251" w:lineRule="auto"/>
        <w:ind w:left="4" w:right="14" w:firstLine="558"/>
      </w:pPr>
      <w:r>
        <w:rPr>
          <w:spacing w:val="7"/>
        </w:rPr>
        <w:t>本项目是否由中标供应商向采购代理机构支付招标</w:t>
      </w:r>
      <w:r>
        <w:rPr>
          <w:spacing w:val="6"/>
        </w:rPr>
        <w:t>代理费及招标代理费标</w:t>
      </w:r>
      <w:r>
        <w:t xml:space="preserve"> </w:t>
      </w:r>
      <w:r>
        <w:rPr>
          <w:spacing w:val="-1"/>
        </w:rPr>
        <w:t>准，按照</w:t>
      </w:r>
      <w:r>
        <w:rPr>
          <w:rFonts w:hint="eastAsia"/>
          <w:spacing w:val="-1"/>
          <w:lang w:eastAsia="zh-CN"/>
        </w:rPr>
        <w:t>投标人须知前附表</w:t>
      </w:r>
      <w:r>
        <w:rPr>
          <w:spacing w:val="-1"/>
        </w:rPr>
        <w:t>规定执行。</w:t>
      </w:r>
    </w:p>
    <w:p w14:paraId="74C6F84A">
      <w:pPr>
        <w:pStyle w:val="7"/>
        <w:spacing w:before="42" w:line="219" w:lineRule="auto"/>
        <w:ind w:left="567"/>
        <w:outlineLvl w:val="3"/>
      </w:pPr>
      <w:r>
        <w:rPr>
          <w:b/>
          <w:bCs/>
          <w:spacing w:val="-3"/>
        </w:rPr>
        <w:t>33.政府采购合同线上信用融资</w:t>
      </w:r>
    </w:p>
    <w:p w14:paraId="7B164A4C">
      <w:pPr>
        <w:pStyle w:val="7"/>
        <w:spacing w:before="64" w:line="251" w:lineRule="auto"/>
        <w:ind w:left="3" w:firstLine="584"/>
      </w:pPr>
      <w:r>
        <w:rPr>
          <w:spacing w:val="-3"/>
        </w:rPr>
        <w:t>中标的投标人为中小微企业的，可以在取得中标通知书后，通过“政府采购</w:t>
      </w:r>
      <w:r>
        <w:rPr>
          <w:spacing w:val="8"/>
        </w:rPr>
        <w:t xml:space="preserve"> </w:t>
      </w:r>
      <w:r>
        <w:rPr>
          <w:spacing w:val="-3"/>
        </w:rPr>
        <w:t>合同线上信用融资系统</w:t>
      </w:r>
      <w:r>
        <w:rPr>
          <w:spacing w:val="-88"/>
        </w:rPr>
        <w:t xml:space="preserve"> </w:t>
      </w:r>
      <w:r>
        <w:rPr>
          <w:spacing w:val="-3"/>
        </w:rPr>
        <w:t>”，向相关金融机构、担保机构申请政府采购融资服务。</w:t>
      </w:r>
    </w:p>
    <w:p w14:paraId="1C795AA4">
      <w:pPr>
        <w:pStyle w:val="7"/>
        <w:spacing w:before="41" w:line="221" w:lineRule="auto"/>
        <w:ind w:left="4039"/>
        <w:outlineLvl w:val="2"/>
      </w:pPr>
      <w:r>
        <w:rPr>
          <w:b/>
          <w:bCs/>
          <w:spacing w:val="-5"/>
        </w:rPr>
        <w:t>（八）质疑和投诉</w:t>
      </w:r>
    </w:p>
    <w:p w14:paraId="2F892A1C">
      <w:pPr>
        <w:pStyle w:val="7"/>
        <w:spacing w:before="63" w:line="221" w:lineRule="auto"/>
        <w:ind w:left="567"/>
        <w:outlineLvl w:val="3"/>
      </w:pPr>
      <w:r>
        <w:rPr>
          <w:b/>
          <w:bCs/>
          <w:spacing w:val="-5"/>
        </w:rPr>
        <w:t>34.质疑</w:t>
      </w:r>
    </w:p>
    <w:p w14:paraId="2326C3DF">
      <w:pPr>
        <w:pStyle w:val="7"/>
        <w:spacing w:before="63" w:line="253" w:lineRule="auto"/>
        <w:ind w:left="1" w:firstLine="565"/>
      </w:pPr>
      <w:r>
        <w:rPr>
          <w:spacing w:val="6"/>
        </w:rPr>
        <w:t>34.1 投标人认为采购文件、采购过程和中标结果使自己的权益受到损害</w:t>
      </w:r>
      <w:r>
        <w:rPr>
          <w:spacing w:val="2"/>
        </w:rPr>
        <w:t xml:space="preserve"> </w:t>
      </w:r>
      <w:r>
        <w:rPr>
          <w:spacing w:val="-2"/>
        </w:rPr>
        <w:t>的，可以根据《中华人民共和国政府采购法》、《中华人民共和国政府采购法实</w:t>
      </w:r>
      <w:r>
        <w:rPr>
          <w:spacing w:val="5"/>
        </w:rPr>
        <w:t xml:space="preserve"> </w:t>
      </w:r>
      <w:r>
        <w:rPr>
          <w:spacing w:val="-2"/>
        </w:rPr>
        <w:t>施条例》和《政府采购质疑和投诉办法》的有关规定，在知道或者应知其权益受</w:t>
      </w:r>
      <w:r>
        <w:rPr>
          <w:spacing w:val="8"/>
        </w:rPr>
        <w:t xml:space="preserve"> </w:t>
      </w:r>
      <w:r>
        <w:rPr>
          <w:spacing w:val="-2"/>
        </w:rPr>
        <w:t>到损害之日起</w:t>
      </w:r>
      <w:r>
        <w:rPr>
          <w:spacing w:val="-52"/>
        </w:rPr>
        <w:t xml:space="preserve"> </w:t>
      </w:r>
      <w:r>
        <w:rPr>
          <w:spacing w:val="-2"/>
        </w:rPr>
        <w:t>7</w:t>
      </w:r>
      <w:r>
        <w:rPr>
          <w:spacing w:val="-59"/>
        </w:rPr>
        <w:t xml:space="preserve"> </w:t>
      </w:r>
      <w:r>
        <w:rPr>
          <w:spacing w:val="-2"/>
        </w:rPr>
        <w:t>个工作日内，依法向采购人或其委托的采</w:t>
      </w:r>
      <w:r>
        <w:rPr>
          <w:spacing w:val="-3"/>
        </w:rPr>
        <w:t>购代理机构提出质疑。</w:t>
      </w:r>
    </w:p>
    <w:p w14:paraId="04842510">
      <w:pPr>
        <w:pStyle w:val="7"/>
        <w:spacing w:before="68" w:line="241" w:lineRule="auto"/>
        <w:ind w:left="4" w:right="13" w:firstLine="562"/>
      </w:pPr>
      <w:r>
        <w:rPr>
          <w:spacing w:val="-2"/>
        </w:rPr>
        <w:t>34.2  提出质疑的供应商应当是参加所本项目采购活动的供应商。依法获取</w:t>
      </w:r>
      <w:r>
        <w:rPr>
          <w:spacing w:val="1"/>
        </w:rPr>
        <w:t xml:space="preserve"> </w:t>
      </w:r>
      <w:r>
        <w:rPr>
          <w:spacing w:val="-1"/>
        </w:rPr>
        <w:t>可质疑采购文件的潜在供应商也可以依法提出质疑。</w:t>
      </w:r>
    </w:p>
    <w:p w14:paraId="241783EE">
      <w:pPr>
        <w:pStyle w:val="7"/>
        <w:spacing w:before="68" w:line="249" w:lineRule="auto"/>
        <w:ind w:left="3" w:right="11" w:firstLine="563"/>
      </w:pPr>
      <w:r>
        <w:rPr>
          <w:spacing w:val="6"/>
        </w:rPr>
        <w:t>34.3  质疑供应商应在法定质疑期内按照政府采购法等法律法规规定提出</w:t>
      </w:r>
      <w:r>
        <w:rPr>
          <w:spacing w:val="2"/>
        </w:rPr>
        <w:t xml:space="preserve"> </w:t>
      </w:r>
      <w:r>
        <w:rPr>
          <w:spacing w:val="-2"/>
        </w:rPr>
        <w:t>质疑</w:t>
      </w:r>
      <w:r>
        <w:rPr>
          <w:spacing w:val="6"/>
        </w:rPr>
        <w:t>。</w:t>
      </w:r>
      <w:r>
        <w:rPr>
          <w:rFonts w:hint="eastAsia"/>
          <w:spacing w:val="6"/>
        </w:rPr>
        <w:t>供应商应当在法定质疑期内一次性提出针对统一采购程序环节的质疑。</w:t>
      </w:r>
      <w:r>
        <w:rPr>
          <w:spacing w:val="6"/>
        </w:rPr>
        <w:t>超出法定质疑期提交的质疑将被拒绝。</w:t>
      </w:r>
    </w:p>
    <w:p w14:paraId="196DCAD4">
      <w:pPr>
        <w:pStyle w:val="7"/>
        <w:spacing w:before="68" w:line="249" w:lineRule="auto"/>
        <w:ind w:left="5" w:right="14" w:firstLine="561"/>
      </w:pPr>
      <w:r>
        <w:rPr>
          <w:spacing w:val="-2"/>
        </w:rPr>
        <w:t>34.4  采购人、采购代理机构不得拒收质疑供应商在法定质疑期内发出的质</w:t>
      </w:r>
      <w:r>
        <w:rPr>
          <w:spacing w:val="1"/>
        </w:rPr>
        <w:t xml:space="preserve"> </w:t>
      </w:r>
      <w:r>
        <w:rPr>
          <w:spacing w:val="-3"/>
        </w:rPr>
        <w:t>疑函，应当在收到质疑函</w:t>
      </w:r>
      <w:r>
        <w:rPr>
          <w:spacing w:val="-46"/>
        </w:rPr>
        <w:t xml:space="preserve"> </w:t>
      </w:r>
      <w:r>
        <w:rPr>
          <w:spacing w:val="-3"/>
        </w:rPr>
        <w:t>7</w:t>
      </w:r>
      <w:r>
        <w:rPr>
          <w:spacing w:val="-58"/>
        </w:rPr>
        <w:t xml:space="preserve"> </w:t>
      </w:r>
      <w:r>
        <w:rPr>
          <w:spacing w:val="-3"/>
        </w:rPr>
        <w:t>个工作日内作出答复，并通知质疑供应商和相关供应</w:t>
      </w:r>
      <w:r>
        <w:t xml:space="preserve"> </w:t>
      </w:r>
      <w:r>
        <w:rPr>
          <w:spacing w:val="-7"/>
        </w:rPr>
        <w:t>商。</w:t>
      </w:r>
    </w:p>
    <w:p w14:paraId="7534896B">
      <w:pPr>
        <w:pStyle w:val="7"/>
        <w:spacing w:before="65" w:line="221" w:lineRule="auto"/>
        <w:ind w:left="567"/>
        <w:outlineLvl w:val="3"/>
      </w:pPr>
      <w:r>
        <w:rPr>
          <w:b/>
          <w:bCs/>
          <w:spacing w:val="-5"/>
        </w:rPr>
        <w:t>35.投诉</w:t>
      </w:r>
    </w:p>
    <w:p w14:paraId="19002CB3">
      <w:pPr>
        <w:pStyle w:val="7"/>
        <w:spacing w:before="66" w:line="249" w:lineRule="auto"/>
        <w:ind w:right="13" w:firstLine="567"/>
      </w:pPr>
      <w:r>
        <w:rPr>
          <w:spacing w:val="-2"/>
        </w:rPr>
        <w:t>35.1  质疑供应商对采购人、采购代理机构的答复不满意，或者采购人、采</w:t>
      </w:r>
      <w:r>
        <w:rPr>
          <w:spacing w:val="1"/>
        </w:rPr>
        <w:t xml:space="preserve"> 购代理机构未在规定时间内作出答复的，可以在答复期满后</w:t>
      </w:r>
      <w:r>
        <w:rPr>
          <w:spacing w:val="-38"/>
        </w:rPr>
        <w:t xml:space="preserve"> </w:t>
      </w:r>
      <w:r>
        <w:rPr>
          <w:spacing w:val="1"/>
        </w:rPr>
        <w:t>15</w:t>
      </w:r>
      <w:r>
        <w:rPr>
          <w:spacing w:val="-59"/>
        </w:rPr>
        <w:t xml:space="preserve"> </w:t>
      </w:r>
      <w:r>
        <w:rPr>
          <w:spacing w:val="1"/>
        </w:rPr>
        <w:t>个工作日内</w:t>
      </w:r>
      <w:r>
        <w:t xml:space="preserve">向同 </w:t>
      </w:r>
      <w:r>
        <w:rPr>
          <w:spacing w:val="-1"/>
        </w:rPr>
        <w:t>级财政部门提起投诉。</w:t>
      </w:r>
    </w:p>
    <w:p w14:paraId="25E4EE2D">
      <w:pPr>
        <w:pStyle w:val="7"/>
        <w:spacing w:before="67" w:line="242" w:lineRule="auto"/>
        <w:ind w:left="5" w:right="11" w:firstLine="561"/>
      </w:pPr>
      <w:r>
        <w:rPr>
          <w:spacing w:val="6"/>
        </w:rPr>
        <w:t>35.2  投诉供应商应在法定投诉期内按照政府采购法等法律法规规定提出</w:t>
      </w:r>
      <w:r>
        <w:rPr>
          <w:spacing w:val="2"/>
        </w:rPr>
        <w:t xml:space="preserve"> </w:t>
      </w:r>
      <w:r>
        <w:rPr>
          <w:spacing w:val="-5"/>
        </w:rPr>
        <w:t>投诉。</w:t>
      </w:r>
    </w:p>
    <w:p w14:paraId="799C7E5E">
      <w:pPr>
        <w:spacing w:line="242" w:lineRule="auto"/>
        <w:sectPr>
          <w:pgSz w:w="11906" w:h="16839"/>
          <w:pgMar w:top="1431" w:right="1065" w:bottom="0" w:left="1088" w:header="0" w:footer="1304" w:gutter="0"/>
          <w:pgNumType w:fmt="decimal"/>
          <w:cols w:space="720" w:num="1"/>
        </w:sectPr>
      </w:pPr>
    </w:p>
    <w:p w14:paraId="653A2475">
      <w:pPr>
        <w:pStyle w:val="7"/>
        <w:keepNext w:val="0"/>
        <w:keepLines w:val="0"/>
        <w:pageBreakBefore w:val="0"/>
        <w:widowControl/>
        <w:kinsoku w:val="0"/>
        <w:wordWrap w:val="0"/>
        <w:overflowPunct w:val="0"/>
        <w:topLinePunct w:val="0"/>
        <w:autoSpaceDE/>
        <w:autoSpaceDN w:val="0"/>
        <w:bidi w:val="0"/>
        <w:adjustRightInd w:val="0"/>
        <w:snapToGrid w:val="0"/>
        <w:spacing w:before="67" w:line="250" w:lineRule="auto"/>
        <w:ind w:left="6" w:right="96" w:firstLine="561"/>
        <w:jc w:val="center"/>
        <w:textAlignment w:val="baseline"/>
        <w:rPr>
          <w:rFonts w:hint="eastAsia"/>
          <w:b/>
          <w:bCs/>
          <w:spacing w:val="-3"/>
          <w:highlight w:val="none"/>
          <w:lang w:eastAsia="zh-CN"/>
        </w:rPr>
      </w:pPr>
      <w:r>
        <w:rPr>
          <w:b/>
          <w:bCs/>
          <w:spacing w:val="-3"/>
          <w:highlight w:val="none"/>
        </w:rPr>
        <w:t>第四章</w:t>
      </w:r>
      <w:r>
        <w:rPr>
          <w:spacing w:val="-3"/>
          <w:highlight w:val="none"/>
        </w:rPr>
        <w:t xml:space="preserve"> </w:t>
      </w:r>
      <w:r>
        <w:rPr>
          <w:rFonts w:hint="eastAsia"/>
          <w:b/>
          <w:bCs/>
          <w:spacing w:val="-3"/>
          <w:highlight w:val="none"/>
          <w:lang w:eastAsia="zh-CN"/>
        </w:rPr>
        <w:t>采购项目需求</w:t>
      </w:r>
    </w:p>
    <w:p w14:paraId="3D8F8EA0">
      <w:pPr>
        <w:pStyle w:val="7"/>
        <w:spacing w:before="68" w:line="249" w:lineRule="auto"/>
        <w:ind w:right="11"/>
        <w:rPr>
          <w:rFonts w:hint="eastAsia" w:ascii="宋体" w:hAnsi="宋体" w:eastAsia="宋体" w:cs="宋体"/>
          <w:spacing w:val="6"/>
          <w:lang w:eastAsia="zh-CN"/>
        </w:rPr>
      </w:pPr>
    </w:p>
    <w:p w14:paraId="3B98485F">
      <w:pPr>
        <w:pStyle w:val="7"/>
        <w:spacing w:before="68" w:line="249" w:lineRule="auto"/>
        <w:ind w:left="3" w:right="11" w:firstLine="563"/>
        <w:rPr>
          <w:rFonts w:hint="eastAsia" w:ascii="宋体" w:hAnsi="宋体" w:eastAsia="宋体" w:cs="宋体"/>
          <w:spacing w:val="6"/>
        </w:rPr>
      </w:pPr>
      <w:r>
        <w:rPr>
          <w:rFonts w:hint="eastAsia" w:ascii="宋体" w:hAnsi="宋体" w:eastAsia="宋体" w:cs="宋体"/>
          <w:spacing w:val="6"/>
        </w:rPr>
        <w:t>一、项目概述</w:t>
      </w:r>
    </w:p>
    <w:p w14:paraId="73C77995">
      <w:pPr>
        <w:pStyle w:val="7"/>
        <w:spacing w:before="68" w:line="249" w:lineRule="auto"/>
        <w:ind w:left="3" w:right="11" w:firstLine="563"/>
        <w:rPr>
          <w:rFonts w:hint="eastAsia" w:ascii="宋体" w:hAnsi="宋体" w:eastAsia="宋体" w:cs="宋体"/>
          <w:spacing w:val="6"/>
          <w:lang w:val="en-US"/>
        </w:rPr>
      </w:pPr>
      <w:r>
        <w:rPr>
          <w:rFonts w:hint="eastAsia" w:ascii="宋体" w:hAnsi="宋体" w:eastAsia="宋体" w:cs="宋体"/>
          <w:spacing w:val="6"/>
          <w:lang w:eastAsia="zh-CN"/>
        </w:rPr>
        <w:t>吐鲁番市2025年固定资产投资项目节能审查及综合服务项目</w:t>
      </w:r>
      <w:r>
        <w:rPr>
          <w:rFonts w:hint="eastAsia" w:ascii="宋体" w:hAnsi="宋体" w:eastAsia="宋体" w:cs="宋体"/>
          <w:spacing w:val="6"/>
        </w:rPr>
        <w:t>是委托咨询服务机构为我市</w:t>
      </w:r>
      <w:r>
        <w:rPr>
          <w:rFonts w:hint="eastAsia" w:ascii="宋体" w:hAnsi="宋体" w:eastAsia="宋体" w:cs="宋体"/>
          <w:spacing w:val="6"/>
          <w:lang w:val="en-US" w:eastAsia="zh-CN"/>
        </w:rPr>
        <w:t>固定资产投资项目节能审查、全社会节能监察及验收、节能培训、节能宣传、“两高”项目论证等</w:t>
      </w:r>
      <w:r>
        <w:rPr>
          <w:rFonts w:hint="eastAsia" w:ascii="宋体" w:hAnsi="宋体" w:eastAsia="宋体" w:cs="宋体"/>
          <w:spacing w:val="6"/>
        </w:rPr>
        <w:t>工作提供技术支撑、咨询服务，咨询机构需选派一名工作人员实地开展服务工作，服务期限一年，推动</w:t>
      </w:r>
      <w:r>
        <w:rPr>
          <w:rFonts w:hint="eastAsia" w:ascii="宋体" w:hAnsi="宋体" w:eastAsia="宋体" w:cs="宋体"/>
          <w:spacing w:val="6"/>
          <w:lang w:eastAsia="zh-CN"/>
        </w:rPr>
        <w:t>我市节能降碳工作取得实效</w:t>
      </w:r>
      <w:r>
        <w:rPr>
          <w:rFonts w:hint="eastAsia" w:ascii="宋体" w:hAnsi="宋体" w:eastAsia="宋体" w:cs="宋体"/>
          <w:spacing w:val="6"/>
        </w:rPr>
        <w:t>。</w:t>
      </w:r>
    </w:p>
    <w:p w14:paraId="711461F1">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val="en-US" w:eastAsia="zh-CN"/>
        </w:rPr>
        <w:t>二、采购预算、报价要求</w:t>
      </w:r>
    </w:p>
    <w:p w14:paraId="672C71B1">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val="en-US" w:eastAsia="zh-CN"/>
        </w:rPr>
        <w:t>本项目</w:t>
      </w:r>
      <w:r>
        <w:rPr>
          <w:rFonts w:hint="eastAsia" w:ascii="宋体" w:hAnsi="宋体" w:eastAsia="宋体" w:cs="宋体"/>
          <w:spacing w:val="6"/>
        </w:rPr>
        <w:t>预算总金额为</w:t>
      </w:r>
      <w:r>
        <w:rPr>
          <w:rFonts w:hint="eastAsia" w:ascii="宋体" w:hAnsi="宋体" w:eastAsia="宋体" w:cs="宋体"/>
          <w:spacing w:val="6"/>
          <w:lang w:val="en-US" w:eastAsia="zh-CN"/>
        </w:rPr>
        <w:t>94.98</w:t>
      </w:r>
      <w:r>
        <w:rPr>
          <w:rFonts w:hint="eastAsia" w:ascii="宋体" w:hAnsi="宋体" w:eastAsia="宋体" w:cs="宋体"/>
          <w:spacing w:val="6"/>
        </w:rPr>
        <w:t>万元。报价要求包括</w:t>
      </w:r>
      <w:r>
        <w:rPr>
          <w:rFonts w:hint="eastAsia" w:ascii="宋体" w:hAnsi="宋体" w:eastAsia="宋体" w:cs="宋体"/>
          <w:spacing w:val="6"/>
          <w:lang w:val="en-US" w:eastAsia="zh-CN"/>
        </w:rPr>
        <w:t>固定资产投资项目节能审查、全社会节能监察及验收、节能培训、节能宣传、“两高”项目论证咨询服务费用及选派工作人员各类支出。</w:t>
      </w:r>
    </w:p>
    <w:p w14:paraId="71F58C02">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rPr>
        <w:t>本项目采用总价包干方式，供应商报总价，报价包含成交供应商为完成</w:t>
      </w:r>
      <w:r>
        <w:rPr>
          <w:rFonts w:hint="eastAsia" w:ascii="宋体" w:hAnsi="宋体" w:eastAsia="宋体" w:cs="宋体"/>
          <w:spacing w:val="6"/>
          <w:lang w:val="en-US" w:eastAsia="zh-CN"/>
        </w:rPr>
        <w:t>本项目</w:t>
      </w:r>
      <w:r>
        <w:rPr>
          <w:rFonts w:hint="eastAsia" w:ascii="宋体" w:hAnsi="宋体" w:eastAsia="宋体" w:cs="宋体"/>
          <w:spacing w:val="6"/>
        </w:rPr>
        <w:t>服务所发生的一切相关费用，采购人不再追加任何费用。</w:t>
      </w:r>
    </w:p>
    <w:p w14:paraId="0127B21C">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val="en-US" w:eastAsia="zh-CN"/>
        </w:rPr>
        <w:t>三、项目要求</w:t>
      </w:r>
    </w:p>
    <w:p w14:paraId="6291E299">
      <w:pPr>
        <w:pStyle w:val="7"/>
        <w:spacing w:before="68" w:line="249" w:lineRule="auto"/>
        <w:ind w:left="3" w:right="11" w:firstLine="563"/>
        <w:rPr>
          <w:rFonts w:hint="eastAsia" w:ascii="宋体" w:hAnsi="宋体" w:eastAsia="宋体" w:cs="宋体"/>
          <w:spacing w:val="6"/>
        </w:rPr>
      </w:pPr>
      <w:r>
        <w:rPr>
          <w:rFonts w:hint="eastAsia" w:ascii="宋体" w:hAnsi="宋体" w:eastAsia="宋体" w:cs="宋体"/>
          <w:spacing w:val="6"/>
          <w:lang w:eastAsia="zh-CN"/>
        </w:rPr>
        <w:t>（一）需在</w:t>
      </w:r>
      <w:r>
        <w:rPr>
          <w:rFonts w:hint="eastAsia" w:ascii="宋体" w:hAnsi="宋体" w:eastAsia="宋体" w:cs="宋体"/>
          <w:spacing w:val="6"/>
          <w:lang w:val="en-US" w:eastAsia="zh-CN"/>
        </w:rPr>
        <w:t>2025年8月15日完成</w:t>
      </w:r>
      <w:r>
        <w:rPr>
          <w:rFonts w:hint="eastAsia" w:ascii="宋体" w:hAnsi="宋体" w:eastAsia="宋体" w:cs="宋体"/>
          <w:spacing w:val="6"/>
          <w:lang w:eastAsia="zh-CN"/>
        </w:rPr>
        <w:t>全国生态日宣传工作</w:t>
      </w:r>
      <w:r>
        <w:rPr>
          <w:rFonts w:hint="eastAsia" w:ascii="宋体" w:hAnsi="宋体" w:eastAsia="宋体" w:cs="宋体"/>
          <w:spacing w:val="6"/>
          <w:lang w:val="en-US" w:eastAsia="zh-CN"/>
        </w:rPr>
        <w:t>及服务</w:t>
      </w:r>
      <w:r>
        <w:rPr>
          <w:rFonts w:hint="eastAsia" w:cs="宋体"/>
          <w:spacing w:val="6"/>
          <w:lang w:val="en-US" w:eastAsia="zh-CN"/>
        </w:rPr>
        <w:t>期</w:t>
      </w:r>
      <w:r>
        <w:rPr>
          <w:rFonts w:hint="eastAsia" w:ascii="宋体" w:hAnsi="宋体" w:eastAsia="宋体" w:cs="宋体"/>
          <w:spacing w:val="6"/>
          <w:lang w:val="en-US" w:eastAsia="zh-CN"/>
        </w:rPr>
        <w:t>内节能宣传周宣传工作</w:t>
      </w:r>
      <w:r>
        <w:rPr>
          <w:rFonts w:hint="eastAsia" w:ascii="宋体" w:hAnsi="宋体" w:eastAsia="宋体" w:cs="宋体"/>
          <w:spacing w:val="6"/>
          <w:lang w:eastAsia="zh-CN"/>
        </w:rPr>
        <w:t>，提前做好各项宣传准备工作</w:t>
      </w:r>
      <w:r>
        <w:rPr>
          <w:rFonts w:hint="eastAsia" w:ascii="宋体" w:hAnsi="宋体" w:eastAsia="宋体" w:cs="宋体"/>
          <w:spacing w:val="6"/>
        </w:rPr>
        <w:t>。</w:t>
      </w:r>
    </w:p>
    <w:p w14:paraId="762DD604">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val="en-US" w:eastAsia="zh-CN"/>
        </w:rPr>
        <w:t>（二）对提交固定</w:t>
      </w:r>
      <w:r>
        <w:rPr>
          <w:rFonts w:hint="eastAsia" w:ascii="宋体" w:hAnsi="宋体" w:eastAsia="宋体" w:cs="宋体"/>
          <w:spacing w:val="6"/>
          <w:lang w:eastAsia="zh-CN"/>
        </w:rPr>
        <w:t>资产投资项目节能评估报告务必在一周内反馈修改意见，召开项目评审会统一反馈修改意见后，除未要求修改意见外，不可再多次反馈修改意见，原则上修改完毕后一周内出具审查意见；</w:t>
      </w:r>
    </w:p>
    <w:p w14:paraId="460D336D">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（三）根据市发改委提供“两高”项目报告，原则上一周内出具审查意见；</w:t>
      </w:r>
    </w:p>
    <w:p w14:paraId="334A448B">
      <w:pPr>
        <w:pStyle w:val="7"/>
        <w:spacing w:before="68" w:line="249" w:lineRule="auto"/>
        <w:ind w:left="3" w:right="11" w:firstLine="563"/>
        <w:rPr>
          <w:rFonts w:hint="default" w:ascii="宋体" w:hAnsi="宋体" w:eastAsia="宋体" w:cs="宋体"/>
          <w:spacing w:val="6"/>
          <w:lang w:val="en-US" w:eastAsia="zh-CN"/>
        </w:rPr>
      </w:pPr>
      <w:r>
        <w:rPr>
          <w:rFonts w:hint="eastAsia" w:ascii="宋体" w:hAnsi="宋体" w:eastAsia="宋体" w:cs="宋体"/>
          <w:spacing w:val="6"/>
          <w:lang w:eastAsia="zh-CN"/>
        </w:rPr>
        <w:t>（四）供应商需结合我市重点企业实际，选派不少于</w:t>
      </w:r>
      <w:r>
        <w:rPr>
          <w:rFonts w:hint="eastAsia" w:ascii="宋体" w:hAnsi="宋体" w:eastAsia="宋体" w:cs="宋体"/>
          <w:spacing w:val="6"/>
          <w:lang w:val="en-US" w:eastAsia="zh-CN"/>
        </w:rPr>
        <w:t>3个以上专家开展全社会节能监察、节能验收，且此项实地监察工作务必于10月中旬前完成，监察报告务必于11月底前提交，服务期内节能验收工作根据市发改委工作需要适时开展；</w:t>
      </w:r>
    </w:p>
    <w:p w14:paraId="064DB359">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eastAsia="zh-CN"/>
        </w:rPr>
        <w:t>（五）</w:t>
      </w:r>
      <w:r>
        <w:rPr>
          <w:rFonts w:hint="eastAsia" w:ascii="宋体" w:hAnsi="宋体" w:eastAsia="宋体" w:cs="宋体"/>
          <w:spacing w:val="6"/>
        </w:rPr>
        <w:t>供应商</w:t>
      </w:r>
      <w:r>
        <w:rPr>
          <w:rFonts w:hint="eastAsia" w:ascii="宋体" w:hAnsi="宋体" w:eastAsia="宋体" w:cs="宋体"/>
          <w:spacing w:val="6"/>
          <w:lang w:val="en-US" w:eastAsia="zh-CN"/>
        </w:rPr>
        <w:t>单位负责</w:t>
      </w:r>
      <w:r>
        <w:rPr>
          <w:rFonts w:hint="eastAsia" w:ascii="宋体" w:hAnsi="宋体" w:eastAsia="宋体" w:cs="宋体"/>
          <w:spacing w:val="6"/>
        </w:rPr>
        <w:t>制定培训方案、培训计划、培训</w:t>
      </w:r>
      <w:r>
        <w:rPr>
          <w:rFonts w:hint="eastAsia" w:ascii="宋体" w:hAnsi="宋体" w:eastAsia="宋体" w:cs="宋体"/>
          <w:spacing w:val="6"/>
          <w:lang w:eastAsia="zh-CN"/>
        </w:rPr>
        <w:t>专家选取</w:t>
      </w:r>
      <w:r>
        <w:rPr>
          <w:rFonts w:hint="eastAsia" w:ascii="宋体" w:hAnsi="宋体" w:eastAsia="宋体" w:cs="宋体"/>
          <w:spacing w:val="6"/>
        </w:rPr>
        <w:t>、做好培训记录等基础台账</w:t>
      </w:r>
      <w:r>
        <w:rPr>
          <w:rFonts w:hint="eastAsia" w:ascii="宋体" w:hAnsi="宋体" w:eastAsia="宋体" w:cs="宋体"/>
          <w:spacing w:val="6"/>
          <w:lang w:eastAsia="zh-CN"/>
        </w:rPr>
        <w:t>，</w:t>
      </w:r>
      <w:r>
        <w:rPr>
          <w:rFonts w:hint="eastAsia" w:ascii="宋体" w:hAnsi="宋体" w:eastAsia="宋体" w:cs="宋体"/>
          <w:spacing w:val="6"/>
        </w:rPr>
        <w:t>以及学员满意度调查、工作总结等一整套规范性档案材料。课程授课的师资，须选聘具有</w:t>
      </w:r>
      <w:r>
        <w:rPr>
          <w:rFonts w:hint="eastAsia" w:ascii="宋体" w:hAnsi="宋体" w:eastAsia="宋体" w:cs="宋体"/>
          <w:spacing w:val="6"/>
          <w:lang w:val="en-US" w:eastAsia="zh-CN"/>
        </w:rPr>
        <w:t>副处级以上或</w:t>
      </w:r>
      <w:r>
        <w:rPr>
          <w:rFonts w:hint="eastAsia" w:ascii="宋体" w:hAnsi="宋体" w:eastAsia="宋体" w:cs="宋体"/>
          <w:spacing w:val="6"/>
        </w:rPr>
        <w:t>副高级职称（或以上）人员担任，每个授课老师承担不超过</w:t>
      </w:r>
      <w:r>
        <w:rPr>
          <w:rFonts w:hint="eastAsia" w:ascii="宋体" w:hAnsi="宋体" w:eastAsia="宋体" w:cs="宋体"/>
          <w:spacing w:val="6"/>
          <w:lang w:val="en-US" w:eastAsia="zh-CN"/>
        </w:rPr>
        <w:t>2</w:t>
      </w:r>
      <w:r>
        <w:rPr>
          <w:rFonts w:hint="eastAsia" w:ascii="宋体" w:hAnsi="宋体" w:eastAsia="宋体" w:cs="宋体"/>
          <w:spacing w:val="6"/>
        </w:rPr>
        <w:t>个学时的授课任务。</w:t>
      </w:r>
    </w:p>
    <w:p w14:paraId="3C92B323">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val="en-US" w:eastAsia="zh-CN"/>
        </w:rPr>
        <w:t>（六）</w:t>
      </w:r>
      <w:r>
        <w:rPr>
          <w:rFonts w:hint="eastAsia" w:ascii="宋体" w:hAnsi="宋体" w:eastAsia="宋体" w:cs="宋体"/>
          <w:spacing w:val="6"/>
        </w:rPr>
        <w:t>供应商</w:t>
      </w:r>
      <w:r>
        <w:rPr>
          <w:rFonts w:hint="eastAsia" w:ascii="宋体" w:hAnsi="宋体" w:eastAsia="宋体" w:cs="宋体"/>
          <w:spacing w:val="6"/>
          <w:lang w:val="en-US" w:eastAsia="zh-CN"/>
        </w:rPr>
        <w:t>单位</w:t>
      </w:r>
      <w:r>
        <w:rPr>
          <w:rFonts w:hint="eastAsia" w:ascii="宋体" w:hAnsi="宋体" w:eastAsia="宋体" w:cs="宋体"/>
          <w:spacing w:val="6"/>
        </w:rPr>
        <w:t>应当成立专门的项目管理团队，指定项目管理人负责</w:t>
      </w:r>
      <w:r>
        <w:rPr>
          <w:rFonts w:hint="eastAsia" w:ascii="宋体" w:hAnsi="宋体" w:eastAsia="宋体" w:cs="宋体"/>
          <w:spacing w:val="6"/>
          <w:lang w:val="en-US" w:eastAsia="zh-CN"/>
        </w:rPr>
        <w:t>培训</w:t>
      </w:r>
      <w:r>
        <w:rPr>
          <w:rFonts w:hint="eastAsia" w:ascii="宋体" w:hAnsi="宋体" w:eastAsia="宋体" w:cs="宋体"/>
          <w:spacing w:val="6"/>
        </w:rPr>
        <w:t>管理工作</w:t>
      </w:r>
      <w:r>
        <w:rPr>
          <w:rFonts w:hint="eastAsia" w:ascii="宋体" w:hAnsi="宋体" w:eastAsia="宋体" w:cs="宋体"/>
          <w:spacing w:val="6"/>
          <w:lang w:eastAsia="zh-CN"/>
        </w:rPr>
        <w:t>，</w:t>
      </w:r>
      <w:r>
        <w:rPr>
          <w:rFonts w:hint="eastAsia" w:ascii="宋体" w:hAnsi="宋体" w:eastAsia="宋体" w:cs="宋体"/>
          <w:spacing w:val="6"/>
          <w:lang w:val="en-US" w:eastAsia="zh-CN"/>
        </w:rPr>
        <w:t>安排专人全程跟踪负责本项目，</w:t>
      </w:r>
      <w:r>
        <w:rPr>
          <w:rFonts w:hint="eastAsia" w:ascii="宋体" w:hAnsi="宋体" w:eastAsia="宋体" w:cs="宋体"/>
          <w:spacing w:val="6"/>
        </w:rPr>
        <w:t>工作人员应为供应商单位正式在职人员。</w:t>
      </w:r>
    </w:p>
    <w:p w14:paraId="00C1AF67">
      <w:pPr>
        <w:pStyle w:val="7"/>
        <w:spacing w:before="68" w:line="249" w:lineRule="auto"/>
        <w:ind w:left="3" w:right="11" w:firstLine="563"/>
        <w:rPr>
          <w:rFonts w:hint="eastAsia" w:ascii="宋体" w:hAnsi="宋体" w:eastAsia="宋体" w:cs="宋体"/>
          <w:spacing w:val="6"/>
        </w:rPr>
      </w:pPr>
      <w:r>
        <w:rPr>
          <w:rFonts w:hint="eastAsia" w:ascii="宋体" w:hAnsi="宋体" w:eastAsia="宋体" w:cs="宋体"/>
          <w:spacing w:val="6"/>
          <w:lang w:val="en-US" w:eastAsia="zh-CN"/>
        </w:rPr>
        <w:t>四、</w:t>
      </w:r>
      <w:r>
        <w:rPr>
          <w:rFonts w:hint="eastAsia" w:ascii="宋体" w:hAnsi="宋体" w:eastAsia="宋体" w:cs="宋体"/>
          <w:spacing w:val="6"/>
        </w:rPr>
        <w:t>项目主要内容</w:t>
      </w:r>
    </w:p>
    <w:p w14:paraId="70585987">
      <w:pPr>
        <w:pStyle w:val="7"/>
        <w:spacing w:before="68" w:line="249" w:lineRule="auto"/>
        <w:ind w:left="3" w:right="11" w:firstLine="563"/>
        <w:rPr>
          <w:rFonts w:hint="default" w:ascii="宋体" w:hAnsi="宋体" w:eastAsia="宋体" w:cs="宋体"/>
          <w:spacing w:val="6"/>
          <w:lang w:val="en-US" w:eastAsia="zh-CN"/>
        </w:rPr>
      </w:pPr>
      <w:r>
        <w:rPr>
          <w:rFonts w:hint="eastAsia" w:ascii="宋体" w:hAnsi="宋体" w:eastAsia="宋体" w:cs="宋体"/>
          <w:spacing w:val="6"/>
          <w:lang w:eastAsia="zh-CN"/>
        </w:rPr>
        <w:t>（一）项目实施期限为</w:t>
      </w:r>
      <w:r>
        <w:rPr>
          <w:rFonts w:hint="eastAsia" w:ascii="宋体" w:hAnsi="宋体" w:eastAsia="宋体" w:cs="宋体"/>
          <w:spacing w:val="6"/>
          <w:lang w:val="en-US" w:eastAsia="zh-CN"/>
        </w:rPr>
        <w:t>1年，自项目中标之日起1整年，</w:t>
      </w:r>
      <w:r>
        <w:rPr>
          <w:rFonts w:hint="eastAsia" w:ascii="宋体" w:hAnsi="宋体" w:eastAsia="宋体" w:cs="宋体"/>
          <w:spacing w:val="6"/>
          <w:lang w:eastAsia="zh-CN"/>
        </w:rPr>
        <w:t>工作开展期间需安排一名</w:t>
      </w:r>
      <w:r>
        <w:rPr>
          <w:rFonts w:hint="eastAsia" w:ascii="宋体" w:hAnsi="宋体" w:eastAsia="宋体" w:cs="宋体"/>
          <w:spacing w:val="6"/>
          <w:lang w:val="en-US" w:eastAsia="zh-CN"/>
        </w:rPr>
        <w:t>人员实地负责；</w:t>
      </w:r>
    </w:p>
    <w:p w14:paraId="2908A3AF">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（二）负责组织开展服务期限内碳达峰碳中和（包含节能降碳）宣传服务工作，特别是全国节能宣传周、全国生态日等重要节点节能宣传工作。包括宣传资料制作印发、宣传品及展板制作、宣传现场布置等；</w:t>
      </w:r>
    </w:p>
    <w:p w14:paraId="4096F6BF">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（三）服务期内，对权限内我市固定资产投资项目节能评估报告提供咨询评审服务，召开权限内</w:t>
      </w:r>
      <w:r>
        <w:rPr>
          <w:rFonts w:hint="eastAsia" w:ascii="宋体" w:hAnsi="宋体" w:eastAsia="宋体" w:cs="宋体"/>
          <w:spacing w:val="6"/>
          <w:lang w:val="en-US" w:eastAsia="zh-CN"/>
        </w:rPr>
        <w:t>固定资产投资</w:t>
      </w:r>
      <w:r>
        <w:rPr>
          <w:rFonts w:hint="eastAsia" w:ascii="宋体" w:hAnsi="宋体" w:eastAsia="宋体" w:cs="宋体"/>
          <w:spacing w:val="6"/>
          <w:lang w:eastAsia="zh-CN"/>
        </w:rPr>
        <w:t>项目节能评估报告评审会，出具项目节能评估报告评审意见，对权限外我市固定资产投资项目节能报告提供咨询服务，出具初审意见；</w:t>
      </w:r>
    </w:p>
    <w:p w14:paraId="7BBF5E02">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（四）按照国家《有力有效管控高耗能高排放项目总体方案》等文件规定，负责市发改委权限内新建“两高”项目论证工作，出具项目“两高”论证审查意见；</w:t>
      </w:r>
    </w:p>
    <w:p w14:paraId="1550C1D3">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（五）配合市发改委开展全社会节能监察工作，分季度审核能源利用状况报告，</w:t>
      </w:r>
      <w:r>
        <w:rPr>
          <w:rFonts w:hint="eastAsia" w:ascii="宋体" w:hAnsi="宋体" w:eastAsia="宋体" w:cs="宋体"/>
          <w:spacing w:val="6"/>
        </w:rPr>
        <w:t>对重点领域、重点企业开展节能监察提供技术支持，</w:t>
      </w:r>
      <w:r>
        <w:rPr>
          <w:rFonts w:hint="eastAsia" w:ascii="宋体" w:hAnsi="宋体" w:eastAsia="宋体" w:cs="宋体"/>
          <w:spacing w:val="6"/>
          <w:lang w:eastAsia="zh-CN"/>
        </w:rPr>
        <w:t>形成“一企一册”节能监察报告（自治区预算内资金支持重点用能企业节能监察报告除外）；</w:t>
      </w:r>
    </w:p>
    <w:p w14:paraId="242BC5D3">
      <w:pPr>
        <w:pStyle w:val="7"/>
        <w:spacing w:before="68" w:line="249" w:lineRule="auto"/>
        <w:ind w:left="3" w:right="11" w:firstLine="563"/>
        <w:rPr>
          <w:rFonts w:hint="default" w:ascii="宋体" w:hAnsi="宋体" w:eastAsia="宋体" w:cs="宋体"/>
          <w:spacing w:val="6"/>
          <w:lang w:val="en-US" w:eastAsia="zh-CN"/>
        </w:rPr>
      </w:pPr>
      <w:r>
        <w:rPr>
          <w:rFonts w:hint="eastAsia" w:ascii="宋体" w:hAnsi="宋体" w:eastAsia="宋体" w:cs="宋体"/>
          <w:spacing w:val="6"/>
          <w:lang w:eastAsia="zh-CN"/>
        </w:rPr>
        <w:t>（六）组织开展全市节能管理部门、重点用能企业不少于</w:t>
      </w:r>
      <w:r>
        <w:rPr>
          <w:rFonts w:hint="eastAsia" w:ascii="宋体" w:hAnsi="宋体" w:eastAsia="宋体" w:cs="宋体"/>
          <w:spacing w:val="6"/>
          <w:lang w:val="en-US" w:eastAsia="zh-CN"/>
        </w:rPr>
        <w:t>1次节能培训，主要包括培训方案制定，提供培训地点，选派培训专家等</w:t>
      </w:r>
    </w:p>
    <w:p w14:paraId="5CB60DF8">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（七）根据市发展改革委工作安排，适时组织专家开展固定资产投资项目节能验收工作；</w:t>
      </w:r>
    </w:p>
    <w:p w14:paraId="7A5E5AB1">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eastAsia="zh-CN"/>
        </w:rPr>
        <w:t>（八）负责对国家节能政策、技术政策、</w:t>
      </w:r>
      <w:r>
        <w:rPr>
          <w:rFonts w:hint="eastAsia" w:ascii="宋体" w:hAnsi="宋体" w:eastAsia="宋体" w:cs="宋体"/>
          <w:spacing w:val="6"/>
        </w:rPr>
        <w:t>节能降碳相关方案</w:t>
      </w:r>
      <w:r>
        <w:rPr>
          <w:rFonts w:hint="eastAsia" w:ascii="宋体" w:hAnsi="宋体" w:eastAsia="宋体" w:cs="宋体"/>
          <w:spacing w:val="6"/>
          <w:lang w:eastAsia="zh-CN"/>
        </w:rPr>
        <w:t>以及其他与节能降碳、碳达峰碳中和等相关事项提供咨询</w:t>
      </w:r>
      <w:r>
        <w:rPr>
          <w:rFonts w:hint="eastAsia" w:ascii="宋体" w:hAnsi="宋体" w:eastAsia="宋体" w:cs="宋体"/>
          <w:spacing w:val="6"/>
        </w:rPr>
        <w:t>服务</w:t>
      </w:r>
      <w:r>
        <w:rPr>
          <w:rFonts w:hint="eastAsia" w:ascii="宋体" w:hAnsi="宋体" w:eastAsia="宋体" w:cs="宋体"/>
          <w:spacing w:val="6"/>
          <w:lang w:eastAsia="zh-CN"/>
        </w:rPr>
        <w:t>。</w:t>
      </w:r>
    </w:p>
    <w:p w14:paraId="672DECB6">
      <w:pPr>
        <w:pStyle w:val="7"/>
        <w:spacing w:before="68" w:line="249" w:lineRule="auto"/>
        <w:ind w:left="3" w:right="11" w:firstLine="563"/>
        <w:rPr>
          <w:rFonts w:hint="eastAsia" w:ascii="宋体" w:hAnsi="宋体" w:eastAsia="宋体" w:cs="宋体"/>
          <w:spacing w:val="6"/>
          <w:lang w:val="en-US" w:eastAsia="zh-CN"/>
        </w:rPr>
      </w:pPr>
      <w:r>
        <w:rPr>
          <w:rFonts w:hint="eastAsia" w:ascii="宋体" w:hAnsi="宋体" w:eastAsia="宋体" w:cs="宋体"/>
          <w:spacing w:val="6"/>
          <w:lang w:val="en-US" w:eastAsia="zh-CN"/>
        </w:rPr>
        <w:t>五、成果提交方式</w:t>
      </w:r>
    </w:p>
    <w:p w14:paraId="38A525DB">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（一）工作期间安排一名人员实地负责，</w:t>
      </w:r>
      <w:r>
        <w:rPr>
          <w:rFonts w:hint="eastAsia" w:ascii="宋体" w:hAnsi="宋体" w:eastAsia="宋体" w:cs="宋体"/>
          <w:spacing w:val="6"/>
        </w:rPr>
        <w:t>服务期限一年</w:t>
      </w:r>
      <w:r>
        <w:rPr>
          <w:rFonts w:hint="eastAsia" w:ascii="宋体" w:hAnsi="宋体" w:eastAsia="宋体" w:cs="宋体"/>
          <w:spacing w:val="6"/>
          <w:lang w:eastAsia="zh-CN"/>
        </w:rPr>
        <w:t>；</w:t>
      </w:r>
    </w:p>
    <w:p w14:paraId="049E0D3B">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（二）完成吐鲁番市全国节能宣传周、全国低碳日等活动宣传工作；</w:t>
      </w:r>
    </w:p>
    <w:p w14:paraId="724D9E82">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（三）服务期内对权限内我市固定资产投资项目节能报告逐个出具评审意见，对权限外我市固定资产投资项目节能评估报告逐个出具初审意见；</w:t>
      </w:r>
    </w:p>
    <w:p w14:paraId="41B52674">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（四）服务期内对我市新建“两高”项目出具“两高”论证意见；</w:t>
      </w:r>
    </w:p>
    <w:p w14:paraId="3C34B791">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（五）形成全社会节能监察报告（自治区预算内资金支持重点用能企业节能监察报告除外）；</w:t>
      </w:r>
    </w:p>
    <w:p w14:paraId="334121B7">
      <w:pPr>
        <w:pStyle w:val="7"/>
        <w:spacing w:before="68" w:line="249" w:lineRule="auto"/>
        <w:ind w:left="3" w:right="11" w:firstLine="563"/>
        <w:rPr>
          <w:rFonts w:hint="default" w:ascii="宋体" w:hAnsi="宋体" w:eastAsia="宋体" w:cs="宋体"/>
          <w:spacing w:val="6"/>
          <w:lang w:val="en-US" w:eastAsia="zh-CN"/>
        </w:rPr>
      </w:pPr>
      <w:r>
        <w:rPr>
          <w:rFonts w:hint="eastAsia" w:ascii="宋体" w:hAnsi="宋体" w:eastAsia="宋体" w:cs="宋体"/>
          <w:spacing w:val="6"/>
          <w:lang w:eastAsia="zh-CN"/>
        </w:rPr>
        <w:t>（六）组织开展全市节能管理部门、重点用能企业不少于</w:t>
      </w:r>
      <w:r>
        <w:rPr>
          <w:rFonts w:hint="eastAsia" w:ascii="宋体" w:hAnsi="宋体" w:eastAsia="宋体" w:cs="宋体"/>
          <w:spacing w:val="6"/>
          <w:lang w:val="en-US" w:eastAsia="zh-CN"/>
        </w:rPr>
        <w:t>1次节能培训；</w:t>
      </w:r>
    </w:p>
    <w:p w14:paraId="2ADAF762">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（七）对全市固定资产投资项目开展节能验收，出具节能验收报告复核意见；</w:t>
      </w:r>
    </w:p>
    <w:p w14:paraId="6C7807C5">
      <w:pPr>
        <w:pStyle w:val="7"/>
        <w:spacing w:before="68" w:line="249" w:lineRule="auto"/>
        <w:ind w:left="3" w:right="11" w:firstLine="563"/>
        <w:rPr>
          <w:rFonts w:hint="eastAsia" w:ascii="宋体" w:hAnsi="宋体" w:eastAsia="宋体" w:cs="宋体"/>
          <w:spacing w:val="6"/>
          <w:lang w:eastAsia="zh-CN"/>
        </w:rPr>
      </w:pPr>
      <w:r>
        <w:rPr>
          <w:rFonts w:hint="eastAsia" w:ascii="宋体" w:hAnsi="宋体" w:eastAsia="宋体" w:cs="宋体"/>
          <w:spacing w:val="6"/>
          <w:lang w:eastAsia="zh-CN"/>
        </w:rPr>
        <w:t>（八）根据市发改委工作需要，对全市节能降碳、碳达峰碳中和工作提供咨询服务，出具咨询意见。</w:t>
      </w:r>
    </w:p>
    <w:p w14:paraId="620F42EF">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p>
    <w:p w14:paraId="4B4D7B0E">
      <w:pPr>
        <w:pStyle w:val="7"/>
        <w:spacing w:before="91" w:line="219" w:lineRule="auto"/>
        <w:ind w:left="3677"/>
        <w:outlineLvl w:val="0"/>
        <w:rPr>
          <w:b/>
          <w:bCs/>
          <w:spacing w:val="-3"/>
        </w:rPr>
      </w:pPr>
    </w:p>
    <w:p w14:paraId="2A914F93">
      <w:pPr>
        <w:pStyle w:val="7"/>
        <w:spacing w:before="91" w:line="219" w:lineRule="auto"/>
        <w:ind w:left="3677"/>
        <w:outlineLvl w:val="0"/>
        <w:rPr>
          <w:b/>
          <w:bCs/>
          <w:spacing w:val="-3"/>
        </w:rPr>
      </w:pPr>
    </w:p>
    <w:p w14:paraId="21BBE57E">
      <w:pPr>
        <w:pStyle w:val="7"/>
        <w:spacing w:before="91" w:line="219" w:lineRule="auto"/>
        <w:ind w:left="3677"/>
        <w:outlineLvl w:val="0"/>
      </w:pPr>
      <w:r>
        <w:rPr>
          <w:b/>
          <w:bCs/>
          <w:spacing w:val="-3"/>
        </w:rPr>
        <w:t>第五章</w:t>
      </w:r>
      <w:r>
        <w:rPr>
          <w:spacing w:val="-3"/>
        </w:rPr>
        <w:t xml:space="preserve"> </w:t>
      </w:r>
      <w:r>
        <w:rPr>
          <w:b/>
          <w:bCs/>
          <w:spacing w:val="-3"/>
        </w:rPr>
        <w:t>评标方法和标准</w:t>
      </w:r>
    </w:p>
    <w:p w14:paraId="05BC7002">
      <w:pPr>
        <w:pStyle w:val="7"/>
        <w:spacing w:before="69" w:line="249" w:lineRule="auto"/>
        <w:ind w:left="12" w:firstLine="547"/>
      </w:pPr>
      <w:r>
        <w:rPr>
          <w:spacing w:val="-2"/>
        </w:rPr>
        <w:t>评标委员会将按照本项目招标文件进行评标工作，采购人或者采购代理机构</w:t>
      </w:r>
      <w:r>
        <w:rPr>
          <w:spacing w:val="2"/>
        </w:rPr>
        <w:t xml:space="preserve"> </w:t>
      </w:r>
      <w:r>
        <w:rPr>
          <w:spacing w:val="-2"/>
        </w:rPr>
        <w:t>负责评标的组织工作。工作程序如下：</w:t>
      </w:r>
    </w:p>
    <w:p w14:paraId="5AD95E75">
      <w:pPr>
        <w:pStyle w:val="7"/>
        <w:spacing w:before="43" w:line="219" w:lineRule="auto"/>
        <w:ind w:left="564"/>
        <w:outlineLvl w:val="1"/>
      </w:pPr>
      <w:r>
        <w:rPr>
          <w:b/>
          <w:bCs/>
          <w:spacing w:val="-3"/>
        </w:rPr>
        <w:t>一、评标准备工作，由采购人或者采购代理机构负责</w:t>
      </w:r>
    </w:p>
    <w:p w14:paraId="63312CA7">
      <w:pPr>
        <w:pStyle w:val="7"/>
        <w:spacing w:before="68" w:line="249" w:lineRule="auto"/>
        <w:ind w:left="563" w:right="3932" w:firstLine="17"/>
      </w:pPr>
      <w:r>
        <w:rPr>
          <w:spacing w:val="-5"/>
        </w:rPr>
        <w:t>1.核对评审专家身份和采购人代表授权函；</w:t>
      </w:r>
      <w:r>
        <w:rPr>
          <w:spacing w:val="1"/>
        </w:rPr>
        <w:t xml:space="preserve"> </w:t>
      </w:r>
      <w:r>
        <w:rPr>
          <w:spacing w:val="-1"/>
        </w:rPr>
        <w:t>2.宣布评标纪律，集中保管通讯工具；</w:t>
      </w:r>
    </w:p>
    <w:p w14:paraId="26C5F8A4">
      <w:pPr>
        <w:pStyle w:val="7"/>
        <w:spacing w:before="43" w:line="219" w:lineRule="auto"/>
        <w:ind w:left="565"/>
      </w:pPr>
      <w:r>
        <w:rPr>
          <w:spacing w:val="-1"/>
        </w:rPr>
        <w:t>3.公布投标人名单，告知评审专家应当回避的情形；</w:t>
      </w:r>
    </w:p>
    <w:p w14:paraId="3903B584">
      <w:pPr>
        <w:pStyle w:val="7"/>
        <w:spacing w:before="69" w:line="219" w:lineRule="auto"/>
        <w:ind w:left="559"/>
      </w:pPr>
      <w:r>
        <w:rPr>
          <w:spacing w:val="-1"/>
        </w:rPr>
        <w:t>4.组织评标委员会推选评标组长，采购人代表不得担任组长；</w:t>
      </w:r>
    </w:p>
    <w:p w14:paraId="06280C65">
      <w:pPr>
        <w:pStyle w:val="7"/>
        <w:spacing w:before="66" w:line="219" w:lineRule="auto"/>
        <w:ind w:left="565"/>
        <w:rPr>
          <w:spacing w:val="-1"/>
        </w:rPr>
      </w:pPr>
      <w:r>
        <w:rPr>
          <w:spacing w:val="-1"/>
        </w:rPr>
        <w:t>5.根据评标委员会的要求介绍政府采购相关政策法律、招标文件。</w:t>
      </w:r>
    </w:p>
    <w:p w14:paraId="082AEE6D">
      <w:pPr>
        <w:pStyle w:val="7"/>
        <w:spacing w:before="69" w:line="219" w:lineRule="auto"/>
        <w:ind w:left="559"/>
        <w:rPr>
          <w:rFonts w:hint="eastAsia"/>
          <w:b/>
          <w:bCs/>
          <w:spacing w:val="-1"/>
          <w:lang w:val="en-US" w:eastAsia="zh-CN"/>
        </w:rPr>
      </w:pPr>
      <w:r>
        <w:rPr>
          <w:rFonts w:hint="eastAsia"/>
          <w:b/>
          <w:bCs/>
          <w:spacing w:val="-1"/>
          <w:lang w:val="en-US" w:eastAsia="zh-CN"/>
        </w:rPr>
        <w:t>二、资格性审查</w:t>
      </w:r>
    </w:p>
    <w:p w14:paraId="1D8E9EE4">
      <w:pPr>
        <w:pStyle w:val="7"/>
        <w:spacing w:before="69" w:line="219" w:lineRule="auto"/>
        <w:ind w:left="559" w:firstLine="556" w:firstLineChars="200"/>
        <w:rPr>
          <w:rFonts w:hint="eastAsia"/>
          <w:spacing w:val="-1"/>
          <w:lang w:val="en-US" w:eastAsia="zh-CN"/>
        </w:rPr>
      </w:pPr>
      <w:r>
        <w:rPr>
          <w:rFonts w:hint="eastAsia"/>
          <w:spacing w:val="-1"/>
          <w:lang w:val="en-US" w:eastAsia="zh-CN"/>
        </w:rPr>
        <w:t>开标结束后，采购人按照以下内容对各供应商的投标文件进行资格审查。资格审查不合格的，其投标无效。</w:t>
      </w:r>
    </w:p>
    <w:p w14:paraId="0DC43550">
      <w:pPr>
        <w:pStyle w:val="7"/>
        <w:spacing w:before="69" w:line="219" w:lineRule="auto"/>
        <w:ind w:left="559"/>
        <w:rPr>
          <w:rFonts w:hint="eastAsia"/>
          <w:spacing w:val="-1"/>
          <w:lang w:val="en-US" w:eastAsia="zh-CN"/>
        </w:rPr>
      </w:pPr>
      <w:r>
        <w:rPr>
          <w:rFonts w:hint="eastAsia"/>
          <w:spacing w:val="-1"/>
          <w:lang w:val="en-US" w:eastAsia="zh-CN"/>
        </w:rPr>
        <w:t>1.供应商营业执照及签署诚信投标承诺书，加盖企业公章；</w:t>
      </w:r>
    </w:p>
    <w:p w14:paraId="773EF759">
      <w:pPr>
        <w:pStyle w:val="7"/>
        <w:spacing w:before="69" w:line="219" w:lineRule="auto"/>
        <w:ind w:left="559"/>
        <w:rPr>
          <w:rFonts w:hint="eastAsia"/>
          <w:spacing w:val="-1"/>
          <w:lang w:val="en-US" w:eastAsia="zh-CN"/>
        </w:rPr>
      </w:pPr>
      <w:r>
        <w:rPr>
          <w:rFonts w:hint="eastAsia"/>
          <w:spacing w:val="-1"/>
          <w:lang w:val="en-US" w:eastAsia="zh-CN"/>
        </w:rPr>
        <w:t>2.法定代表人资格证明书和法定代表人身份证，均为原件的扫描件加盖企业公章或法定代表人授权委托书及被授权人身份证，均为原件的扫描件加盖企业公章；</w:t>
      </w:r>
    </w:p>
    <w:p w14:paraId="1BDEF3B4">
      <w:pPr>
        <w:keepNext w:val="0"/>
        <w:keepLines w:val="0"/>
        <w:widowControl/>
        <w:suppressLineNumbers w:val="0"/>
        <w:ind w:firstLine="556" w:firstLineChars="200"/>
        <w:jc w:val="left"/>
        <w:rPr>
          <w:rFonts w:hint="eastAsia"/>
          <w:spacing w:val="-1"/>
          <w:lang w:val="en-US" w:eastAsia="zh-CN"/>
        </w:rPr>
      </w:pPr>
      <w:r>
        <w:rPr>
          <w:rFonts w:hint="eastAsia" w:ascii="宋体" w:hAnsi="宋体" w:eastAsia="宋体" w:cs="宋体"/>
          <w:snapToGrid w:val="0"/>
          <w:color w:val="000000"/>
          <w:spacing w:val="-1"/>
          <w:kern w:val="0"/>
          <w:sz w:val="28"/>
          <w:szCs w:val="28"/>
          <w:lang w:val="en-US" w:eastAsia="zh-CN" w:bidi="ar-SA"/>
        </w:rPr>
        <w:t>3.社保缴纳证明（投标人提供单位近3个月内任意一月社保缴纳凭证及人员明细 （须含并体现被委托人）；</w:t>
      </w:r>
    </w:p>
    <w:p w14:paraId="1B35BA1B">
      <w:pPr>
        <w:pStyle w:val="7"/>
        <w:spacing w:before="69" w:line="219" w:lineRule="auto"/>
        <w:ind w:left="559"/>
        <w:rPr>
          <w:rFonts w:hint="eastAsia"/>
          <w:spacing w:val="-1"/>
          <w:lang w:val="en-US" w:eastAsia="zh-CN"/>
        </w:rPr>
      </w:pPr>
      <w:r>
        <w:rPr>
          <w:rFonts w:hint="eastAsia"/>
          <w:spacing w:val="-1"/>
          <w:lang w:val="en-US" w:eastAsia="zh-CN"/>
        </w:rPr>
        <w:t>4.供应商出具加盖公章的《中小企业声明函》原件的扫描件加盖企业公章，不按格式填写按无效标处理。</w:t>
      </w:r>
    </w:p>
    <w:p w14:paraId="5ECE4BE2">
      <w:pPr>
        <w:pStyle w:val="7"/>
        <w:spacing w:before="69" w:line="219" w:lineRule="auto"/>
        <w:ind w:left="559"/>
        <w:rPr>
          <w:rFonts w:hint="default"/>
          <w:spacing w:val="-1"/>
          <w:lang w:val="en-US" w:eastAsia="zh-CN"/>
        </w:rPr>
      </w:pPr>
      <w:r>
        <w:rPr>
          <w:rFonts w:hint="eastAsia"/>
          <w:spacing w:val="-1"/>
          <w:lang w:val="en-US" w:eastAsia="zh-CN"/>
        </w:rPr>
        <w:t>5.供应商提供投标保证金收据或保函，原件扫描件加盖企业公章。</w:t>
      </w:r>
    </w:p>
    <w:p w14:paraId="3CE1117A">
      <w:pPr>
        <w:pStyle w:val="7"/>
        <w:spacing w:before="69" w:line="219" w:lineRule="auto"/>
        <w:ind w:left="559"/>
        <w:rPr>
          <w:spacing w:val="-1"/>
        </w:rPr>
      </w:pPr>
      <w:r>
        <w:rPr>
          <w:rFonts w:hint="eastAsia"/>
          <w:spacing w:val="-1"/>
          <w:lang w:val="en-US" w:eastAsia="zh-CN"/>
        </w:rPr>
        <w:t xml:space="preserve"> 合格供应商不足三家的，不进行评标。</w:t>
      </w:r>
    </w:p>
    <w:p w14:paraId="53BDB3A2">
      <w:pPr>
        <w:pStyle w:val="7"/>
        <w:spacing w:before="68" w:line="220" w:lineRule="auto"/>
        <w:ind w:left="564"/>
        <w:outlineLvl w:val="1"/>
      </w:pPr>
      <w:r>
        <w:rPr>
          <w:rFonts w:hint="eastAsia"/>
          <w:b/>
          <w:bCs/>
          <w:spacing w:val="-4"/>
          <w:lang w:val="en-US" w:eastAsia="zh-CN"/>
        </w:rPr>
        <w:t>三</w:t>
      </w:r>
      <w:r>
        <w:rPr>
          <w:b/>
          <w:bCs/>
          <w:spacing w:val="-4"/>
        </w:rPr>
        <w:t>、符合性审查工作</w:t>
      </w:r>
    </w:p>
    <w:p w14:paraId="0667D55E">
      <w:pPr>
        <w:pStyle w:val="7"/>
        <w:spacing w:before="65" w:line="255" w:lineRule="auto"/>
        <w:ind w:left="2" w:firstLine="556"/>
        <w:jc w:val="both"/>
      </w:pPr>
      <w:r>
        <w:rPr>
          <w:spacing w:val="-2"/>
        </w:rPr>
        <w:t>评标委员会开展符合性审查。符合性审查是指依据招标文件的规定，从商务</w:t>
      </w:r>
      <w:r>
        <w:rPr>
          <w:spacing w:val="2"/>
        </w:rPr>
        <w:t xml:space="preserve"> </w:t>
      </w:r>
      <w:r>
        <w:rPr>
          <w:spacing w:val="-2"/>
        </w:rPr>
        <w:t>和技术角度对投标文件的有效性和完整性进行审查，以确定是否对招标文件的实</w:t>
      </w:r>
      <w:r>
        <w:rPr>
          <w:spacing w:val="3"/>
        </w:rPr>
        <w:t xml:space="preserve"> </w:t>
      </w:r>
      <w:r>
        <w:rPr>
          <w:spacing w:val="-2"/>
        </w:rPr>
        <w:t>质性要求做出响应。</w:t>
      </w:r>
    </w:p>
    <w:p w14:paraId="1F2E8DEC">
      <w:pPr>
        <w:pStyle w:val="7"/>
        <w:spacing w:before="42" w:line="249" w:lineRule="auto"/>
        <w:ind w:left="563" w:right="1412" w:firstLine="17"/>
      </w:pPr>
      <w:r>
        <w:rPr>
          <w:spacing w:val="-1"/>
        </w:rPr>
        <w:t>1.要求投标人对投标文件有关事项作出澄清或者</w:t>
      </w:r>
      <w:r>
        <w:rPr>
          <w:spacing w:val="-2"/>
        </w:rPr>
        <w:t>说明（如有</w:t>
      </w:r>
      <w:r>
        <w:rPr>
          <w:spacing w:val="-34"/>
        </w:rPr>
        <w:t>）；</w:t>
      </w:r>
      <w:r>
        <w:rPr>
          <w:spacing w:val="1"/>
        </w:rPr>
        <w:t xml:space="preserve"> </w:t>
      </w:r>
      <w:r>
        <w:rPr>
          <w:spacing w:val="-1"/>
        </w:rPr>
        <w:t>2.依照招标文件规定的评标程序、方法和标准进行独立评审；</w:t>
      </w:r>
    </w:p>
    <w:p w14:paraId="08DFC658">
      <w:pPr>
        <w:pStyle w:val="7"/>
        <w:spacing w:before="42" w:line="255" w:lineRule="auto"/>
        <w:ind w:left="2" w:firstLine="562"/>
        <w:jc w:val="both"/>
      </w:pPr>
      <w:r>
        <w:rPr>
          <w:spacing w:val="-2"/>
        </w:rPr>
        <w:t>如本项目评标方法为综合评分法，评标委员会对满足招标文件全部</w:t>
      </w:r>
      <w:r>
        <w:rPr>
          <w:spacing w:val="-3"/>
        </w:rPr>
        <w:t>实质性要</w:t>
      </w:r>
      <w:r>
        <w:t xml:space="preserve"> </w:t>
      </w:r>
      <w:r>
        <w:rPr>
          <w:spacing w:val="-2"/>
        </w:rPr>
        <w:t>求的投标文件，按照招标文件规定的评审因素的量化指标进行评审打分，以评审</w:t>
      </w:r>
      <w:r>
        <w:rPr>
          <w:spacing w:val="3"/>
        </w:rPr>
        <w:t xml:space="preserve"> </w:t>
      </w:r>
      <w:r>
        <w:rPr>
          <w:spacing w:val="-1"/>
        </w:rPr>
        <w:t>得分从高到低顺序确定中标候选人。</w:t>
      </w:r>
    </w:p>
    <w:p w14:paraId="6F5982EC">
      <w:pPr>
        <w:pStyle w:val="7"/>
        <w:spacing w:before="43" w:line="254" w:lineRule="auto"/>
        <w:ind w:firstLine="559"/>
        <w:jc w:val="both"/>
      </w:pPr>
      <w:r>
        <w:rPr>
          <w:spacing w:val="-2"/>
        </w:rPr>
        <w:t>评标委员会每位成员独立对每个有效投标人的投标文件进行评价、打分；然</w:t>
      </w:r>
      <w:r>
        <w:rPr>
          <w:spacing w:val="2"/>
        </w:rPr>
        <w:t xml:space="preserve"> </w:t>
      </w:r>
      <w:r>
        <w:rPr>
          <w:spacing w:val="-2"/>
        </w:rPr>
        <w:t>后汇总每个投标人的得分，计算得分平均值，以平均值由高到低进行排序，按排</w:t>
      </w:r>
      <w:r>
        <w:rPr>
          <w:spacing w:val="5"/>
        </w:rPr>
        <w:t xml:space="preserve"> </w:t>
      </w:r>
      <w:r>
        <w:t>序顺序推荐中标候选人。分值计算保留小数点后两</w:t>
      </w:r>
      <w:r>
        <w:rPr>
          <w:spacing w:val="-1"/>
        </w:rPr>
        <w:t>位，第三位四舍五入。</w:t>
      </w:r>
    </w:p>
    <w:p w14:paraId="748C2DB8">
      <w:pPr>
        <w:pStyle w:val="7"/>
        <w:spacing w:before="43" w:line="219" w:lineRule="auto"/>
        <w:ind w:left="560"/>
        <w:outlineLvl w:val="1"/>
      </w:pPr>
      <w:r>
        <w:rPr>
          <w:rFonts w:hint="eastAsia"/>
          <w:b/>
          <w:bCs/>
          <w:spacing w:val="-3"/>
          <w:lang w:val="en-US" w:eastAsia="zh-CN"/>
        </w:rPr>
        <w:t>四</w:t>
      </w:r>
      <w:r>
        <w:rPr>
          <w:b/>
          <w:bCs/>
          <w:spacing w:val="-3"/>
        </w:rPr>
        <w:t>、采购人或者采购代理机构核对评标结果</w:t>
      </w:r>
    </w:p>
    <w:p w14:paraId="62E04B3E">
      <w:pPr>
        <w:pStyle w:val="7"/>
        <w:spacing w:before="69" w:line="219" w:lineRule="auto"/>
        <w:ind w:left="586"/>
        <w:outlineLvl w:val="1"/>
      </w:pPr>
      <w:r>
        <w:rPr>
          <w:rFonts w:hint="eastAsia"/>
          <w:b/>
          <w:bCs/>
          <w:spacing w:val="-3"/>
          <w:lang w:val="en-US" w:eastAsia="zh-CN"/>
        </w:rPr>
        <w:t>五</w:t>
      </w:r>
      <w:r>
        <w:rPr>
          <w:b/>
          <w:bCs/>
          <w:spacing w:val="-3"/>
        </w:rPr>
        <w:t>、确定中标候选人名单，或者根据采购人委托直接确定中标</w:t>
      </w:r>
      <w:r>
        <w:rPr>
          <w:b/>
          <w:bCs/>
          <w:spacing w:val="-4"/>
        </w:rPr>
        <w:t>供应商</w:t>
      </w:r>
    </w:p>
    <w:p w14:paraId="72D1E163">
      <w:pPr>
        <w:pStyle w:val="7"/>
        <w:spacing w:before="66" w:line="219" w:lineRule="auto"/>
        <w:ind w:left="564"/>
        <w:outlineLvl w:val="1"/>
      </w:pPr>
      <w:r>
        <w:rPr>
          <w:rFonts w:hint="eastAsia"/>
          <w:b/>
          <w:bCs/>
          <w:spacing w:val="-3"/>
          <w:lang w:val="en-US" w:eastAsia="zh-CN"/>
        </w:rPr>
        <w:t>六</w:t>
      </w:r>
      <w:r>
        <w:rPr>
          <w:b/>
          <w:bCs/>
          <w:spacing w:val="-3"/>
        </w:rPr>
        <w:t>、评审标准中应考虑下列因素</w:t>
      </w:r>
    </w:p>
    <w:p w14:paraId="7D7AA98A">
      <w:pPr>
        <w:pStyle w:val="7"/>
        <w:spacing w:before="64" w:line="251" w:lineRule="auto"/>
        <w:ind w:left="591" w:right="98" w:rightChars="0" w:hanging="30"/>
        <w:rPr>
          <w:rFonts w:hint="default" w:eastAsia="宋体"/>
          <w:lang w:val="en-US" w:eastAsia="zh-CN"/>
        </w:rPr>
      </w:pPr>
      <w:r>
        <w:rPr>
          <w:spacing w:val="-4"/>
        </w:rPr>
        <w:t>1.政府采购政策要求</w:t>
      </w:r>
      <w:r>
        <w:rPr>
          <w:rFonts w:hint="eastAsia"/>
          <w:b/>
          <w:bCs/>
          <w:spacing w:val="-4"/>
          <w:lang w:eastAsia="zh-CN"/>
        </w:rPr>
        <w:t>：</w:t>
      </w:r>
      <w:r>
        <w:rPr>
          <w:rFonts w:hint="eastAsia"/>
          <w:b/>
          <w:bCs/>
          <w:spacing w:val="-4"/>
          <w:lang w:val="en-US" w:eastAsia="zh-CN"/>
        </w:rPr>
        <w:t>本项目专门面向中小企业</w:t>
      </w:r>
    </w:p>
    <w:p w14:paraId="74EEDBF7">
      <w:pPr>
        <w:pStyle w:val="7"/>
        <w:spacing w:before="41" w:line="220" w:lineRule="auto"/>
        <w:ind w:left="383"/>
      </w:pPr>
      <w:r>
        <w:rPr>
          <w:spacing w:val="-1"/>
        </w:rPr>
        <w:t>2.中标候选人并列时的处理方式</w:t>
      </w:r>
    </w:p>
    <w:p w14:paraId="08E87392">
      <w:pPr>
        <w:pStyle w:val="7"/>
        <w:spacing w:before="65" w:line="219" w:lineRule="auto"/>
        <w:ind w:left="379"/>
      </w:pPr>
      <w:r>
        <w:rPr>
          <w:spacing w:val="-1"/>
        </w:rPr>
        <w:t>采用综合评标法 。</w:t>
      </w:r>
    </w:p>
    <w:p w14:paraId="671DA3C0">
      <w:pPr>
        <w:pStyle w:val="7"/>
        <w:spacing w:before="68" w:line="220" w:lineRule="auto"/>
        <w:ind w:left="562"/>
        <w:outlineLvl w:val="1"/>
      </w:pPr>
      <w:r>
        <w:rPr>
          <w:rFonts w:hint="eastAsia"/>
          <w:b/>
          <w:bCs/>
          <w:spacing w:val="-4"/>
          <w:lang w:val="en-US" w:eastAsia="zh-CN"/>
        </w:rPr>
        <w:t>七</w:t>
      </w:r>
      <w:r>
        <w:rPr>
          <w:b/>
          <w:bCs/>
          <w:spacing w:val="-4"/>
        </w:rPr>
        <w:t>、评审因素和指标</w:t>
      </w:r>
    </w:p>
    <w:p w14:paraId="1528FAE7">
      <w:pPr>
        <w:spacing w:line="220" w:lineRule="auto"/>
        <w:sectPr>
          <w:footerReference r:id="rId11" w:type="default"/>
          <w:pgSz w:w="11906" w:h="16839"/>
          <w:pgMar w:top="1431" w:right="1079" w:bottom="908" w:left="1089" w:header="0" w:footer="1304" w:gutter="0"/>
          <w:pgNumType w:fmt="decimal"/>
          <w:cols w:space="720" w:num="1"/>
        </w:sectPr>
      </w:pPr>
    </w:p>
    <w:p w14:paraId="0BD70049">
      <w:pPr>
        <w:pStyle w:val="7"/>
        <w:spacing w:before="87" w:line="212" w:lineRule="auto"/>
        <w:ind w:left="687"/>
        <w:outlineLvl w:val="1"/>
      </w:pPr>
      <w:r>
        <w:rPr>
          <w:b/>
          <w:bCs/>
          <w:spacing w:val="-4"/>
        </w:rPr>
        <w:t>一、初步评审（符合性审查）</w:t>
      </w:r>
    </w:p>
    <w:tbl>
      <w:tblPr>
        <w:tblStyle w:val="20"/>
        <w:tblW w:w="9810"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597"/>
        <w:gridCol w:w="4735"/>
        <w:gridCol w:w="933"/>
        <w:gridCol w:w="960"/>
        <w:gridCol w:w="945"/>
        <w:gridCol w:w="990"/>
      </w:tblGrid>
      <w:tr w14:paraId="4D622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50" w:type="dxa"/>
            <w:vAlign w:val="top"/>
          </w:tcPr>
          <w:p w14:paraId="641A0629">
            <w:pPr>
              <w:pStyle w:val="21"/>
              <w:spacing w:before="146" w:line="228" w:lineRule="auto"/>
              <w:ind w:left="119"/>
              <w:rPr>
                <w:sz w:val="20"/>
                <w:szCs w:val="20"/>
              </w:rPr>
            </w:pPr>
            <w:r>
              <w:rPr>
                <w:spacing w:val="3"/>
                <w:sz w:val="20"/>
                <w:szCs w:val="20"/>
              </w:rPr>
              <w:t>项目</w:t>
            </w:r>
          </w:p>
        </w:tc>
        <w:tc>
          <w:tcPr>
            <w:tcW w:w="5332" w:type="dxa"/>
            <w:gridSpan w:val="2"/>
            <w:vAlign w:val="top"/>
          </w:tcPr>
          <w:p w14:paraId="4A241D89">
            <w:pPr>
              <w:pStyle w:val="21"/>
              <w:spacing w:before="145" w:line="228" w:lineRule="auto"/>
              <w:ind w:left="110"/>
              <w:rPr>
                <w:sz w:val="20"/>
                <w:szCs w:val="20"/>
              </w:rPr>
            </w:pPr>
            <w:r>
              <w:rPr>
                <w:spacing w:val="-9"/>
                <w:sz w:val="20"/>
                <w:szCs w:val="20"/>
              </w:rPr>
              <w:t>评</w:t>
            </w:r>
            <w:r>
              <w:rPr>
                <w:spacing w:val="16"/>
                <w:sz w:val="20"/>
                <w:szCs w:val="20"/>
              </w:rPr>
              <w:t xml:space="preserve">  </w:t>
            </w:r>
            <w:r>
              <w:rPr>
                <w:spacing w:val="-9"/>
                <w:sz w:val="20"/>
                <w:szCs w:val="20"/>
              </w:rPr>
              <w:t>审</w:t>
            </w:r>
            <w:r>
              <w:rPr>
                <w:spacing w:val="22"/>
                <w:sz w:val="20"/>
                <w:szCs w:val="20"/>
              </w:rPr>
              <w:t xml:space="preserve">  </w:t>
            </w:r>
            <w:r>
              <w:rPr>
                <w:spacing w:val="-9"/>
                <w:sz w:val="20"/>
                <w:szCs w:val="20"/>
              </w:rPr>
              <w:t>内</w:t>
            </w:r>
            <w:r>
              <w:rPr>
                <w:spacing w:val="11"/>
                <w:sz w:val="20"/>
                <w:szCs w:val="20"/>
              </w:rPr>
              <w:t xml:space="preserve">  </w:t>
            </w:r>
            <w:r>
              <w:rPr>
                <w:spacing w:val="-9"/>
                <w:sz w:val="20"/>
                <w:szCs w:val="20"/>
              </w:rPr>
              <w:t>容</w:t>
            </w:r>
          </w:p>
        </w:tc>
        <w:tc>
          <w:tcPr>
            <w:tcW w:w="933" w:type="dxa"/>
            <w:vAlign w:val="top"/>
          </w:tcPr>
          <w:p w14:paraId="0FD80677">
            <w:pPr>
              <w:pStyle w:val="21"/>
              <w:spacing w:before="146" w:line="228" w:lineRule="auto"/>
              <w:ind w:left="116"/>
              <w:rPr>
                <w:sz w:val="20"/>
                <w:szCs w:val="20"/>
              </w:rPr>
            </w:pPr>
            <w:r>
              <w:rPr>
                <w:spacing w:val="4"/>
                <w:sz w:val="20"/>
                <w:szCs w:val="20"/>
              </w:rPr>
              <w:t>投标人</w:t>
            </w:r>
            <w:r>
              <w:rPr>
                <w:spacing w:val="-23"/>
                <w:sz w:val="20"/>
                <w:szCs w:val="20"/>
              </w:rPr>
              <w:t xml:space="preserve"> </w:t>
            </w:r>
            <w:r>
              <w:rPr>
                <w:spacing w:val="4"/>
                <w:sz w:val="20"/>
                <w:szCs w:val="20"/>
              </w:rPr>
              <w:t>1</w:t>
            </w:r>
          </w:p>
        </w:tc>
        <w:tc>
          <w:tcPr>
            <w:tcW w:w="960" w:type="dxa"/>
            <w:vAlign w:val="top"/>
          </w:tcPr>
          <w:p w14:paraId="199D2F97">
            <w:pPr>
              <w:pStyle w:val="21"/>
              <w:spacing w:before="146" w:line="228" w:lineRule="auto"/>
              <w:ind w:left="116"/>
              <w:rPr>
                <w:sz w:val="20"/>
                <w:szCs w:val="20"/>
              </w:rPr>
            </w:pPr>
            <w:r>
              <w:rPr>
                <w:spacing w:val="4"/>
                <w:sz w:val="20"/>
                <w:szCs w:val="20"/>
              </w:rPr>
              <w:t>投标人</w:t>
            </w:r>
            <w:r>
              <w:rPr>
                <w:spacing w:val="-36"/>
                <w:sz w:val="20"/>
                <w:szCs w:val="20"/>
              </w:rPr>
              <w:t xml:space="preserve"> </w:t>
            </w:r>
            <w:r>
              <w:rPr>
                <w:spacing w:val="4"/>
                <w:sz w:val="20"/>
                <w:szCs w:val="20"/>
              </w:rPr>
              <w:t>2</w:t>
            </w:r>
          </w:p>
        </w:tc>
        <w:tc>
          <w:tcPr>
            <w:tcW w:w="945" w:type="dxa"/>
            <w:vAlign w:val="top"/>
          </w:tcPr>
          <w:p w14:paraId="6DDB1BF5">
            <w:pPr>
              <w:pStyle w:val="21"/>
              <w:spacing w:before="146" w:line="228" w:lineRule="auto"/>
              <w:ind w:left="117"/>
              <w:rPr>
                <w:rFonts w:hint="eastAsia" w:eastAsia="宋体"/>
                <w:sz w:val="20"/>
                <w:szCs w:val="20"/>
                <w:lang w:eastAsia="zh-CN"/>
              </w:rPr>
            </w:pPr>
            <w:r>
              <w:rPr>
                <w:spacing w:val="4"/>
                <w:sz w:val="20"/>
                <w:szCs w:val="20"/>
              </w:rPr>
              <w:t>投标人</w:t>
            </w:r>
            <w:r>
              <w:rPr>
                <w:rFonts w:hint="eastAsia"/>
                <w:spacing w:val="-34"/>
                <w:sz w:val="20"/>
                <w:szCs w:val="20"/>
                <w:lang w:val="en-US" w:eastAsia="zh-CN"/>
              </w:rPr>
              <w:t>3</w:t>
            </w:r>
          </w:p>
        </w:tc>
        <w:tc>
          <w:tcPr>
            <w:tcW w:w="990" w:type="dxa"/>
            <w:vAlign w:val="top"/>
          </w:tcPr>
          <w:p w14:paraId="5E669054">
            <w:pPr>
              <w:pStyle w:val="21"/>
              <w:spacing w:before="146" w:line="228" w:lineRule="auto"/>
              <w:ind w:left="117"/>
              <w:rPr>
                <w:rFonts w:hint="eastAsia" w:eastAsia="宋体"/>
                <w:sz w:val="20"/>
                <w:szCs w:val="20"/>
                <w:lang w:val="en-US" w:eastAsia="zh-CN"/>
              </w:rPr>
            </w:pPr>
            <w:r>
              <w:rPr>
                <w:spacing w:val="5"/>
                <w:sz w:val="20"/>
                <w:szCs w:val="20"/>
              </w:rPr>
              <w:t>投标人</w:t>
            </w:r>
            <w:r>
              <w:rPr>
                <w:spacing w:val="-56"/>
                <w:sz w:val="20"/>
                <w:szCs w:val="20"/>
              </w:rPr>
              <w:t xml:space="preserve"> </w:t>
            </w:r>
            <w:r>
              <w:rPr>
                <w:rFonts w:hint="eastAsia"/>
                <w:spacing w:val="-56"/>
                <w:sz w:val="20"/>
                <w:szCs w:val="20"/>
                <w:lang w:val="en-US" w:eastAsia="zh-CN"/>
              </w:rPr>
              <w:t>N</w:t>
            </w:r>
          </w:p>
        </w:tc>
      </w:tr>
      <w:tr w14:paraId="5649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50" w:type="dxa"/>
            <w:vMerge w:val="restart"/>
            <w:tcBorders>
              <w:bottom w:val="nil"/>
            </w:tcBorders>
            <w:textDirection w:val="tbRlV"/>
            <w:vAlign w:val="center"/>
          </w:tcPr>
          <w:p w14:paraId="32F22A8F">
            <w:pPr>
              <w:pStyle w:val="21"/>
              <w:spacing w:before="67" w:line="217" w:lineRule="auto"/>
              <w:ind w:left="2708"/>
              <w:jc w:val="center"/>
              <w:rPr>
                <w:sz w:val="20"/>
                <w:szCs w:val="20"/>
              </w:rPr>
            </w:pPr>
            <w:r>
              <w:rPr>
                <w:spacing w:val="-4"/>
                <w:sz w:val="20"/>
                <w:szCs w:val="20"/>
              </w:rPr>
              <w:t>初</w:t>
            </w:r>
            <w:r>
              <w:rPr>
                <w:spacing w:val="98"/>
                <w:sz w:val="20"/>
                <w:szCs w:val="20"/>
              </w:rPr>
              <w:t xml:space="preserve"> </w:t>
            </w:r>
            <w:r>
              <w:rPr>
                <w:spacing w:val="-4"/>
                <w:sz w:val="20"/>
                <w:szCs w:val="20"/>
              </w:rPr>
              <w:t>步</w:t>
            </w:r>
            <w:r>
              <w:rPr>
                <w:spacing w:val="90"/>
                <w:sz w:val="20"/>
                <w:szCs w:val="20"/>
              </w:rPr>
              <w:t xml:space="preserve"> </w:t>
            </w:r>
            <w:r>
              <w:rPr>
                <w:spacing w:val="-4"/>
                <w:sz w:val="20"/>
                <w:szCs w:val="20"/>
              </w:rPr>
              <w:t>评</w:t>
            </w:r>
            <w:r>
              <w:rPr>
                <w:spacing w:val="92"/>
                <w:sz w:val="20"/>
                <w:szCs w:val="20"/>
              </w:rPr>
              <w:t xml:space="preserve"> </w:t>
            </w:r>
            <w:r>
              <w:rPr>
                <w:spacing w:val="-4"/>
                <w:sz w:val="20"/>
                <w:szCs w:val="20"/>
              </w:rPr>
              <w:t>审   ︹</w:t>
            </w:r>
            <w:r>
              <w:rPr>
                <w:spacing w:val="15"/>
                <w:sz w:val="20"/>
                <w:szCs w:val="20"/>
              </w:rPr>
              <w:t xml:space="preserve">  </w:t>
            </w:r>
            <w:r>
              <w:rPr>
                <w:spacing w:val="-4"/>
                <w:sz w:val="20"/>
                <w:szCs w:val="20"/>
              </w:rPr>
              <w:t>符</w:t>
            </w:r>
            <w:r>
              <w:rPr>
                <w:spacing w:val="92"/>
                <w:sz w:val="20"/>
                <w:szCs w:val="20"/>
              </w:rPr>
              <w:t xml:space="preserve"> </w:t>
            </w:r>
            <w:r>
              <w:rPr>
                <w:spacing w:val="-4"/>
                <w:sz w:val="20"/>
                <w:szCs w:val="20"/>
              </w:rPr>
              <w:t>合</w:t>
            </w:r>
            <w:r>
              <w:rPr>
                <w:spacing w:val="92"/>
                <w:sz w:val="20"/>
                <w:szCs w:val="20"/>
              </w:rPr>
              <w:t xml:space="preserve"> </w:t>
            </w:r>
            <w:r>
              <w:rPr>
                <w:spacing w:val="-4"/>
                <w:sz w:val="20"/>
                <w:szCs w:val="20"/>
              </w:rPr>
              <w:t>性</w:t>
            </w:r>
            <w:r>
              <w:rPr>
                <w:spacing w:val="90"/>
                <w:sz w:val="20"/>
                <w:szCs w:val="20"/>
              </w:rPr>
              <w:t xml:space="preserve"> </w:t>
            </w:r>
            <w:r>
              <w:rPr>
                <w:spacing w:val="-4"/>
                <w:sz w:val="20"/>
                <w:szCs w:val="20"/>
              </w:rPr>
              <w:t>审</w:t>
            </w:r>
            <w:r>
              <w:rPr>
                <w:spacing w:val="92"/>
                <w:sz w:val="20"/>
                <w:szCs w:val="20"/>
              </w:rPr>
              <w:t xml:space="preserve"> </w:t>
            </w:r>
            <w:r>
              <w:rPr>
                <w:spacing w:val="-4"/>
                <w:sz w:val="20"/>
                <w:szCs w:val="20"/>
              </w:rPr>
              <w:t>查</w:t>
            </w:r>
            <w:r>
              <w:rPr>
                <w:spacing w:val="92"/>
                <w:sz w:val="20"/>
                <w:szCs w:val="20"/>
              </w:rPr>
              <w:t xml:space="preserve"> </w:t>
            </w:r>
            <w:r>
              <w:rPr>
                <w:spacing w:val="-4"/>
                <w:sz w:val="20"/>
                <w:szCs w:val="20"/>
              </w:rPr>
              <w:t>表</w:t>
            </w:r>
            <w:r>
              <w:rPr>
                <w:spacing w:val="14"/>
                <w:sz w:val="20"/>
                <w:szCs w:val="20"/>
              </w:rPr>
              <w:t xml:space="preserve">  </w:t>
            </w:r>
            <w:r>
              <w:rPr>
                <w:spacing w:val="-4"/>
                <w:sz w:val="20"/>
                <w:szCs w:val="20"/>
              </w:rPr>
              <w:t>︺</w:t>
            </w:r>
          </w:p>
        </w:tc>
        <w:tc>
          <w:tcPr>
            <w:tcW w:w="597" w:type="dxa"/>
            <w:vAlign w:val="top"/>
          </w:tcPr>
          <w:p w14:paraId="1F930969">
            <w:pPr>
              <w:spacing w:line="307" w:lineRule="auto"/>
              <w:rPr>
                <w:rFonts w:ascii="Arial"/>
                <w:sz w:val="21"/>
              </w:rPr>
            </w:pPr>
          </w:p>
          <w:p w14:paraId="09EC6D05">
            <w:pPr>
              <w:pStyle w:val="21"/>
              <w:spacing w:before="65" w:line="189" w:lineRule="auto"/>
              <w:ind w:left="126"/>
              <w:rPr>
                <w:sz w:val="20"/>
                <w:szCs w:val="20"/>
              </w:rPr>
            </w:pPr>
            <w:r>
              <w:rPr>
                <w:sz w:val="20"/>
                <w:szCs w:val="20"/>
              </w:rPr>
              <w:t>1</w:t>
            </w:r>
          </w:p>
        </w:tc>
        <w:tc>
          <w:tcPr>
            <w:tcW w:w="4735" w:type="dxa"/>
            <w:vAlign w:val="top"/>
          </w:tcPr>
          <w:p w14:paraId="790EB31A">
            <w:pPr>
              <w:pStyle w:val="21"/>
              <w:spacing w:before="142" w:line="301" w:lineRule="auto"/>
              <w:ind w:left="113" w:hanging="2"/>
              <w:rPr>
                <w:sz w:val="20"/>
                <w:szCs w:val="20"/>
              </w:rPr>
            </w:pPr>
            <w:r>
              <w:rPr>
                <w:spacing w:val="3"/>
                <w:sz w:val="20"/>
                <w:szCs w:val="20"/>
              </w:rPr>
              <w:t>提交的投标文件“格式、内容、标识、签字和盖章</w:t>
            </w:r>
            <w:r>
              <w:rPr>
                <w:spacing w:val="-69"/>
                <w:sz w:val="20"/>
                <w:szCs w:val="20"/>
              </w:rPr>
              <w:t xml:space="preserve"> </w:t>
            </w:r>
            <w:r>
              <w:rPr>
                <w:spacing w:val="3"/>
                <w:sz w:val="20"/>
                <w:szCs w:val="20"/>
              </w:rPr>
              <w:t>”</w:t>
            </w:r>
            <w:r>
              <w:rPr>
                <w:sz w:val="20"/>
                <w:szCs w:val="20"/>
              </w:rPr>
              <w:t xml:space="preserve"> </w:t>
            </w:r>
            <w:r>
              <w:rPr>
                <w:spacing w:val="3"/>
                <w:sz w:val="20"/>
                <w:szCs w:val="20"/>
              </w:rPr>
              <w:t>是否符合招标文件要求；</w:t>
            </w:r>
          </w:p>
        </w:tc>
        <w:tc>
          <w:tcPr>
            <w:tcW w:w="933" w:type="dxa"/>
            <w:vAlign w:val="top"/>
          </w:tcPr>
          <w:p w14:paraId="0911D462">
            <w:pPr>
              <w:rPr>
                <w:rFonts w:ascii="Arial"/>
                <w:sz w:val="21"/>
              </w:rPr>
            </w:pPr>
          </w:p>
        </w:tc>
        <w:tc>
          <w:tcPr>
            <w:tcW w:w="960" w:type="dxa"/>
            <w:vAlign w:val="top"/>
          </w:tcPr>
          <w:p w14:paraId="2F82C658">
            <w:pPr>
              <w:rPr>
                <w:rFonts w:ascii="Arial"/>
                <w:sz w:val="21"/>
              </w:rPr>
            </w:pPr>
          </w:p>
        </w:tc>
        <w:tc>
          <w:tcPr>
            <w:tcW w:w="945" w:type="dxa"/>
            <w:vAlign w:val="top"/>
          </w:tcPr>
          <w:p w14:paraId="75EA8029">
            <w:pPr>
              <w:rPr>
                <w:rFonts w:ascii="Arial"/>
                <w:sz w:val="21"/>
              </w:rPr>
            </w:pPr>
          </w:p>
        </w:tc>
        <w:tc>
          <w:tcPr>
            <w:tcW w:w="990" w:type="dxa"/>
            <w:vAlign w:val="top"/>
          </w:tcPr>
          <w:p w14:paraId="5A8E4B3C">
            <w:pPr>
              <w:rPr>
                <w:rFonts w:ascii="Arial"/>
                <w:sz w:val="21"/>
              </w:rPr>
            </w:pPr>
          </w:p>
        </w:tc>
      </w:tr>
      <w:tr w14:paraId="5DFAE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50" w:type="dxa"/>
            <w:vMerge w:val="continue"/>
            <w:tcBorders>
              <w:top w:val="nil"/>
              <w:bottom w:val="nil"/>
            </w:tcBorders>
            <w:textDirection w:val="tbRlV"/>
            <w:vAlign w:val="top"/>
          </w:tcPr>
          <w:p w14:paraId="66A7CDB7">
            <w:pPr>
              <w:rPr>
                <w:rFonts w:ascii="Arial"/>
                <w:sz w:val="21"/>
              </w:rPr>
            </w:pPr>
          </w:p>
        </w:tc>
        <w:tc>
          <w:tcPr>
            <w:tcW w:w="597" w:type="dxa"/>
            <w:vAlign w:val="top"/>
          </w:tcPr>
          <w:p w14:paraId="58B70A07">
            <w:pPr>
              <w:spacing w:line="306" w:lineRule="auto"/>
              <w:rPr>
                <w:rFonts w:ascii="Arial"/>
                <w:sz w:val="21"/>
              </w:rPr>
            </w:pPr>
          </w:p>
          <w:p w14:paraId="07508AD2">
            <w:pPr>
              <w:pStyle w:val="21"/>
              <w:spacing w:before="65" w:line="189" w:lineRule="auto"/>
              <w:ind w:left="113"/>
              <w:rPr>
                <w:sz w:val="20"/>
                <w:szCs w:val="20"/>
              </w:rPr>
            </w:pPr>
            <w:r>
              <w:rPr>
                <w:sz w:val="20"/>
                <w:szCs w:val="20"/>
              </w:rPr>
              <w:t>2</w:t>
            </w:r>
          </w:p>
        </w:tc>
        <w:tc>
          <w:tcPr>
            <w:tcW w:w="4735" w:type="dxa"/>
            <w:vAlign w:val="top"/>
          </w:tcPr>
          <w:p w14:paraId="4856B078">
            <w:pPr>
              <w:pStyle w:val="21"/>
              <w:spacing w:before="140" w:line="302" w:lineRule="auto"/>
              <w:ind w:left="118" w:right="51" w:rightChars="0" w:hanging="5"/>
              <w:rPr>
                <w:sz w:val="20"/>
                <w:szCs w:val="20"/>
              </w:rPr>
            </w:pPr>
            <w:r>
              <w:rPr>
                <w:spacing w:val="9"/>
                <w:sz w:val="20"/>
                <w:szCs w:val="20"/>
              </w:rPr>
              <w:t>投标报价</w:t>
            </w:r>
            <w:r>
              <w:rPr>
                <w:rFonts w:hint="eastAsia"/>
                <w:spacing w:val="9"/>
                <w:sz w:val="20"/>
                <w:szCs w:val="20"/>
                <w:lang w:val="en-US" w:eastAsia="zh-CN"/>
              </w:rPr>
              <w:t>不</w:t>
            </w:r>
            <w:r>
              <w:rPr>
                <w:spacing w:val="9"/>
                <w:sz w:val="20"/>
                <w:szCs w:val="20"/>
              </w:rPr>
              <w:t>高于本项目的最高限价且采购人不</w:t>
            </w:r>
            <w:r>
              <w:rPr>
                <w:spacing w:val="4"/>
                <w:sz w:val="20"/>
                <w:szCs w:val="20"/>
              </w:rPr>
              <w:t>能支付的；</w:t>
            </w:r>
          </w:p>
        </w:tc>
        <w:tc>
          <w:tcPr>
            <w:tcW w:w="933" w:type="dxa"/>
            <w:vAlign w:val="top"/>
          </w:tcPr>
          <w:p w14:paraId="3FDD7987">
            <w:pPr>
              <w:rPr>
                <w:rFonts w:ascii="Arial"/>
                <w:sz w:val="21"/>
              </w:rPr>
            </w:pPr>
          </w:p>
        </w:tc>
        <w:tc>
          <w:tcPr>
            <w:tcW w:w="960" w:type="dxa"/>
            <w:vAlign w:val="top"/>
          </w:tcPr>
          <w:p w14:paraId="1CA91F46">
            <w:pPr>
              <w:rPr>
                <w:rFonts w:ascii="Arial"/>
                <w:sz w:val="21"/>
              </w:rPr>
            </w:pPr>
          </w:p>
        </w:tc>
        <w:tc>
          <w:tcPr>
            <w:tcW w:w="945" w:type="dxa"/>
            <w:vAlign w:val="top"/>
          </w:tcPr>
          <w:p w14:paraId="2FC7478F">
            <w:pPr>
              <w:rPr>
                <w:rFonts w:ascii="Arial"/>
                <w:sz w:val="21"/>
              </w:rPr>
            </w:pPr>
          </w:p>
        </w:tc>
        <w:tc>
          <w:tcPr>
            <w:tcW w:w="990" w:type="dxa"/>
            <w:vAlign w:val="top"/>
          </w:tcPr>
          <w:p w14:paraId="0EEABD9A">
            <w:pPr>
              <w:rPr>
                <w:rFonts w:ascii="Arial"/>
                <w:sz w:val="21"/>
              </w:rPr>
            </w:pPr>
          </w:p>
        </w:tc>
      </w:tr>
      <w:tr w14:paraId="1480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50" w:type="dxa"/>
            <w:vMerge w:val="continue"/>
            <w:tcBorders>
              <w:top w:val="nil"/>
              <w:bottom w:val="nil"/>
            </w:tcBorders>
            <w:textDirection w:val="tbRlV"/>
            <w:vAlign w:val="top"/>
          </w:tcPr>
          <w:p w14:paraId="2B5F3DC2">
            <w:pPr>
              <w:rPr>
                <w:rFonts w:ascii="Arial"/>
                <w:sz w:val="21"/>
              </w:rPr>
            </w:pPr>
          </w:p>
        </w:tc>
        <w:tc>
          <w:tcPr>
            <w:tcW w:w="597" w:type="dxa"/>
            <w:vAlign w:val="top"/>
          </w:tcPr>
          <w:p w14:paraId="3B1C8CC7">
            <w:pPr>
              <w:spacing w:line="307" w:lineRule="auto"/>
              <w:rPr>
                <w:rFonts w:ascii="Arial"/>
                <w:sz w:val="21"/>
              </w:rPr>
            </w:pPr>
          </w:p>
          <w:p w14:paraId="5B0A279F">
            <w:pPr>
              <w:pStyle w:val="21"/>
              <w:spacing w:before="65" w:line="189" w:lineRule="auto"/>
              <w:ind w:left="115"/>
              <w:rPr>
                <w:sz w:val="20"/>
                <w:szCs w:val="20"/>
              </w:rPr>
            </w:pPr>
            <w:r>
              <w:rPr>
                <w:sz w:val="20"/>
                <w:szCs w:val="20"/>
              </w:rPr>
              <w:t>3</w:t>
            </w:r>
          </w:p>
        </w:tc>
        <w:tc>
          <w:tcPr>
            <w:tcW w:w="4735" w:type="dxa"/>
            <w:vAlign w:val="top"/>
          </w:tcPr>
          <w:p w14:paraId="1342CD5B">
            <w:pPr>
              <w:pStyle w:val="21"/>
              <w:spacing w:before="142" w:line="301" w:lineRule="auto"/>
              <w:ind w:left="113" w:right="301"/>
              <w:rPr>
                <w:sz w:val="20"/>
                <w:szCs w:val="20"/>
              </w:rPr>
            </w:pPr>
            <w:r>
              <w:rPr>
                <w:spacing w:val="9"/>
                <w:sz w:val="20"/>
                <w:szCs w:val="20"/>
              </w:rPr>
              <w:t>投标人</w:t>
            </w:r>
            <w:r>
              <w:rPr>
                <w:rFonts w:hint="eastAsia"/>
                <w:spacing w:val="9"/>
                <w:sz w:val="20"/>
                <w:szCs w:val="20"/>
                <w:lang w:val="en-US" w:eastAsia="zh-CN"/>
              </w:rPr>
              <w:t>未</w:t>
            </w:r>
            <w:r>
              <w:rPr>
                <w:spacing w:val="9"/>
                <w:sz w:val="20"/>
                <w:szCs w:val="20"/>
              </w:rPr>
              <w:t>对同一采购项目做出两个以上报价且</w:t>
            </w:r>
            <w:r>
              <w:rPr>
                <w:spacing w:val="6"/>
                <w:sz w:val="20"/>
                <w:szCs w:val="20"/>
              </w:rPr>
              <w:t>未明确效力的；</w:t>
            </w:r>
          </w:p>
        </w:tc>
        <w:tc>
          <w:tcPr>
            <w:tcW w:w="933" w:type="dxa"/>
            <w:vAlign w:val="top"/>
          </w:tcPr>
          <w:p w14:paraId="73D23405">
            <w:pPr>
              <w:rPr>
                <w:rFonts w:ascii="Arial"/>
                <w:sz w:val="21"/>
              </w:rPr>
            </w:pPr>
          </w:p>
        </w:tc>
        <w:tc>
          <w:tcPr>
            <w:tcW w:w="960" w:type="dxa"/>
            <w:vAlign w:val="top"/>
          </w:tcPr>
          <w:p w14:paraId="1C2DD523">
            <w:pPr>
              <w:rPr>
                <w:rFonts w:ascii="Arial"/>
                <w:sz w:val="21"/>
              </w:rPr>
            </w:pPr>
          </w:p>
        </w:tc>
        <w:tc>
          <w:tcPr>
            <w:tcW w:w="945" w:type="dxa"/>
            <w:vAlign w:val="top"/>
          </w:tcPr>
          <w:p w14:paraId="7F2BA14B">
            <w:pPr>
              <w:rPr>
                <w:rFonts w:ascii="Arial"/>
                <w:sz w:val="21"/>
              </w:rPr>
            </w:pPr>
          </w:p>
        </w:tc>
        <w:tc>
          <w:tcPr>
            <w:tcW w:w="990" w:type="dxa"/>
            <w:vAlign w:val="top"/>
          </w:tcPr>
          <w:p w14:paraId="63D376A3">
            <w:pPr>
              <w:rPr>
                <w:rFonts w:ascii="Arial"/>
                <w:sz w:val="21"/>
              </w:rPr>
            </w:pPr>
          </w:p>
        </w:tc>
      </w:tr>
      <w:tr w14:paraId="13E5E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0" w:type="dxa"/>
            <w:vMerge w:val="continue"/>
            <w:tcBorders>
              <w:top w:val="nil"/>
              <w:bottom w:val="nil"/>
            </w:tcBorders>
            <w:textDirection w:val="tbRlV"/>
            <w:vAlign w:val="top"/>
          </w:tcPr>
          <w:p w14:paraId="1B7DF9EE">
            <w:pPr>
              <w:rPr>
                <w:rFonts w:ascii="Arial"/>
                <w:sz w:val="21"/>
              </w:rPr>
            </w:pPr>
          </w:p>
        </w:tc>
        <w:tc>
          <w:tcPr>
            <w:tcW w:w="597" w:type="dxa"/>
            <w:vAlign w:val="top"/>
          </w:tcPr>
          <w:p w14:paraId="11071F95">
            <w:pPr>
              <w:pStyle w:val="21"/>
              <w:spacing w:before="173" w:line="189" w:lineRule="auto"/>
              <w:ind w:left="110"/>
              <w:rPr>
                <w:sz w:val="20"/>
                <w:szCs w:val="20"/>
              </w:rPr>
            </w:pPr>
            <w:r>
              <w:rPr>
                <w:sz w:val="20"/>
                <w:szCs w:val="20"/>
              </w:rPr>
              <w:t>4</w:t>
            </w:r>
          </w:p>
        </w:tc>
        <w:tc>
          <w:tcPr>
            <w:tcW w:w="4735" w:type="dxa"/>
            <w:vAlign w:val="top"/>
          </w:tcPr>
          <w:p w14:paraId="212420D8">
            <w:pPr>
              <w:pStyle w:val="21"/>
              <w:spacing w:before="140" w:line="228" w:lineRule="auto"/>
              <w:ind w:left="113"/>
              <w:rPr>
                <w:sz w:val="20"/>
                <w:szCs w:val="20"/>
              </w:rPr>
            </w:pPr>
            <w:r>
              <w:rPr>
                <w:spacing w:val="8"/>
                <w:sz w:val="20"/>
                <w:szCs w:val="20"/>
              </w:rPr>
              <w:t>投标文件的</w:t>
            </w:r>
            <w:r>
              <w:rPr>
                <w:rFonts w:hint="eastAsia"/>
                <w:spacing w:val="8"/>
                <w:sz w:val="20"/>
                <w:szCs w:val="20"/>
                <w:lang w:val="en-US" w:eastAsia="zh-CN"/>
              </w:rPr>
              <w:t>履约期限</w:t>
            </w:r>
            <w:r>
              <w:rPr>
                <w:spacing w:val="8"/>
                <w:sz w:val="20"/>
                <w:szCs w:val="20"/>
              </w:rPr>
              <w:t>是否超过招标文件规定期限；</w:t>
            </w:r>
          </w:p>
        </w:tc>
        <w:tc>
          <w:tcPr>
            <w:tcW w:w="933" w:type="dxa"/>
            <w:vAlign w:val="top"/>
          </w:tcPr>
          <w:p w14:paraId="0E9CEE99">
            <w:pPr>
              <w:rPr>
                <w:rFonts w:ascii="Arial"/>
                <w:sz w:val="21"/>
              </w:rPr>
            </w:pPr>
          </w:p>
        </w:tc>
        <w:tc>
          <w:tcPr>
            <w:tcW w:w="960" w:type="dxa"/>
            <w:vAlign w:val="top"/>
          </w:tcPr>
          <w:p w14:paraId="603625DD">
            <w:pPr>
              <w:rPr>
                <w:rFonts w:ascii="Arial"/>
                <w:sz w:val="21"/>
              </w:rPr>
            </w:pPr>
          </w:p>
        </w:tc>
        <w:tc>
          <w:tcPr>
            <w:tcW w:w="945" w:type="dxa"/>
            <w:vAlign w:val="top"/>
          </w:tcPr>
          <w:p w14:paraId="697D88BC">
            <w:pPr>
              <w:rPr>
                <w:rFonts w:ascii="Arial"/>
                <w:sz w:val="21"/>
              </w:rPr>
            </w:pPr>
          </w:p>
        </w:tc>
        <w:tc>
          <w:tcPr>
            <w:tcW w:w="990" w:type="dxa"/>
            <w:vAlign w:val="top"/>
          </w:tcPr>
          <w:p w14:paraId="0133130C">
            <w:pPr>
              <w:rPr>
                <w:rFonts w:ascii="Arial"/>
                <w:sz w:val="21"/>
              </w:rPr>
            </w:pPr>
          </w:p>
        </w:tc>
      </w:tr>
      <w:tr w14:paraId="70042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50" w:type="dxa"/>
            <w:vMerge w:val="continue"/>
            <w:tcBorders>
              <w:top w:val="nil"/>
              <w:bottom w:val="nil"/>
            </w:tcBorders>
            <w:textDirection w:val="tbRlV"/>
            <w:vAlign w:val="top"/>
          </w:tcPr>
          <w:p w14:paraId="6B4870FB">
            <w:pPr>
              <w:rPr>
                <w:rFonts w:ascii="Arial"/>
                <w:sz w:val="21"/>
              </w:rPr>
            </w:pPr>
          </w:p>
        </w:tc>
        <w:tc>
          <w:tcPr>
            <w:tcW w:w="597" w:type="dxa"/>
            <w:vAlign w:val="top"/>
          </w:tcPr>
          <w:p w14:paraId="55752BE5">
            <w:pPr>
              <w:spacing w:line="254" w:lineRule="auto"/>
              <w:rPr>
                <w:rFonts w:ascii="Arial"/>
                <w:sz w:val="21"/>
              </w:rPr>
            </w:pPr>
          </w:p>
          <w:p w14:paraId="31105650">
            <w:pPr>
              <w:spacing w:line="255" w:lineRule="auto"/>
              <w:rPr>
                <w:rFonts w:ascii="Arial"/>
                <w:sz w:val="21"/>
              </w:rPr>
            </w:pPr>
          </w:p>
          <w:p w14:paraId="3345B46D">
            <w:pPr>
              <w:pStyle w:val="21"/>
              <w:spacing w:before="65" w:line="187" w:lineRule="auto"/>
              <w:ind w:left="115"/>
              <w:rPr>
                <w:sz w:val="20"/>
                <w:szCs w:val="20"/>
              </w:rPr>
            </w:pPr>
            <w:r>
              <w:rPr>
                <w:sz w:val="20"/>
                <w:szCs w:val="20"/>
              </w:rPr>
              <w:t>5</w:t>
            </w:r>
          </w:p>
        </w:tc>
        <w:tc>
          <w:tcPr>
            <w:tcW w:w="4735" w:type="dxa"/>
            <w:vAlign w:val="top"/>
          </w:tcPr>
          <w:p w14:paraId="2AAE31A2">
            <w:pPr>
              <w:pStyle w:val="21"/>
              <w:spacing w:before="141" w:line="355" w:lineRule="auto"/>
              <w:ind w:left="111" w:right="107" w:firstLine="1"/>
              <w:rPr>
                <w:sz w:val="20"/>
                <w:szCs w:val="20"/>
              </w:rPr>
            </w:pPr>
            <w:r>
              <w:rPr>
                <w:spacing w:val="8"/>
                <w:sz w:val="20"/>
                <w:szCs w:val="20"/>
              </w:rPr>
              <w:t>投标保证金的缴纳主体是否与投标人一致、提供投</w:t>
            </w:r>
            <w:r>
              <w:rPr>
                <w:spacing w:val="9"/>
                <w:sz w:val="20"/>
                <w:szCs w:val="20"/>
              </w:rPr>
              <w:t>标担保或者所提供的投标担保不符合招标文件要</w:t>
            </w:r>
            <w:r>
              <w:rPr>
                <w:spacing w:val="-1"/>
                <w:sz w:val="20"/>
                <w:szCs w:val="20"/>
              </w:rPr>
              <w:t>求；</w:t>
            </w:r>
          </w:p>
        </w:tc>
        <w:tc>
          <w:tcPr>
            <w:tcW w:w="933" w:type="dxa"/>
            <w:vAlign w:val="top"/>
          </w:tcPr>
          <w:p w14:paraId="49C6A096">
            <w:pPr>
              <w:rPr>
                <w:rFonts w:ascii="Arial"/>
                <w:sz w:val="21"/>
              </w:rPr>
            </w:pPr>
          </w:p>
        </w:tc>
        <w:tc>
          <w:tcPr>
            <w:tcW w:w="960" w:type="dxa"/>
            <w:vAlign w:val="top"/>
          </w:tcPr>
          <w:p w14:paraId="18660269">
            <w:pPr>
              <w:rPr>
                <w:rFonts w:ascii="Arial"/>
                <w:sz w:val="21"/>
              </w:rPr>
            </w:pPr>
          </w:p>
        </w:tc>
        <w:tc>
          <w:tcPr>
            <w:tcW w:w="945" w:type="dxa"/>
            <w:vAlign w:val="top"/>
          </w:tcPr>
          <w:p w14:paraId="3B564CF9">
            <w:pPr>
              <w:rPr>
                <w:rFonts w:ascii="Arial"/>
                <w:sz w:val="21"/>
              </w:rPr>
            </w:pPr>
          </w:p>
        </w:tc>
        <w:tc>
          <w:tcPr>
            <w:tcW w:w="990" w:type="dxa"/>
            <w:vAlign w:val="top"/>
          </w:tcPr>
          <w:p w14:paraId="2D63E803">
            <w:pPr>
              <w:rPr>
                <w:rFonts w:ascii="Arial"/>
                <w:sz w:val="21"/>
              </w:rPr>
            </w:pPr>
          </w:p>
        </w:tc>
      </w:tr>
      <w:tr w14:paraId="28749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50" w:type="dxa"/>
            <w:vMerge w:val="continue"/>
            <w:tcBorders>
              <w:top w:val="nil"/>
              <w:bottom w:val="nil"/>
            </w:tcBorders>
            <w:textDirection w:val="tbRlV"/>
            <w:vAlign w:val="top"/>
          </w:tcPr>
          <w:p w14:paraId="6FBCEE5B">
            <w:pPr>
              <w:rPr>
                <w:rFonts w:ascii="Arial"/>
                <w:sz w:val="21"/>
              </w:rPr>
            </w:pPr>
          </w:p>
        </w:tc>
        <w:tc>
          <w:tcPr>
            <w:tcW w:w="597" w:type="dxa"/>
            <w:vAlign w:val="top"/>
          </w:tcPr>
          <w:p w14:paraId="0A8A9FD4">
            <w:pPr>
              <w:pStyle w:val="21"/>
              <w:spacing w:before="269" w:line="187" w:lineRule="auto"/>
              <w:ind w:left="115"/>
              <w:rPr>
                <w:rFonts w:hint="eastAsia" w:eastAsia="宋体"/>
                <w:sz w:val="20"/>
                <w:szCs w:val="20"/>
                <w:lang w:val="en-US" w:eastAsia="zh-CN"/>
              </w:rPr>
            </w:pPr>
            <w:r>
              <w:rPr>
                <w:rFonts w:hint="eastAsia"/>
                <w:sz w:val="20"/>
                <w:szCs w:val="20"/>
                <w:lang w:val="en-US" w:eastAsia="zh-CN"/>
              </w:rPr>
              <w:t>6</w:t>
            </w:r>
          </w:p>
        </w:tc>
        <w:tc>
          <w:tcPr>
            <w:tcW w:w="4735" w:type="dxa"/>
            <w:vAlign w:val="top"/>
          </w:tcPr>
          <w:p w14:paraId="3D4799B0">
            <w:pPr>
              <w:pStyle w:val="21"/>
              <w:spacing w:before="234" w:line="228" w:lineRule="auto"/>
              <w:ind w:left="113"/>
              <w:rPr>
                <w:sz w:val="20"/>
                <w:szCs w:val="20"/>
              </w:rPr>
            </w:pPr>
            <w:r>
              <w:rPr>
                <w:spacing w:val="8"/>
                <w:sz w:val="20"/>
                <w:szCs w:val="20"/>
              </w:rPr>
              <w:t>投标有效期是否满足招标文件要求；</w:t>
            </w:r>
          </w:p>
        </w:tc>
        <w:tc>
          <w:tcPr>
            <w:tcW w:w="933" w:type="dxa"/>
            <w:vAlign w:val="top"/>
          </w:tcPr>
          <w:p w14:paraId="150D3A1A">
            <w:pPr>
              <w:rPr>
                <w:rFonts w:ascii="Arial"/>
                <w:sz w:val="21"/>
              </w:rPr>
            </w:pPr>
          </w:p>
        </w:tc>
        <w:tc>
          <w:tcPr>
            <w:tcW w:w="960" w:type="dxa"/>
            <w:vAlign w:val="top"/>
          </w:tcPr>
          <w:p w14:paraId="6265A560">
            <w:pPr>
              <w:rPr>
                <w:rFonts w:ascii="Arial"/>
                <w:sz w:val="21"/>
              </w:rPr>
            </w:pPr>
          </w:p>
        </w:tc>
        <w:tc>
          <w:tcPr>
            <w:tcW w:w="945" w:type="dxa"/>
            <w:vAlign w:val="top"/>
          </w:tcPr>
          <w:p w14:paraId="79B9536A">
            <w:pPr>
              <w:rPr>
                <w:rFonts w:ascii="Arial"/>
                <w:sz w:val="21"/>
              </w:rPr>
            </w:pPr>
          </w:p>
        </w:tc>
        <w:tc>
          <w:tcPr>
            <w:tcW w:w="990" w:type="dxa"/>
            <w:vAlign w:val="top"/>
          </w:tcPr>
          <w:p w14:paraId="39926D07">
            <w:pPr>
              <w:rPr>
                <w:rFonts w:ascii="Arial"/>
                <w:sz w:val="21"/>
              </w:rPr>
            </w:pPr>
          </w:p>
        </w:tc>
      </w:tr>
      <w:tr w14:paraId="3DF2F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50" w:type="dxa"/>
            <w:vMerge w:val="continue"/>
            <w:tcBorders>
              <w:top w:val="nil"/>
              <w:bottom w:val="nil"/>
            </w:tcBorders>
            <w:textDirection w:val="tbRlV"/>
            <w:vAlign w:val="top"/>
          </w:tcPr>
          <w:p w14:paraId="021B86FD">
            <w:pPr>
              <w:rPr>
                <w:rFonts w:ascii="Arial"/>
                <w:sz w:val="21"/>
              </w:rPr>
            </w:pPr>
          </w:p>
        </w:tc>
        <w:tc>
          <w:tcPr>
            <w:tcW w:w="597" w:type="dxa"/>
            <w:vAlign w:val="top"/>
          </w:tcPr>
          <w:p w14:paraId="4A36A5AC">
            <w:pPr>
              <w:pStyle w:val="21"/>
              <w:spacing w:before="269" w:line="187" w:lineRule="auto"/>
              <w:ind w:left="115" w:leftChars="0"/>
              <w:rPr>
                <w:rFonts w:ascii="宋体" w:hAnsi="宋体" w:eastAsia="宋体" w:cs="宋体"/>
                <w:snapToGrid w:val="0"/>
                <w:color w:val="000000"/>
                <w:kern w:val="0"/>
                <w:sz w:val="20"/>
                <w:szCs w:val="20"/>
                <w:lang w:val="en-US" w:eastAsia="en-US" w:bidi="ar-SA"/>
              </w:rPr>
            </w:pPr>
            <w:r>
              <w:rPr>
                <w:sz w:val="20"/>
                <w:szCs w:val="20"/>
              </w:rPr>
              <w:t>7</w:t>
            </w:r>
          </w:p>
        </w:tc>
        <w:tc>
          <w:tcPr>
            <w:tcW w:w="4735" w:type="dxa"/>
            <w:vAlign w:val="top"/>
          </w:tcPr>
          <w:p w14:paraId="2D034B4E">
            <w:pPr>
              <w:pStyle w:val="21"/>
              <w:spacing w:before="141" w:line="227" w:lineRule="auto"/>
              <w:ind w:left="111"/>
              <w:rPr>
                <w:sz w:val="20"/>
                <w:szCs w:val="20"/>
              </w:rPr>
            </w:pPr>
            <w:r>
              <w:rPr>
                <w:spacing w:val="9"/>
                <w:sz w:val="20"/>
                <w:szCs w:val="20"/>
              </w:rPr>
              <w:t>法定代表人身份证明书及法定代表人授权委托书</w:t>
            </w:r>
          </w:p>
          <w:p w14:paraId="3C24BBE8">
            <w:pPr>
              <w:pStyle w:val="21"/>
              <w:spacing w:before="154" w:line="301" w:lineRule="auto"/>
              <w:ind w:left="112" w:right="107" w:firstLine="1"/>
              <w:rPr>
                <w:sz w:val="20"/>
                <w:szCs w:val="20"/>
              </w:rPr>
            </w:pPr>
            <w:r>
              <w:rPr>
                <w:spacing w:val="8"/>
                <w:sz w:val="20"/>
                <w:szCs w:val="20"/>
              </w:rPr>
              <w:t>是否按招标文件规定格式、内容完整提供并按招标</w:t>
            </w:r>
            <w:r>
              <w:rPr>
                <w:spacing w:val="7"/>
                <w:sz w:val="20"/>
                <w:szCs w:val="20"/>
              </w:rPr>
              <w:t>文件要求签字和盖章的。</w:t>
            </w:r>
          </w:p>
        </w:tc>
        <w:tc>
          <w:tcPr>
            <w:tcW w:w="933" w:type="dxa"/>
            <w:vAlign w:val="top"/>
          </w:tcPr>
          <w:p w14:paraId="00040F1C">
            <w:pPr>
              <w:rPr>
                <w:rFonts w:ascii="Arial"/>
                <w:sz w:val="21"/>
              </w:rPr>
            </w:pPr>
          </w:p>
        </w:tc>
        <w:tc>
          <w:tcPr>
            <w:tcW w:w="960" w:type="dxa"/>
            <w:vAlign w:val="top"/>
          </w:tcPr>
          <w:p w14:paraId="18F1F385">
            <w:pPr>
              <w:rPr>
                <w:rFonts w:ascii="Arial"/>
                <w:sz w:val="21"/>
              </w:rPr>
            </w:pPr>
          </w:p>
        </w:tc>
        <w:tc>
          <w:tcPr>
            <w:tcW w:w="945" w:type="dxa"/>
            <w:vAlign w:val="top"/>
          </w:tcPr>
          <w:p w14:paraId="78E770A7">
            <w:pPr>
              <w:rPr>
                <w:rFonts w:ascii="Arial"/>
                <w:sz w:val="21"/>
              </w:rPr>
            </w:pPr>
          </w:p>
        </w:tc>
        <w:tc>
          <w:tcPr>
            <w:tcW w:w="990" w:type="dxa"/>
            <w:vAlign w:val="top"/>
          </w:tcPr>
          <w:p w14:paraId="1C66D80E">
            <w:pPr>
              <w:rPr>
                <w:rFonts w:ascii="Arial"/>
                <w:sz w:val="21"/>
              </w:rPr>
            </w:pPr>
          </w:p>
        </w:tc>
      </w:tr>
      <w:tr w14:paraId="00F9F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50" w:type="dxa"/>
            <w:vMerge w:val="continue"/>
            <w:tcBorders>
              <w:top w:val="nil"/>
              <w:bottom w:val="nil"/>
            </w:tcBorders>
            <w:textDirection w:val="tbRlV"/>
            <w:vAlign w:val="top"/>
          </w:tcPr>
          <w:p w14:paraId="07BC4505">
            <w:pPr>
              <w:rPr>
                <w:rFonts w:ascii="Arial"/>
                <w:sz w:val="21"/>
              </w:rPr>
            </w:pPr>
          </w:p>
        </w:tc>
        <w:tc>
          <w:tcPr>
            <w:tcW w:w="597" w:type="dxa"/>
            <w:vAlign w:val="top"/>
          </w:tcPr>
          <w:p w14:paraId="1CA0D7BB">
            <w:pPr>
              <w:spacing w:line="253" w:lineRule="auto"/>
              <w:rPr>
                <w:rFonts w:ascii="Arial"/>
                <w:sz w:val="21"/>
              </w:rPr>
            </w:pPr>
          </w:p>
          <w:p w14:paraId="73A85086">
            <w:pPr>
              <w:spacing w:line="253" w:lineRule="auto"/>
              <w:rPr>
                <w:rFonts w:ascii="Arial"/>
                <w:sz w:val="21"/>
              </w:rPr>
            </w:pPr>
          </w:p>
          <w:p w14:paraId="149F858A">
            <w:pPr>
              <w:pStyle w:val="21"/>
              <w:spacing w:before="65" w:line="189" w:lineRule="auto"/>
              <w:ind w:left="111" w:leftChars="0"/>
              <w:rPr>
                <w:rFonts w:ascii="宋体" w:hAnsi="宋体" w:eastAsia="宋体" w:cs="宋体"/>
                <w:snapToGrid w:val="0"/>
                <w:color w:val="000000"/>
                <w:kern w:val="0"/>
                <w:sz w:val="20"/>
                <w:szCs w:val="20"/>
                <w:lang w:val="en-US" w:eastAsia="en-US" w:bidi="ar-SA"/>
              </w:rPr>
            </w:pPr>
            <w:r>
              <w:rPr>
                <w:sz w:val="20"/>
                <w:szCs w:val="20"/>
              </w:rPr>
              <w:t>8</w:t>
            </w:r>
          </w:p>
        </w:tc>
        <w:tc>
          <w:tcPr>
            <w:tcW w:w="4735" w:type="dxa"/>
            <w:vAlign w:val="top"/>
          </w:tcPr>
          <w:p w14:paraId="38D427DE">
            <w:pPr>
              <w:pStyle w:val="21"/>
              <w:spacing w:before="164" w:line="309" w:lineRule="auto"/>
              <w:ind w:left="111" w:right="107" w:firstLine="2"/>
              <w:rPr>
                <w:sz w:val="20"/>
                <w:szCs w:val="20"/>
              </w:rPr>
            </w:pPr>
            <w:r>
              <w:rPr>
                <w:spacing w:val="8"/>
                <w:sz w:val="20"/>
                <w:szCs w:val="20"/>
              </w:rPr>
              <w:t>企业信誉（三大网站信用查询）及投标人无重大违</w:t>
            </w:r>
            <w:r>
              <w:rPr>
                <w:spacing w:val="9"/>
                <w:sz w:val="20"/>
                <w:szCs w:val="20"/>
              </w:rPr>
              <w:t>法记录声明是否满足招标文件的要求</w:t>
            </w:r>
          </w:p>
        </w:tc>
        <w:tc>
          <w:tcPr>
            <w:tcW w:w="933" w:type="dxa"/>
            <w:vAlign w:val="top"/>
          </w:tcPr>
          <w:p w14:paraId="150A9771">
            <w:pPr>
              <w:rPr>
                <w:rFonts w:ascii="Arial"/>
                <w:sz w:val="21"/>
              </w:rPr>
            </w:pPr>
          </w:p>
        </w:tc>
        <w:tc>
          <w:tcPr>
            <w:tcW w:w="960" w:type="dxa"/>
            <w:vAlign w:val="top"/>
          </w:tcPr>
          <w:p w14:paraId="5A09EC77">
            <w:pPr>
              <w:rPr>
                <w:rFonts w:ascii="Arial"/>
                <w:sz w:val="21"/>
              </w:rPr>
            </w:pPr>
          </w:p>
        </w:tc>
        <w:tc>
          <w:tcPr>
            <w:tcW w:w="945" w:type="dxa"/>
            <w:vAlign w:val="top"/>
          </w:tcPr>
          <w:p w14:paraId="1A365776">
            <w:pPr>
              <w:rPr>
                <w:rFonts w:ascii="Arial"/>
                <w:sz w:val="21"/>
              </w:rPr>
            </w:pPr>
          </w:p>
        </w:tc>
        <w:tc>
          <w:tcPr>
            <w:tcW w:w="990" w:type="dxa"/>
            <w:vAlign w:val="top"/>
          </w:tcPr>
          <w:p w14:paraId="0868D6D0">
            <w:pPr>
              <w:rPr>
                <w:rFonts w:ascii="Arial"/>
                <w:sz w:val="21"/>
              </w:rPr>
            </w:pPr>
          </w:p>
        </w:tc>
      </w:tr>
      <w:tr w14:paraId="6089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50" w:type="dxa"/>
            <w:vMerge w:val="continue"/>
            <w:tcBorders>
              <w:top w:val="nil"/>
              <w:bottom w:val="nil"/>
            </w:tcBorders>
            <w:textDirection w:val="tbRlV"/>
            <w:vAlign w:val="top"/>
          </w:tcPr>
          <w:p w14:paraId="7600D777">
            <w:pPr>
              <w:rPr>
                <w:rFonts w:ascii="Arial"/>
                <w:sz w:val="21"/>
              </w:rPr>
            </w:pPr>
          </w:p>
        </w:tc>
        <w:tc>
          <w:tcPr>
            <w:tcW w:w="597" w:type="dxa"/>
            <w:vAlign w:val="top"/>
          </w:tcPr>
          <w:p w14:paraId="70E99A24">
            <w:pPr>
              <w:pStyle w:val="21"/>
              <w:spacing w:before="65" w:line="189" w:lineRule="auto"/>
              <w:ind w:left="111" w:leftChars="0"/>
              <w:rPr>
                <w:rFonts w:ascii="宋体" w:hAnsi="宋体" w:eastAsia="宋体" w:cs="宋体"/>
                <w:snapToGrid w:val="0"/>
                <w:color w:val="000000"/>
                <w:kern w:val="0"/>
                <w:sz w:val="20"/>
                <w:szCs w:val="20"/>
                <w:lang w:val="en-US" w:eastAsia="en-US" w:bidi="ar-SA"/>
              </w:rPr>
            </w:pPr>
            <w:r>
              <w:rPr>
                <w:sz w:val="20"/>
                <w:szCs w:val="20"/>
              </w:rPr>
              <w:t>9</w:t>
            </w:r>
          </w:p>
        </w:tc>
        <w:tc>
          <w:tcPr>
            <w:tcW w:w="4735" w:type="dxa"/>
            <w:vAlign w:val="top"/>
          </w:tcPr>
          <w:p w14:paraId="6CF5286C">
            <w:pPr>
              <w:pStyle w:val="21"/>
              <w:spacing w:before="65" w:line="227" w:lineRule="auto"/>
              <w:ind w:left="113"/>
              <w:rPr>
                <w:sz w:val="20"/>
                <w:szCs w:val="20"/>
              </w:rPr>
            </w:pPr>
            <w:r>
              <w:rPr>
                <w:spacing w:val="9"/>
                <w:sz w:val="20"/>
                <w:szCs w:val="20"/>
              </w:rPr>
              <w:t>投标文件</w:t>
            </w:r>
            <w:r>
              <w:rPr>
                <w:rFonts w:hint="eastAsia"/>
                <w:spacing w:val="9"/>
                <w:sz w:val="20"/>
                <w:szCs w:val="20"/>
                <w:lang w:val="en-US" w:eastAsia="zh-CN"/>
              </w:rPr>
              <w:t>未</w:t>
            </w:r>
            <w:r>
              <w:rPr>
                <w:spacing w:val="9"/>
                <w:sz w:val="20"/>
                <w:szCs w:val="20"/>
              </w:rPr>
              <w:t>有采购人不能接受的条件</w:t>
            </w:r>
          </w:p>
        </w:tc>
        <w:tc>
          <w:tcPr>
            <w:tcW w:w="933" w:type="dxa"/>
            <w:vAlign w:val="top"/>
          </w:tcPr>
          <w:p w14:paraId="7F315D08">
            <w:pPr>
              <w:rPr>
                <w:rFonts w:ascii="Arial"/>
                <w:sz w:val="21"/>
              </w:rPr>
            </w:pPr>
          </w:p>
        </w:tc>
        <w:tc>
          <w:tcPr>
            <w:tcW w:w="960" w:type="dxa"/>
            <w:vAlign w:val="top"/>
          </w:tcPr>
          <w:p w14:paraId="322B1EAE">
            <w:pPr>
              <w:rPr>
                <w:rFonts w:ascii="Arial"/>
                <w:sz w:val="21"/>
              </w:rPr>
            </w:pPr>
          </w:p>
        </w:tc>
        <w:tc>
          <w:tcPr>
            <w:tcW w:w="945" w:type="dxa"/>
            <w:vAlign w:val="top"/>
          </w:tcPr>
          <w:p w14:paraId="1C948584">
            <w:pPr>
              <w:rPr>
                <w:rFonts w:ascii="Arial"/>
                <w:sz w:val="21"/>
              </w:rPr>
            </w:pPr>
          </w:p>
        </w:tc>
        <w:tc>
          <w:tcPr>
            <w:tcW w:w="990" w:type="dxa"/>
            <w:vAlign w:val="top"/>
          </w:tcPr>
          <w:p w14:paraId="3FE7A2DD">
            <w:pPr>
              <w:rPr>
                <w:rFonts w:ascii="Arial"/>
                <w:sz w:val="21"/>
              </w:rPr>
            </w:pPr>
          </w:p>
        </w:tc>
      </w:tr>
      <w:tr w14:paraId="683A2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50" w:type="dxa"/>
            <w:vMerge w:val="continue"/>
            <w:tcBorders>
              <w:top w:val="nil"/>
              <w:bottom w:val="nil"/>
            </w:tcBorders>
            <w:textDirection w:val="tbRlV"/>
            <w:vAlign w:val="top"/>
          </w:tcPr>
          <w:p w14:paraId="39AAA0CB">
            <w:pPr>
              <w:rPr>
                <w:rFonts w:ascii="Arial"/>
                <w:sz w:val="21"/>
              </w:rPr>
            </w:pPr>
          </w:p>
        </w:tc>
        <w:tc>
          <w:tcPr>
            <w:tcW w:w="597" w:type="dxa"/>
            <w:vAlign w:val="top"/>
          </w:tcPr>
          <w:p w14:paraId="58260970">
            <w:pPr>
              <w:pStyle w:val="21"/>
              <w:spacing w:before="177" w:line="189" w:lineRule="auto"/>
              <w:ind w:left="126" w:leftChars="0"/>
              <w:rPr>
                <w:rFonts w:ascii="宋体" w:hAnsi="宋体" w:eastAsia="宋体" w:cs="宋体"/>
                <w:snapToGrid w:val="0"/>
                <w:color w:val="000000"/>
                <w:kern w:val="0"/>
                <w:sz w:val="20"/>
                <w:szCs w:val="20"/>
                <w:lang w:val="en-US" w:eastAsia="en-US" w:bidi="ar-SA"/>
              </w:rPr>
            </w:pPr>
            <w:r>
              <w:rPr>
                <w:sz w:val="20"/>
                <w:szCs w:val="20"/>
              </w:rPr>
              <w:t>1</w:t>
            </w:r>
            <w:r>
              <w:rPr>
                <w:rFonts w:hint="eastAsia"/>
                <w:sz w:val="20"/>
                <w:szCs w:val="20"/>
                <w:lang w:val="en-US" w:eastAsia="zh-CN"/>
              </w:rPr>
              <w:t>0</w:t>
            </w:r>
          </w:p>
        </w:tc>
        <w:tc>
          <w:tcPr>
            <w:tcW w:w="4735" w:type="dxa"/>
            <w:vAlign w:val="top"/>
          </w:tcPr>
          <w:p w14:paraId="0162FD52">
            <w:pPr>
              <w:pStyle w:val="21"/>
              <w:spacing w:before="65" w:line="228" w:lineRule="auto"/>
              <w:ind w:left="114"/>
              <w:rPr>
                <w:sz w:val="20"/>
                <w:szCs w:val="20"/>
              </w:rPr>
            </w:pPr>
            <w:r>
              <w:rPr>
                <w:spacing w:val="9"/>
                <w:sz w:val="20"/>
                <w:szCs w:val="20"/>
              </w:rPr>
              <w:t>是否满足招标文件实质性要求的其他情形</w:t>
            </w:r>
          </w:p>
        </w:tc>
        <w:tc>
          <w:tcPr>
            <w:tcW w:w="933" w:type="dxa"/>
            <w:vAlign w:val="top"/>
          </w:tcPr>
          <w:p w14:paraId="7549876B">
            <w:pPr>
              <w:rPr>
                <w:rFonts w:ascii="Arial"/>
                <w:sz w:val="21"/>
              </w:rPr>
            </w:pPr>
          </w:p>
        </w:tc>
        <w:tc>
          <w:tcPr>
            <w:tcW w:w="960" w:type="dxa"/>
            <w:vAlign w:val="top"/>
          </w:tcPr>
          <w:p w14:paraId="14FBEB4A">
            <w:pPr>
              <w:rPr>
                <w:rFonts w:ascii="Arial"/>
                <w:sz w:val="21"/>
              </w:rPr>
            </w:pPr>
          </w:p>
        </w:tc>
        <w:tc>
          <w:tcPr>
            <w:tcW w:w="945" w:type="dxa"/>
            <w:vAlign w:val="top"/>
          </w:tcPr>
          <w:p w14:paraId="531B9EFB">
            <w:pPr>
              <w:rPr>
                <w:rFonts w:ascii="Arial"/>
                <w:sz w:val="21"/>
              </w:rPr>
            </w:pPr>
          </w:p>
        </w:tc>
        <w:tc>
          <w:tcPr>
            <w:tcW w:w="990" w:type="dxa"/>
            <w:vAlign w:val="top"/>
          </w:tcPr>
          <w:p w14:paraId="0CE59ABF">
            <w:pPr>
              <w:rPr>
                <w:rFonts w:ascii="Arial"/>
                <w:sz w:val="21"/>
              </w:rPr>
            </w:pPr>
          </w:p>
        </w:tc>
      </w:tr>
      <w:tr w14:paraId="15E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50" w:type="dxa"/>
            <w:vMerge w:val="continue"/>
            <w:tcBorders>
              <w:top w:val="nil"/>
            </w:tcBorders>
            <w:textDirection w:val="tbRlV"/>
            <w:vAlign w:val="top"/>
          </w:tcPr>
          <w:p w14:paraId="12A559A7">
            <w:pPr>
              <w:rPr>
                <w:rFonts w:ascii="Arial"/>
                <w:sz w:val="21"/>
              </w:rPr>
            </w:pPr>
          </w:p>
        </w:tc>
        <w:tc>
          <w:tcPr>
            <w:tcW w:w="597" w:type="dxa"/>
            <w:vAlign w:val="top"/>
          </w:tcPr>
          <w:p w14:paraId="7484A7B2">
            <w:pPr>
              <w:pStyle w:val="21"/>
              <w:spacing w:before="176" w:line="189" w:lineRule="auto"/>
              <w:ind w:left="126"/>
              <w:rPr>
                <w:rFonts w:ascii="宋体" w:hAnsi="宋体" w:eastAsia="宋体" w:cs="宋体"/>
                <w:snapToGrid w:val="0"/>
                <w:color w:val="000000"/>
                <w:kern w:val="0"/>
                <w:sz w:val="20"/>
                <w:szCs w:val="20"/>
                <w:lang w:val="en-US" w:eastAsia="en-US" w:bidi="ar-SA"/>
              </w:rPr>
            </w:pPr>
            <w:r>
              <w:rPr>
                <w:sz w:val="20"/>
                <w:szCs w:val="20"/>
              </w:rPr>
              <w:t>1</w:t>
            </w:r>
            <w:r>
              <w:rPr>
                <w:rFonts w:hint="eastAsia"/>
                <w:sz w:val="20"/>
                <w:szCs w:val="20"/>
                <w:lang w:val="en-US" w:eastAsia="zh-CN"/>
              </w:rPr>
              <w:t>1</w:t>
            </w:r>
          </w:p>
        </w:tc>
        <w:tc>
          <w:tcPr>
            <w:tcW w:w="4735" w:type="dxa"/>
            <w:vAlign w:val="top"/>
          </w:tcPr>
          <w:p w14:paraId="2B6ECE4E">
            <w:pPr>
              <w:pStyle w:val="21"/>
              <w:spacing w:before="65" w:line="228" w:lineRule="auto"/>
              <w:ind w:left="114"/>
              <w:rPr>
                <w:sz w:val="20"/>
                <w:szCs w:val="20"/>
              </w:rPr>
            </w:pPr>
            <w:r>
              <w:rPr>
                <w:spacing w:val="9"/>
                <w:sz w:val="20"/>
                <w:szCs w:val="20"/>
              </w:rPr>
              <w:t>是否符合法律、法规有关投标人要求</w:t>
            </w:r>
          </w:p>
        </w:tc>
        <w:tc>
          <w:tcPr>
            <w:tcW w:w="933" w:type="dxa"/>
            <w:vAlign w:val="top"/>
          </w:tcPr>
          <w:p w14:paraId="2E950794">
            <w:pPr>
              <w:rPr>
                <w:rFonts w:ascii="Arial"/>
                <w:sz w:val="21"/>
              </w:rPr>
            </w:pPr>
          </w:p>
        </w:tc>
        <w:tc>
          <w:tcPr>
            <w:tcW w:w="960" w:type="dxa"/>
            <w:vAlign w:val="top"/>
          </w:tcPr>
          <w:p w14:paraId="05C8A57A">
            <w:pPr>
              <w:rPr>
                <w:rFonts w:ascii="Arial"/>
                <w:sz w:val="21"/>
              </w:rPr>
            </w:pPr>
          </w:p>
        </w:tc>
        <w:tc>
          <w:tcPr>
            <w:tcW w:w="945" w:type="dxa"/>
            <w:vAlign w:val="top"/>
          </w:tcPr>
          <w:p w14:paraId="7C0B36B2">
            <w:pPr>
              <w:rPr>
                <w:rFonts w:ascii="Arial"/>
                <w:sz w:val="21"/>
              </w:rPr>
            </w:pPr>
          </w:p>
        </w:tc>
        <w:tc>
          <w:tcPr>
            <w:tcW w:w="990" w:type="dxa"/>
            <w:vAlign w:val="top"/>
          </w:tcPr>
          <w:p w14:paraId="54FD9C06">
            <w:pPr>
              <w:rPr>
                <w:rFonts w:ascii="Arial"/>
                <w:sz w:val="21"/>
              </w:rPr>
            </w:pPr>
          </w:p>
        </w:tc>
      </w:tr>
      <w:tr w14:paraId="4CA26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810" w:type="dxa"/>
            <w:gridSpan w:val="7"/>
            <w:vAlign w:val="top"/>
          </w:tcPr>
          <w:p w14:paraId="2338B180">
            <w:pPr>
              <w:pStyle w:val="21"/>
              <w:spacing w:before="142" w:line="301" w:lineRule="auto"/>
              <w:ind w:left="116" w:right="166" w:rightChars="0" w:hanging="1"/>
              <w:rPr>
                <w:sz w:val="20"/>
                <w:szCs w:val="20"/>
              </w:rPr>
            </w:pPr>
            <w:r>
              <w:rPr>
                <w:spacing w:val="3"/>
                <w:sz w:val="20"/>
                <w:szCs w:val="20"/>
              </w:rPr>
              <w:t>评标委员会成员签名：</w:t>
            </w:r>
            <w:r>
              <w:rPr>
                <w:spacing w:val="6"/>
                <w:sz w:val="20"/>
                <w:szCs w:val="20"/>
              </w:rPr>
              <w:t xml:space="preserve"> </w:t>
            </w:r>
            <w:r>
              <w:rPr>
                <w:rFonts w:hint="eastAsia"/>
                <w:spacing w:val="6"/>
                <w:sz w:val="20"/>
                <w:szCs w:val="20"/>
                <w:lang w:val="en-US" w:eastAsia="zh-CN"/>
              </w:rPr>
              <w:t xml:space="preserve">                             </w:t>
            </w:r>
            <w:r>
              <w:rPr>
                <w:spacing w:val="-2"/>
                <w:sz w:val="20"/>
                <w:szCs w:val="20"/>
              </w:rPr>
              <w:t>年</w:t>
            </w:r>
            <w:r>
              <w:rPr>
                <w:rFonts w:hint="eastAsia"/>
                <w:spacing w:val="-2"/>
                <w:sz w:val="20"/>
                <w:szCs w:val="20"/>
                <w:lang w:val="en-US" w:eastAsia="zh-CN"/>
              </w:rPr>
              <w:t xml:space="preserve">   </w:t>
            </w:r>
            <w:r>
              <w:rPr>
                <w:spacing w:val="-2"/>
                <w:sz w:val="20"/>
                <w:szCs w:val="20"/>
              </w:rPr>
              <w:t>月</w:t>
            </w:r>
            <w:r>
              <w:rPr>
                <w:rFonts w:hint="eastAsia"/>
                <w:spacing w:val="-2"/>
                <w:sz w:val="20"/>
                <w:szCs w:val="20"/>
                <w:lang w:val="en-US" w:eastAsia="zh-CN"/>
              </w:rPr>
              <w:t xml:space="preserve">  </w:t>
            </w:r>
            <w:r>
              <w:rPr>
                <w:spacing w:val="17"/>
                <w:sz w:val="20"/>
                <w:szCs w:val="20"/>
              </w:rPr>
              <w:t xml:space="preserve"> </w:t>
            </w:r>
            <w:r>
              <w:rPr>
                <w:spacing w:val="-2"/>
                <w:sz w:val="20"/>
                <w:szCs w:val="20"/>
              </w:rPr>
              <w:t>日</w:t>
            </w:r>
          </w:p>
        </w:tc>
      </w:tr>
      <w:tr w14:paraId="587E1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810" w:type="dxa"/>
            <w:gridSpan w:val="7"/>
            <w:vAlign w:val="top"/>
          </w:tcPr>
          <w:p w14:paraId="45B0ADCD">
            <w:pPr>
              <w:pStyle w:val="21"/>
              <w:spacing w:before="144" w:line="323" w:lineRule="auto"/>
              <w:ind w:left="117" w:right="108"/>
              <w:jc w:val="both"/>
              <w:rPr>
                <w:sz w:val="20"/>
                <w:szCs w:val="20"/>
              </w:rPr>
            </w:pPr>
            <w:r>
              <w:rPr>
                <w:spacing w:val="9"/>
                <w:sz w:val="20"/>
                <w:szCs w:val="20"/>
              </w:rPr>
              <w:t>备注：如果投标文件中有一项未通过上述审查标准，评标委员会将认定整个投</w:t>
            </w:r>
            <w:r>
              <w:rPr>
                <w:spacing w:val="8"/>
                <w:sz w:val="20"/>
                <w:szCs w:val="20"/>
              </w:rPr>
              <w:t>标文件不响应招标文件而予以投标</w:t>
            </w:r>
            <w:r>
              <w:rPr>
                <w:sz w:val="20"/>
                <w:szCs w:val="20"/>
              </w:rPr>
              <w:t xml:space="preserve"> </w:t>
            </w:r>
            <w:r>
              <w:rPr>
                <w:spacing w:val="9"/>
                <w:sz w:val="20"/>
                <w:szCs w:val="20"/>
              </w:rPr>
              <w:t>无效，并且不允许投标人通过修改或撤销其不符合要求的差异或保留，使之成为</w:t>
            </w:r>
            <w:r>
              <w:rPr>
                <w:spacing w:val="8"/>
                <w:sz w:val="20"/>
                <w:szCs w:val="20"/>
              </w:rPr>
              <w:t>具有响应性的投标。通过重大偏</w:t>
            </w:r>
            <w:r>
              <w:rPr>
                <w:sz w:val="20"/>
                <w:szCs w:val="20"/>
              </w:rPr>
              <w:t xml:space="preserve"> </w:t>
            </w:r>
            <w:r>
              <w:rPr>
                <w:spacing w:val="5"/>
                <w:sz w:val="20"/>
                <w:szCs w:val="20"/>
              </w:rPr>
              <w:t>差审核的以“</w:t>
            </w:r>
            <w:r>
              <w:rPr>
                <w:spacing w:val="-40"/>
                <w:sz w:val="20"/>
                <w:szCs w:val="20"/>
              </w:rPr>
              <w:t xml:space="preserve"> </w:t>
            </w:r>
            <w:r>
              <w:rPr>
                <w:spacing w:val="5"/>
                <w:sz w:val="20"/>
                <w:szCs w:val="20"/>
              </w:rPr>
              <w:t>√</w:t>
            </w:r>
            <w:r>
              <w:rPr>
                <w:spacing w:val="-70"/>
                <w:sz w:val="20"/>
                <w:szCs w:val="20"/>
              </w:rPr>
              <w:t xml:space="preserve"> </w:t>
            </w:r>
            <w:r>
              <w:rPr>
                <w:spacing w:val="5"/>
                <w:sz w:val="20"/>
                <w:szCs w:val="20"/>
              </w:rPr>
              <w:t>”标记；未通过重大偏差审核的以</w:t>
            </w:r>
            <w:r>
              <w:rPr>
                <w:spacing w:val="4"/>
                <w:sz w:val="20"/>
                <w:szCs w:val="20"/>
              </w:rPr>
              <w:t>“</w:t>
            </w:r>
            <w:r>
              <w:rPr>
                <w:spacing w:val="-63"/>
                <w:sz w:val="20"/>
                <w:szCs w:val="20"/>
              </w:rPr>
              <w:t xml:space="preserve"> </w:t>
            </w:r>
            <w:r>
              <w:rPr>
                <w:spacing w:val="4"/>
                <w:sz w:val="20"/>
                <w:szCs w:val="20"/>
              </w:rPr>
              <w:t>×</w:t>
            </w:r>
            <w:r>
              <w:rPr>
                <w:spacing w:val="-70"/>
                <w:sz w:val="20"/>
                <w:szCs w:val="20"/>
              </w:rPr>
              <w:t xml:space="preserve"> </w:t>
            </w:r>
            <w:r>
              <w:rPr>
                <w:spacing w:val="4"/>
                <w:sz w:val="20"/>
                <w:szCs w:val="20"/>
              </w:rPr>
              <w:t>”标记，并予以说明。</w:t>
            </w:r>
          </w:p>
        </w:tc>
      </w:tr>
    </w:tbl>
    <w:p w14:paraId="3D3E20B3">
      <w:pPr>
        <w:rPr>
          <w:rFonts w:ascii="Arial"/>
          <w:sz w:val="21"/>
        </w:rPr>
      </w:pPr>
    </w:p>
    <w:p w14:paraId="4320A556">
      <w:pPr>
        <w:rPr>
          <w:rFonts w:ascii="Arial" w:hAnsi="Arial" w:eastAsia="Arial" w:cs="Arial"/>
          <w:sz w:val="21"/>
          <w:szCs w:val="21"/>
        </w:rPr>
        <w:sectPr>
          <w:pgSz w:w="11906" w:h="16839"/>
          <w:pgMar w:top="1431" w:right="473" w:bottom="0" w:left="967" w:header="0" w:footer="1304" w:gutter="0"/>
          <w:pgNumType w:fmt="decimal"/>
          <w:cols w:space="720" w:num="1"/>
        </w:sectPr>
      </w:pPr>
    </w:p>
    <w:p w14:paraId="6DAD1C68">
      <w:pPr>
        <w:pStyle w:val="7"/>
        <w:spacing w:before="87" w:line="220" w:lineRule="auto"/>
        <w:ind w:left="406"/>
        <w:outlineLvl w:val="1"/>
      </w:pPr>
      <w:r>
        <w:rPr>
          <w:b/>
          <w:bCs/>
          <w:spacing w:val="-4"/>
        </w:rPr>
        <w:t>二、评审标准及办法</w:t>
      </w:r>
    </w:p>
    <w:p w14:paraId="32CA2146">
      <w:pPr>
        <w:pStyle w:val="7"/>
        <w:spacing w:before="66" w:line="221" w:lineRule="auto"/>
        <w:ind w:left="400"/>
      </w:pPr>
      <w:r>
        <w:rPr>
          <w:spacing w:val="-1"/>
        </w:rPr>
        <w:t>评审标准：综合评分法</w:t>
      </w:r>
    </w:p>
    <w:p w14:paraId="07A235ED">
      <w:pPr>
        <w:pStyle w:val="7"/>
        <w:spacing w:before="65" w:line="211" w:lineRule="auto"/>
        <w:ind w:left="400"/>
      </w:pPr>
      <w:r>
        <w:rPr>
          <w:spacing w:val="-1"/>
        </w:rPr>
        <w:t>评分标准：经济标部分评审标准</w:t>
      </w:r>
    </w:p>
    <w:tbl>
      <w:tblPr>
        <w:tblStyle w:val="20"/>
        <w:tblW w:w="9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1"/>
        <w:gridCol w:w="868"/>
        <w:gridCol w:w="4202"/>
        <w:gridCol w:w="858"/>
        <w:gridCol w:w="800"/>
        <w:gridCol w:w="800"/>
        <w:gridCol w:w="804"/>
      </w:tblGrid>
      <w:tr w14:paraId="21065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71" w:type="dxa"/>
            <w:vAlign w:val="top"/>
          </w:tcPr>
          <w:p w14:paraId="40F03F79">
            <w:pPr>
              <w:pStyle w:val="21"/>
              <w:spacing w:before="224" w:line="326" w:lineRule="auto"/>
              <w:ind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评审因素</w:t>
            </w:r>
          </w:p>
        </w:tc>
        <w:tc>
          <w:tcPr>
            <w:tcW w:w="868" w:type="dxa"/>
            <w:vAlign w:val="top"/>
          </w:tcPr>
          <w:p w14:paraId="736F7920">
            <w:pPr>
              <w:pStyle w:val="21"/>
              <w:spacing w:before="224" w:line="326" w:lineRule="auto"/>
              <w:ind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分值</w:t>
            </w:r>
          </w:p>
        </w:tc>
        <w:tc>
          <w:tcPr>
            <w:tcW w:w="4202" w:type="dxa"/>
            <w:vAlign w:val="top"/>
          </w:tcPr>
          <w:p w14:paraId="5BE8AA65">
            <w:pPr>
              <w:pStyle w:val="21"/>
              <w:spacing w:before="224" w:line="326" w:lineRule="auto"/>
              <w:ind w:left="551"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评分标准</w:t>
            </w:r>
          </w:p>
        </w:tc>
        <w:tc>
          <w:tcPr>
            <w:tcW w:w="858" w:type="dxa"/>
            <w:vAlign w:val="top"/>
          </w:tcPr>
          <w:p w14:paraId="5231E623">
            <w:pPr>
              <w:pStyle w:val="21"/>
              <w:spacing w:before="224" w:line="326" w:lineRule="auto"/>
              <w:ind w:left="551"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投标 人 1</w:t>
            </w:r>
          </w:p>
        </w:tc>
        <w:tc>
          <w:tcPr>
            <w:tcW w:w="800" w:type="dxa"/>
            <w:vAlign w:val="top"/>
          </w:tcPr>
          <w:p w14:paraId="2233A6EF">
            <w:pPr>
              <w:pStyle w:val="21"/>
              <w:spacing w:before="224" w:line="326" w:lineRule="auto"/>
              <w:ind w:left="551"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投标人2</w:t>
            </w:r>
          </w:p>
        </w:tc>
        <w:tc>
          <w:tcPr>
            <w:tcW w:w="800" w:type="dxa"/>
            <w:vAlign w:val="top"/>
          </w:tcPr>
          <w:p w14:paraId="4A57CB64">
            <w:pPr>
              <w:pStyle w:val="21"/>
              <w:spacing w:before="224" w:line="326" w:lineRule="auto"/>
              <w:ind w:left="551"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投标人3</w:t>
            </w:r>
          </w:p>
        </w:tc>
        <w:tc>
          <w:tcPr>
            <w:tcW w:w="804" w:type="dxa"/>
            <w:vAlign w:val="top"/>
          </w:tcPr>
          <w:p w14:paraId="72B47BB1">
            <w:pPr>
              <w:pStyle w:val="21"/>
              <w:spacing w:before="224" w:line="326" w:lineRule="auto"/>
              <w:ind w:left="551" w:right="48"/>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投标人n</w:t>
            </w:r>
          </w:p>
        </w:tc>
      </w:tr>
      <w:tr w14:paraId="6364C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1071" w:type="dxa"/>
            <w:vAlign w:val="top"/>
          </w:tcPr>
          <w:p w14:paraId="10EFF9C3">
            <w:pPr>
              <w:spacing w:line="295" w:lineRule="auto"/>
              <w:jc w:val="center"/>
              <w:rPr>
                <w:rFonts w:ascii="宋体" w:hAnsi="宋体" w:eastAsia="宋体" w:cs="宋体"/>
                <w:snapToGrid w:val="0"/>
                <w:color w:val="000000"/>
                <w:spacing w:val="-7"/>
                <w:kern w:val="0"/>
                <w:sz w:val="22"/>
                <w:szCs w:val="22"/>
                <w:lang w:val="en-US" w:eastAsia="en-US" w:bidi="ar-SA"/>
              </w:rPr>
            </w:pPr>
          </w:p>
          <w:p w14:paraId="18B310DA">
            <w:pPr>
              <w:pStyle w:val="21"/>
              <w:spacing w:before="91" w:line="255" w:lineRule="auto"/>
              <w:ind w:right="106"/>
              <w:jc w:val="center"/>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价格部 分（20 分）</w:t>
            </w:r>
          </w:p>
        </w:tc>
        <w:tc>
          <w:tcPr>
            <w:tcW w:w="868" w:type="dxa"/>
            <w:vAlign w:val="top"/>
          </w:tcPr>
          <w:p w14:paraId="0155138F">
            <w:pPr>
              <w:spacing w:line="270" w:lineRule="auto"/>
              <w:jc w:val="center"/>
              <w:rPr>
                <w:rFonts w:ascii="宋体" w:hAnsi="宋体" w:eastAsia="宋体" w:cs="宋体"/>
                <w:snapToGrid w:val="0"/>
                <w:color w:val="000000"/>
                <w:spacing w:val="-7"/>
                <w:kern w:val="0"/>
                <w:sz w:val="22"/>
                <w:szCs w:val="22"/>
                <w:lang w:val="en-US" w:eastAsia="en-US" w:bidi="ar-SA"/>
              </w:rPr>
            </w:pPr>
          </w:p>
          <w:p w14:paraId="674A2E6C">
            <w:pPr>
              <w:spacing w:line="271" w:lineRule="auto"/>
              <w:jc w:val="center"/>
              <w:rPr>
                <w:rFonts w:ascii="宋体" w:hAnsi="宋体" w:eastAsia="宋体" w:cs="宋体"/>
                <w:snapToGrid w:val="0"/>
                <w:color w:val="000000"/>
                <w:spacing w:val="-7"/>
                <w:kern w:val="0"/>
                <w:sz w:val="22"/>
                <w:szCs w:val="22"/>
                <w:lang w:val="en-US" w:eastAsia="en-US" w:bidi="ar-SA"/>
              </w:rPr>
            </w:pPr>
          </w:p>
          <w:p w14:paraId="3B43F2C3">
            <w:pPr>
              <w:spacing w:line="271" w:lineRule="auto"/>
              <w:jc w:val="center"/>
              <w:rPr>
                <w:rFonts w:ascii="宋体" w:hAnsi="宋体" w:eastAsia="宋体" w:cs="宋体"/>
                <w:snapToGrid w:val="0"/>
                <w:color w:val="000000"/>
                <w:spacing w:val="-7"/>
                <w:kern w:val="0"/>
                <w:sz w:val="22"/>
                <w:szCs w:val="22"/>
                <w:lang w:val="en-US" w:eastAsia="en-US" w:bidi="ar-SA"/>
              </w:rPr>
            </w:pPr>
          </w:p>
          <w:p w14:paraId="66A4AD76">
            <w:pPr>
              <w:pStyle w:val="21"/>
              <w:spacing w:before="91" w:line="183" w:lineRule="auto"/>
              <w:jc w:val="center"/>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20</w:t>
            </w:r>
          </w:p>
        </w:tc>
        <w:tc>
          <w:tcPr>
            <w:tcW w:w="4202" w:type="dxa"/>
            <w:vAlign w:val="top"/>
          </w:tcPr>
          <w:p w14:paraId="64FEAD58">
            <w:pPr>
              <w:pStyle w:val="21"/>
              <w:spacing w:before="80" w:line="257" w:lineRule="auto"/>
              <w:ind w:right="102"/>
              <w:jc w:val="both"/>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采用低价优先法计算，即满足招标文件要求且投标价格最低的投标报价为评标基准价，其价 格分为满分。</w:t>
            </w:r>
          </w:p>
          <w:p w14:paraId="0735A201">
            <w:pPr>
              <w:pStyle w:val="21"/>
              <w:spacing w:before="44" w:line="252" w:lineRule="auto"/>
              <w:ind w:right="102"/>
              <w:jc w:val="both"/>
              <w:rPr>
                <w:rFonts w:ascii="宋体" w:hAnsi="宋体" w:eastAsia="宋体" w:cs="宋体"/>
                <w:snapToGrid w:val="0"/>
                <w:color w:val="000000"/>
                <w:spacing w:val="-7"/>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其他投标人的价格分统一按照下列公式计算:投标报价得分 =( 评标基准价/投标报价)×20%×100（小数点保留两位）</w:t>
            </w:r>
          </w:p>
        </w:tc>
        <w:tc>
          <w:tcPr>
            <w:tcW w:w="858" w:type="dxa"/>
            <w:vAlign w:val="top"/>
          </w:tcPr>
          <w:p w14:paraId="268FA06E">
            <w:pPr>
              <w:rPr>
                <w:rFonts w:ascii="宋体" w:hAnsi="宋体" w:eastAsia="宋体" w:cs="宋体"/>
                <w:snapToGrid w:val="0"/>
                <w:color w:val="000000"/>
                <w:spacing w:val="-7"/>
                <w:kern w:val="0"/>
                <w:sz w:val="22"/>
                <w:szCs w:val="22"/>
                <w:lang w:val="en-US" w:eastAsia="en-US" w:bidi="ar-SA"/>
              </w:rPr>
            </w:pPr>
          </w:p>
        </w:tc>
        <w:tc>
          <w:tcPr>
            <w:tcW w:w="800" w:type="dxa"/>
            <w:vAlign w:val="top"/>
          </w:tcPr>
          <w:p w14:paraId="613CE3BE">
            <w:pPr>
              <w:rPr>
                <w:rFonts w:ascii="宋体" w:hAnsi="宋体" w:eastAsia="宋体" w:cs="宋体"/>
                <w:snapToGrid w:val="0"/>
                <w:color w:val="000000"/>
                <w:spacing w:val="-7"/>
                <w:kern w:val="0"/>
                <w:sz w:val="22"/>
                <w:szCs w:val="22"/>
                <w:lang w:val="en-US" w:eastAsia="en-US" w:bidi="ar-SA"/>
              </w:rPr>
            </w:pPr>
          </w:p>
        </w:tc>
        <w:tc>
          <w:tcPr>
            <w:tcW w:w="800" w:type="dxa"/>
            <w:vAlign w:val="top"/>
          </w:tcPr>
          <w:p w14:paraId="6FF6B3E5">
            <w:pPr>
              <w:rPr>
                <w:rFonts w:ascii="宋体" w:hAnsi="宋体" w:eastAsia="宋体" w:cs="宋体"/>
                <w:snapToGrid w:val="0"/>
                <w:color w:val="000000"/>
                <w:spacing w:val="-7"/>
                <w:kern w:val="0"/>
                <w:sz w:val="22"/>
                <w:szCs w:val="22"/>
                <w:lang w:val="en-US" w:eastAsia="en-US" w:bidi="ar-SA"/>
              </w:rPr>
            </w:pPr>
          </w:p>
        </w:tc>
        <w:tc>
          <w:tcPr>
            <w:tcW w:w="804" w:type="dxa"/>
            <w:vAlign w:val="top"/>
          </w:tcPr>
          <w:p w14:paraId="1D174171">
            <w:pPr>
              <w:rPr>
                <w:rFonts w:ascii="宋体" w:hAnsi="宋体" w:eastAsia="宋体" w:cs="宋体"/>
                <w:snapToGrid w:val="0"/>
                <w:color w:val="000000"/>
                <w:spacing w:val="-7"/>
                <w:kern w:val="0"/>
                <w:sz w:val="22"/>
                <w:szCs w:val="22"/>
                <w:lang w:val="en-US" w:eastAsia="en-US" w:bidi="ar-SA"/>
              </w:rPr>
            </w:pPr>
          </w:p>
        </w:tc>
      </w:tr>
    </w:tbl>
    <w:p w14:paraId="165DAB00">
      <w:pPr>
        <w:rPr>
          <w:rFonts w:ascii="Arial"/>
          <w:sz w:val="21"/>
        </w:rPr>
      </w:pPr>
    </w:p>
    <w:p w14:paraId="0A905FBC">
      <w:pPr>
        <w:pStyle w:val="7"/>
        <w:spacing w:before="55" w:line="211" w:lineRule="auto"/>
        <w:ind w:left="3168"/>
      </w:pPr>
      <w:r>
        <w:rPr>
          <w:spacing w:val="-2"/>
        </w:rPr>
        <w:t>商务、技术部分评分表</w:t>
      </w:r>
    </w:p>
    <w:p w14:paraId="15AC5D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tbl>
      <w:tblPr>
        <w:tblStyle w:val="20"/>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8670"/>
      </w:tblGrid>
      <w:tr w14:paraId="5160C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63" w:type="dxa"/>
            <w:vAlign w:val="center"/>
          </w:tcPr>
          <w:p w14:paraId="55B31B8E">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right="144" w:firstLine="6"/>
              <w:jc w:val="center"/>
              <w:textAlignment w:val="baseline"/>
              <w:rPr>
                <w:rFonts w:hint="eastAsia" w:eastAsia="宋体"/>
                <w:sz w:val="22"/>
                <w:szCs w:val="22"/>
                <w:lang w:val="en-US" w:eastAsia="zh-CN"/>
              </w:rPr>
            </w:pPr>
            <w:r>
              <w:rPr>
                <w:rFonts w:hint="eastAsia"/>
                <w:sz w:val="22"/>
                <w:szCs w:val="22"/>
                <w:lang w:val="en-US" w:eastAsia="zh-CN"/>
              </w:rPr>
              <w:t>序号</w:t>
            </w:r>
          </w:p>
        </w:tc>
        <w:tc>
          <w:tcPr>
            <w:tcW w:w="8670" w:type="dxa"/>
            <w:vAlign w:val="center"/>
          </w:tcPr>
          <w:p w14:paraId="6A6AAF1B">
            <w:pPr>
              <w:keepNext w:val="0"/>
              <w:keepLines w:val="0"/>
              <w:widowControl/>
              <w:suppressLineNumbers w:val="0"/>
              <w:jc w:val="center"/>
              <w:rPr>
                <w:rFonts w:hint="eastAsia" w:eastAsia="宋体"/>
                <w:spacing w:val="-3"/>
                <w:sz w:val="22"/>
                <w:szCs w:val="22"/>
                <w:lang w:val="en-US" w:eastAsia="zh-CN"/>
              </w:rPr>
            </w:pPr>
            <w:r>
              <w:rPr>
                <w:rFonts w:hint="eastAsia" w:eastAsia="宋体"/>
                <w:spacing w:val="-3"/>
                <w:sz w:val="22"/>
                <w:szCs w:val="22"/>
                <w:lang w:val="en-US" w:eastAsia="zh-CN"/>
              </w:rPr>
              <w:t>内容</w:t>
            </w:r>
          </w:p>
        </w:tc>
      </w:tr>
      <w:tr w14:paraId="4016A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563" w:type="dxa"/>
            <w:vAlign w:val="center"/>
          </w:tcPr>
          <w:p w14:paraId="2EB64325">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right="144" w:firstLine="6"/>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670" w:type="dxa"/>
            <w:vAlign w:val="center"/>
          </w:tcPr>
          <w:p w14:paraId="0ACC32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仿宋_GB2312" w:hAnsi="仿宋_GB2312" w:eastAsia="仿宋_GB2312" w:cs="仿宋_GB2312"/>
                <w:kern w:val="0"/>
                <w:sz w:val="24"/>
                <w:szCs w:val="24"/>
                <w:lang w:val="en-US" w:eastAsia="zh-CN"/>
              </w:rPr>
              <w:t>经营状况（5分）提供证明财务状况良好，不存在异常经营，经营状况良好得5分（提供2024年财务审计报告或财务报表（包括资产负债表、损益表及经营状况；成立不足一年的提供承诺，格式自拟）。</w:t>
            </w:r>
          </w:p>
        </w:tc>
      </w:tr>
      <w:tr w14:paraId="1A33C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563" w:type="dxa"/>
            <w:vAlign w:val="center"/>
          </w:tcPr>
          <w:p w14:paraId="7C1E8A66">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leftChars="0" w:right="144" w:rightChars="0" w:hanging="2"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w:t>
            </w:r>
          </w:p>
        </w:tc>
        <w:tc>
          <w:tcPr>
            <w:tcW w:w="8670" w:type="dxa"/>
            <w:vAlign w:val="center"/>
          </w:tcPr>
          <w:p w14:paraId="78427694">
            <w:pPr>
              <w:keepNext w:val="0"/>
              <w:keepLines w:val="0"/>
              <w:widowControl/>
              <w:suppressLineNumbers w:val="0"/>
              <w:jc w:val="left"/>
              <w:rPr>
                <w:rFonts w:hint="eastAsia" w:ascii="宋体" w:hAnsi="宋体" w:eastAsia="宋体" w:cs="宋体"/>
                <w:snapToGrid w:val="0"/>
                <w:color w:val="000000"/>
                <w:kern w:val="0"/>
                <w:sz w:val="24"/>
                <w:szCs w:val="24"/>
                <w:lang w:val="en-US" w:eastAsia="en-US" w:bidi="ar-SA"/>
              </w:rPr>
            </w:pPr>
            <w:r>
              <w:rPr>
                <w:rFonts w:hint="eastAsia" w:ascii="仿宋_GB2312" w:hAnsi="仿宋_GB2312" w:eastAsia="仿宋_GB2312" w:cs="仿宋_GB2312"/>
                <w:kern w:val="0"/>
                <w:sz w:val="24"/>
                <w:szCs w:val="24"/>
              </w:rPr>
              <w:t>类似业绩（</w:t>
            </w:r>
            <w:r>
              <w:rPr>
                <w:rFonts w:hint="eastAsia" w:ascii="仿宋_GB2312" w:hAnsi="仿宋_GB2312" w:eastAsia="仿宋_GB2312" w:cs="仿宋_GB2312"/>
                <w:kern w:val="0"/>
                <w:sz w:val="24"/>
                <w:szCs w:val="24"/>
                <w:lang w:val="en-US" w:eastAsia="zh-CN"/>
              </w:rPr>
              <w:t>20</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lang w:val="en-US" w:eastAsia="zh-CN"/>
              </w:rPr>
              <w:t>近年指2022年7月1日至今（主要包括采购需求中相关业绩的），</w:t>
            </w:r>
            <w:r>
              <w:rPr>
                <w:rFonts w:hint="eastAsia" w:ascii="仿宋_GB2312" w:hAnsi="仿宋_GB2312" w:eastAsia="仿宋_GB2312" w:cs="仿宋_GB2312"/>
                <w:kern w:val="0"/>
                <w:sz w:val="24"/>
                <w:szCs w:val="24"/>
              </w:rPr>
              <w:t>每提供一例的，得</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分，最高得</w:t>
            </w:r>
            <w:r>
              <w:rPr>
                <w:rFonts w:hint="eastAsia" w:ascii="仿宋_GB2312" w:hAnsi="仿宋_GB2312" w:eastAsia="仿宋_GB2312" w:cs="仿宋_GB2312"/>
                <w:kern w:val="0"/>
                <w:sz w:val="24"/>
                <w:szCs w:val="24"/>
                <w:lang w:val="en-US" w:eastAsia="zh-CN"/>
              </w:rPr>
              <w:t>20</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lang w:val="en-US" w:eastAsia="zh-CN"/>
              </w:rPr>
              <w:t>。附业绩证明材料（证明材料包括合同或中标通知书、相关业绩报告或培训方案复印件并加盖公章）每提供一项得2分，最多得20分，无证明材料不得分。</w:t>
            </w:r>
          </w:p>
        </w:tc>
      </w:tr>
      <w:tr w14:paraId="155D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563" w:type="dxa"/>
            <w:tcBorders>
              <w:top w:val="single" w:color="auto" w:sz="4" w:space="0"/>
              <w:bottom w:val="single" w:color="auto" w:sz="4" w:space="0"/>
            </w:tcBorders>
            <w:vAlign w:val="center"/>
          </w:tcPr>
          <w:p w14:paraId="135104F9">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leftChars="0" w:right="144" w:rightChars="0" w:hanging="2"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w:t>
            </w:r>
          </w:p>
        </w:tc>
        <w:tc>
          <w:tcPr>
            <w:tcW w:w="8670" w:type="dxa"/>
            <w:tcBorders>
              <w:top w:val="single" w:color="auto" w:sz="4" w:space="0"/>
              <w:bottom w:val="single" w:color="auto" w:sz="4" w:space="0"/>
            </w:tcBorders>
            <w:vAlign w:val="center"/>
          </w:tcPr>
          <w:p w14:paraId="021363CE">
            <w:pPr>
              <w:pStyle w:val="21"/>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cs="宋体"/>
                <w:spacing w:val="-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t>项目负责人</w:t>
            </w:r>
            <w:r>
              <w:rPr>
                <w:rFonts w:hint="eastAsia" w:ascii="仿宋_GB2312" w:hAnsi="仿宋_GB2312" w:eastAsia="仿宋_GB2312" w:cs="仿宋_GB2312"/>
                <w:snapToGrid w:val="0"/>
                <w:color w:val="000000"/>
                <w:kern w:val="0"/>
                <w:sz w:val="24"/>
                <w:szCs w:val="24"/>
                <w:lang w:val="en-US" w:eastAsia="en-US" w:bidi="ar-SA"/>
              </w:rPr>
              <w:t>（</w:t>
            </w:r>
            <w:r>
              <w:rPr>
                <w:rFonts w:hint="eastAsia" w:ascii="仿宋_GB2312" w:hAnsi="仿宋_GB2312" w:eastAsia="仿宋_GB2312" w:cs="仿宋_GB2312"/>
                <w:snapToGrid w:val="0"/>
                <w:color w:val="000000"/>
                <w:kern w:val="0"/>
                <w:sz w:val="24"/>
                <w:szCs w:val="24"/>
                <w:lang w:val="en-US" w:eastAsia="zh-CN" w:bidi="ar-SA"/>
              </w:rPr>
              <w:t>5</w:t>
            </w:r>
            <w:r>
              <w:rPr>
                <w:rFonts w:hint="eastAsia" w:ascii="仿宋_GB2312" w:hAnsi="仿宋_GB2312" w:eastAsia="仿宋_GB2312" w:cs="仿宋_GB2312"/>
                <w:snapToGrid w:val="0"/>
                <w:color w:val="000000"/>
                <w:kern w:val="0"/>
                <w:sz w:val="24"/>
                <w:szCs w:val="24"/>
                <w:lang w:val="en-US" w:eastAsia="en-US" w:bidi="ar-SA"/>
              </w:rPr>
              <w:t>分）</w:t>
            </w:r>
            <w:r>
              <w:rPr>
                <w:rFonts w:hint="eastAsia" w:ascii="仿宋_GB2312" w:hAnsi="仿宋_GB2312" w:eastAsia="仿宋_GB2312" w:cs="仿宋_GB2312"/>
                <w:snapToGrid w:val="0"/>
                <w:color w:val="000000"/>
                <w:kern w:val="0"/>
                <w:sz w:val="24"/>
                <w:szCs w:val="24"/>
                <w:lang w:val="en-US" w:eastAsia="zh-CN" w:bidi="ar-SA"/>
              </w:rPr>
              <w:t>：具备高级职称证书的得5分，中级职称证书的得2分，满5分，没有不得分。注：须提供相关人员的职称证书或者注册证书及劳动合同或社保证明等相关证明材料（复印件）</w:t>
            </w:r>
          </w:p>
        </w:tc>
      </w:tr>
      <w:tr w14:paraId="6C9DC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563" w:type="dxa"/>
            <w:tcBorders>
              <w:top w:val="single" w:color="auto" w:sz="4" w:space="0"/>
              <w:bottom w:val="single" w:color="auto" w:sz="4" w:space="0"/>
            </w:tcBorders>
            <w:vAlign w:val="center"/>
          </w:tcPr>
          <w:p w14:paraId="242A536D">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leftChars="0" w:right="144" w:rightChars="0" w:hanging="2" w:firstLineChars="0"/>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w:t>
            </w:r>
          </w:p>
        </w:tc>
        <w:tc>
          <w:tcPr>
            <w:tcW w:w="8670" w:type="dxa"/>
            <w:tcBorders>
              <w:top w:val="single" w:color="auto" w:sz="4" w:space="0"/>
              <w:bottom w:val="single" w:color="auto" w:sz="4" w:space="0"/>
            </w:tcBorders>
            <w:vAlign w:val="center"/>
          </w:tcPr>
          <w:p w14:paraId="2F2CC7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专业能力</w:t>
            </w:r>
            <w:r>
              <w:rPr>
                <w:rFonts w:hint="eastAsia" w:ascii="仿宋_GB2312" w:hAnsi="仿宋_GB2312" w:eastAsia="仿宋_GB2312" w:cs="仿宋_GB2312"/>
                <w:snapToGrid w:val="0"/>
                <w:color w:val="000000"/>
                <w:kern w:val="0"/>
                <w:sz w:val="24"/>
                <w:szCs w:val="24"/>
                <w:lang w:val="en-US" w:eastAsia="en-US" w:bidi="ar-SA"/>
              </w:rPr>
              <w:t>（</w:t>
            </w:r>
            <w:r>
              <w:rPr>
                <w:rFonts w:hint="eastAsia" w:ascii="仿宋_GB2312" w:hAnsi="仿宋_GB2312" w:eastAsia="仿宋_GB2312" w:cs="仿宋_GB2312"/>
                <w:snapToGrid w:val="0"/>
                <w:color w:val="000000"/>
                <w:kern w:val="0"/>
                <w:sz w:val="24"/>
                <w:szCs w:val="24"/>
                <w:lang w:val="en-US" w:eastAsia="zh-CN" w:bidi="ar-SA"/>
              </w:rPr>
              <w:t>20</w:t>
            </w:r>
            <w:r>
              <w:rPr>
                <w:rFonts w:hint="eastAsia" w:ascii="仿宋_GB2312" w:hAnsi="仿宋_GB2312" w:eastAsia="仿宋_GB2312" w:cs="仿宋_GB2312"/>
                <w:snapToGrid w:val="0"/>
                <w:color w:val="000000"/>
                <w:kern w:val="0"/>
                <w:sz w:val="24"/>
                <w:szCs w:val="24"/>
                <w:lang w:val="en-US" w:eastAsia="en-US" w:bidi="ar-SA"/>
              </w:rPr>
              <w:t>分）</w:t>
            </w:r>
            <w:r>
              <w:rPr>
                <w:rFonts w:hint="eastAsia" w:ascii="仿宋_GB2312" w:hAnsi="仿宋_GB2312" w:eastAsia="仿宋_GB2312" w:cs="仿宋_GB2312"/>
                <w:snapToGrid w:val="0"/>
                <w:color w:val="000000"/>
                <w:kern w:val="0"/>
                <w:sz w:val="24"/>
                <w:szCs w:val="24"/>
                <w:lang w:val="en-US" w:eastAsia="zh-CN" w:bidi="ar-SA"/>
              </w:rPr>
              <w:t>：</w:t>
            </w:r>
            <w:r>
              <w:rPr>
                <w:rFonts w:hint="eastAsia" w:ascii="仿宋_GB2312" w:hAnsi="仿宋_GB2312" w:eastAsia="仿宋_GB2312" w:cs="仿宋_GB2312"/>
                <w:snapToGrid w:val="0"/>
                <w:color w:val="000000"/>
                <w:kern w:val="0"/>
                <w:sz w:val="24"/>
                <w:szCs w:val="24"/>
                <w:lang w:val="en-US" w:eastAsia="en-US" w:bidi="ar-SA"/>
              </w:rPr>
              <w:t>具备</w:t>
            </w:r>
            <w:r>
              <w:rPr>
                <w:rFonts w:hint="eastAsia" w:ascii="仿宋_GB2312" w:hAnsi="仿宋_GB2312" w:eastAsia="仿宋_GB2312" w:cs="仿宋_GB2312"/>
                <w:snapToGrid w:val="0"/>
                <w:color w:val="000000"/>
                <w:kern w:val="0"/>
                <w:sz w:val="24"/>
                <w:szCs w:val="24"/>
                <w:lang w:val="en-US" w:eastAsia="zh-CN" w:bidi="ar-SA"/>
              </w:rPr>
              <w:t>固定资产投资项目节能审查或“两高”论证工作经验等有关节能工作经验，5年内至少</w:t>
            </w:r>
            <w:r>
              <w:rPr>
                <w:rFonts w:hint="eastAsia" w:ascii="仿宋_GB2312" w:hAnsi="仿宋_GB2312" w:eastAsia="仿宋_GB2312" w:cs="仿宋_GB2312"/>
                <w:snapToGrid w:val="0"/>
                <w:color w:val="000000"/>
                <w:kern w:val="0"/>
                <w:sz w:val="24"/>
                <w:szCs w:val="24"/>
                <w:lang w:val="en-US" w:eastAsia="en-US" w:bidi="ar-SA"/>
              </w:rPr>
              <w:t>承担过</w:t>
            </w:r>
            <w:r>
              <w:rPr>
                <w:rFonts w:hint="eastAsia" w:ascii="仿宋_GB2312" w:hAnsi="仿宋_GB2312" w:eastAsia="仿宋_GB2312" w:cs="仿宋_GB2312"/>
                <w:snapToGrid w:val="0"/>
                <w:color w:val="000000"/>
                <w:kern w:val="0"/>
                <w:sz w:val="24"/>
                <w:szCs w:val="24"/>
                <w:lang w:val="en-US" w:eastAsia="zh-CN" w:bidi="ar-SA"/>
              </w:rPr>
              <w:t>不少于3次</w:t>
            </w:r>
            <w:r>
              <w:rPr>
                <w:rFonts w:hint="eastAsia" w:ascii="仿宋_GB2312" w:hAnsi="仿宋_GB2312" w:eastAsia="仿宋_GB2312" w:cs="仿宋_GB2312"/>
                <w:snapToGrid w:val="0"/>
                <w:color w:val="000000"/>
                <w:kern w:val="0"/>
                <w:sz w:val="24"/>
                <w:szCs w:val="24"/>
                <w:lang w:val="en-US" w:eastAsia="en-US" w:bidi="ar-SA"/>
              </w:rPr>
              <w:t>项目</w:t>
            </w:r>
            <w:r>
              <w:rPr>
                <w:rFonts w:hint="eastAsia" w:ascii="仿宋_GB2312" w:hAnsi="仿宋_GB2312" w:eastAsia="仿宋_GB2312" w:cs="仿宋_GB2312"/>
                <w:snapToGrid w:val="0"/>
                <w:color w:val="000000"/>
                <w:kern w:val="0"/>
                <w:sz w:val="24"/>
                <w:szCs w:val="24"/>
                <w:lang w:val="en-US" w:eastAsia="zh-CN" w:bidi="ar-SA"/>
              </w:rPr>
              <w:t>节能审查或“两高”论证或节能监察等工作经验的得10分，2次以下得5</w:t>
            </w:r>
            <w:r>
              <w:rPr>
                <w:rFonts w:hint="eastAsia" w:ascii="仿宋_GB2312" w:hAnsi="仿宋_GB2312" w:eastAsia="仿宋_GB2312" w:cs="仿宋_GB2312"/>
                <w:snapToGrid w:val="0"/>
                <w:color w:val="000000"/>
                <w:kern w:val="0"/>
                <w:sz w:val="24"/>
                <w:szCs w:val="24"/>
                <w:lang w:val="en-US" w:eastAsia="en-US" w:bidi="ar-SA"/>
              </w:rPr>
              <w:t>分；</w:t>
            </w:r>
            <w:r>
              <w:rPr>
                <w:rFonts w:hint="eastAsia" w:ascii="仿宋_GB2312" w:hAnsi="仿宋_GB2312" w:eastAsia="仿宋_GB2312" w:cs="仿宋_GB2312"/>
                <w:snapToGrid w:val="0"/>
                <w:color w:val="000000"/>
                <w:kern w:val="0"/>
                <w:sz w:val="24"/>
                <w:szCs w:val="24"/>
                <w:lang w:val="en-US" w:eastAsia="zh-CN" w:bidi="ar-SA"/>
              </w:rPr>
              <w:t>没有不得分；</w:t>
            </w:r>
          </w:p>
          <w:p w14:paraId="170866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供应商具有产业、节能方面专家不少于10人的得10</w:t>
            </w:r>
            <w:r>
              <w:rPr>
                <w:rFonts w:hint="eastAsia" w:ascii="仿宋_GB2312" w:hAnsi="仿宋_GB2312" w:eastAsia="仿宋_GB2312" w:cs="仿宋_GB2312"/>
                <w:snapToGrid w:val="0"/>
                <w:color w:val="000000"/>
                <w:kern w:val="0"/>
                <w:sz w:val="24"/>
                <w:szCs w:val="24"/>
                <w:lang w:val="en-US" w:eastAsia="en-US" w:bidi="ar-SA"/>
              </w:rPr>
              <w:t>分</w:t>
            </w:r>
            <w:r>
              <w:rPr>
                <w:rFonts w:hint="eastAsia" w:ascii="仿宋_GB2312" w:hAnsi="仿宋_GB2312" w:eastAsia="仿宋_GB2312" w:cs="仿宋_GB2312"/>
                <w:snapToGrid w:val="0"/>
                <w:color w:val="000000"/>
                <w:kern w:val="0"/>
                <w:sz w:val="24"/>
                <w:szCs w:val="24"/>
                <w:lang w:val="en-US" w:eastAsia="zh-CN" w:bidi="ar-SA"/>
              </w:rPr>
              <w:t>，5-9人得5分，4人以下得2分，没有不得分。</w:t>
            </w:r>
          </w:p>
          <w:p w14:paraId="4F9282A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提供相关印证资料。</w:t>
            </w:r>
          </w:p>
        </w:tc>
      </w:tr>
      <w:tr w14:paraId="780F6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563" w:type="dxa"/>
            <w:tcBorders>
              <w:top w:val="single" w:color="auto" w:sz="4" w:space="0"/>
            </w:tcBorders>
            <w:vAlign w:val="center"/>
          </w:tcPr>
          <w:p w14:paraId="1A3B6156">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leftChars="0" w:right="144" w:rightChars="0" w:hanging="2" w:firstLineChars="0"/>
              <w:jc w:val="center"/>
              <w:textAlignment w:val="baseline"/>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5</w:t>
            </w:r>
          </w:p>
        </w:tc>
        <w:tc>
          <w:tcPr>
            <w:tcW w:w="8670" w:type="dxa"/>
            <w:tcBorders>
              <w:top w:val="single" w:color="auto" w:sz="4" w:space="0"/>
            </w:tcBorders>
            <w:vAlign w:val="center"/>
          </w:tcPr>
          <w:p w14:paraId="758422BF">
            <w:pPr>
              <w:pStyle w:val="21"/>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节能审查完整性（10分）：节能审查、“两高”论证要有相关业绩和资质，要提供完整流程图（全流程图）、关键节点说明、时间控制表（各环节时间控制精确到工作日），每个流程清晰完整得10分，流程描述为文字形式，无图表得6分，关键环节不清晰得3分，关键环节缺失得0分。</w:t>
            </w:r>
          </w:p>
        </w:tc>
      </w:tr>
      <w:tr w14:paraId="5E868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563" w:type="dxa"/>
            <w:tcBorders>
              <w:top w:val="single" w:color="auto" w:sz="4" w:space="0"/>
            </w:tcBorders>
            <w:vAlign w:val="center"/>
          </w:tcPr>
          <w:p w14:paraId="447F2669">
            <w:pPr>
              <w:pStyle w:val="21"/>
              <w:keepNext w:val="0"/>
              <w:keepLines w:val="0"/>
              <w:pageBreakBefore w:val="0"/>
              <w:widowControl/>
              <w:kinsoku w:val="0"/>
              <w:wordWrap/>
              <w:overflowPunct/>
              <w:topLinePunct w:val="0"/>
              <w:autoSpaceDE w:val="0"/>
              <w:autoSpaceDN w:val="0"/>
              <w:bidi w:val="0"/>
              <w:adjustRightInd w:val="0"/>
              <w:snapToGrid w:val="0"/>
              <w:spacing w:line="340" w:lineRule="exact"/>
              <w:ind w:left="117" w:leftChars="0" w:right="144" w:rightChars="0" w:hanging="2"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6</w:t>
            </w:r>
          </w:p>
        </w:tc>
        <w:tc>
          <w:tcPr>
            <w:tcW w:w="8670" w:type="dxa"/>
            <w:tcBorders>
              <w:top w:val="single" w:color="auto" w:sz="4" w:space="0"/>
            </w:tcBorders>
            <w:vAlign w:val="center"/>
          </w:tcPr>
          <w:p w14:paraId="48469D73">
            <w:pPr>
              <w:pStyle w:val="21"/>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工作方案及人力配置</w:t>
            </w:r>
            <w:r>
              <w:rPr>
                <w:rFonts w:hint="eastAsia" w:ascii="仿宋_GB2312" w:hAnsi="仿宋_GB2312" w:eastAsia="仿宋_GB2312" w:cs="仿宋_GB2312"/>
                <w:snapToGrid w:val="0"/>
                <w:color w:val="000000"/>
                <w:kern w:val="0"/>
                <w:sz w:val="24"/>
                <w:szCs w:val="24"/>
                <w:lang w:val="en-US" w:eastAsia="en-US" w:bidi="ar-SA"/>
              </w:rPr>
              <w:t>（</w:t>
            </w:r>
            <w:r>
              <w:rPr>
                <w:rFonts w:hint="eastAsia" w:ascii="仿宋_GB2312" w:hAnsi="仿宋_GB2312" w:eastAsia="仿宋_GB2312" w:cs="仿宋_GB2312"/>
                <w:snapToGrid w:val="0"/>
                <w:color w:val="000000"/>
                <w:kern w:val="0"/>
                <w:sz w:val="24"/>
                <w:szCs w:val="24"/>
                <w:lang w:val="en-US" w:eastAsia="zh-CN" w:bidi="ar-SA"/>
              </w:rPr>
              <w:t>15</w:t>
            </w:r>
            <w:r>
              <w:rPr>
                <w:rFonts w:hint="eastAsia" w:ascii="仿宋_GB2312" w:hAnsi="仿宋_GB2312" w:eastAsia="仿宋_GB2312" w:cs="仿宋_GB2312"/>
                <w:snapToGrid w:val="0"/>
                <w:color w:val="000000"/>
                <w:kern w:val="0"/>
                <w:sz w:val="24"/>
                <w:szCs w:val="24"/>
                <w:lang w:val="en-US" w:eastAsia="en-US" w:bidi="ar-SA"/>
              </w:rPr>
              <w:t>分）</w:t>
            </w:r>
            <w:r>
              <w:rPr>
                <w:rFonts w:hint="eastAsia" w:ascii="仿宋_GB2312" w:hAnsi="仿宋_GB2312" w:eastAsia="仿宋_GB2312" w:cs="仿宋_GB2312"/>
                <w:snapToGrid w:val="0"/>
                <w:color w:val="000000"/>
                <w:kern w:val="0"/>
                <w:sz w:val="24"/>
                <w:szCs w:val="24"/>
                <w:lang w:val="en-US" w:eastAsia="zh-CN" w:bidi="ar-SA"/>
              </w:rPr>
              <w:t>：针对本项目制定合理的工作方案及人员配置，明确节能审查、“两高”论证、节能监察、验收、宣传等事项各事项的工作方案及岗位职责分工；工作方案清晰，人员职责分工明确得15分，工作方案欠缺，人员配备不合理得5分。工作方案混乱、职责分工不明确不得分。</w:t>
            </w:r>
          </w:p>
        </w:tc>
      </w:tr>
      <w:tr w14:paraId="75A43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563" w:type="dxa"/>
            <w:tcBorders>
              <w:top w:val="single" w:color="auto" w:sz="4" w:space="0"/>
            </w:tcBorders>
            <w:vAlign w:val="center"/>
          </w:tcPr>
          <w:p w14:paraId="6A42EFBE">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7</w:t>
            </w:r>
          </w:p>
        </w:tc>
        <w:tc>
          <w:tcPr>
            <w:tcW w:w="8670" w:type="dxa"/>
            <w:vAlign w:val="center"/>
          </w:tcPr>
          <w:p w14:paraId="0D3C093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服务承诺（5分）根据供应商对项目实施过程中的服务及实质性承诺及有效措施等内容进行咨询服务。服务及承诺条件优越切实可行得5分，服务及承诺条件可行但不切实际的得2分。没有不得分。</w:t>
            </w:r>
          </w:p>
        </w:tc>
      </w:tr>
    </w:tbl>
    <w:p w14:paraId="1DC89CC2">
      <w:pPr>
        <w:pStyle w:val="7"/>
        <w:spacing w:before="81" w:line="249" w:lineRule="auto"/>
        <w:ind w:left="30" w:right="712" w:firstLine="560"/>
      </w:pPr>
      <w:r>
        <w:rPr>
          <w:b/>
          <w:bCs/>
        </w:rPr>
        <w:t>注：根据政府采购活动相关管理规定和要求，以下事项不得作为</w:t>
      </w:r>
      <w:r>
        <w:rPr>
          <w:spacing w:val="12"/>
        </w:rPr>
        <w:t xml:space="preserve"> </w:t>
      </w:r>
      <w:r>
        <w:rPr>
          <w:b/>
          <w:bCs/>
          <w:spacing w:val="-3"/>
        </w:rPr>
        <w:t>评审因素，包括但不限于：</w:t>
      </w:r>
    </w:p>
    <w:p w14:paraId="4BD8DDC2">
      <w:pPr>
        <w:pStyle w:val="7"/>
        <w:spacing w:before="43" w:line="220" w:lineRule="auto"/>
        <w:ind w:left="598"/>
        <w:outlineLvl w:val="1"/>
      </w:pPr>
      <w:r>
        <w:rPr>
          <w:b/>
          <w:bCs/>
          <w:spacing w:val="-4"/>
        </w:rPr>
        <w:t>（1）已作为资格条件事项；</w:t>
      </w:r>
    </w:p>
    <w:p w14:paraId="4A403E61">
      <w:pPr>
        <w:pStyle w:val="7"/>
        <w:spacing w:before="67" w:line="220" w:lineRule="auto"/>
        <w:ind w:left="598"/>
        <w:outlineLvl w:val="1"/>
      </w:pPr>
      <w:r>
        <w:rPr>
          <w:b/>
          <w:bCs/>
          <w:spacing w:val="-4"/>
        </w:rPr>
        <w:t>（2）涉及企业规模条件事项；</w:t>
      </w:r>
    </w:p>
    <w:p w14:paraId="1697A2BD">
      <w:pPr>
        <w:pStyle w:val="7"/>
        <w:spacing w:before="65" w:line="219" w:lineRule="auto"/>
        <w:ind w:left="598"/>
        <w:outlineLvl w:val="1"/>
      </w:pPr>
      <w:r>
        <w:rPr>
          <w:b/>
          <w:bCs/>
          <w:spacing w:val="-4"/>
        </w:rPr>
        <w:t>（3）附加金额要求的业绩；</w:t>
      </w:r>
    </w:p>
    <w:p w14:paraId="6ED8146A">
      <w:pPr>
        <w:pStyle w:val="7"/>
        <w:spacing w:before="68" w:line="220" w:lineRule="auto"/>
        <w:ind w:left="598"/>
        <w:outlineLvl w:val="1"/>
      </w:pPr>
      <w:r>
        <w:rPr>
          <w:b/>
          <w:bCs/>
          <w:spacing w:val="-3"/>
        </w:rPr>
        <w:t>（4）对合同条款的任何变更与偏离；</w:t>
      </w:r>
    </w:p>
    <w:p w14:paraId="7E9F12DF">
      <w:pPr>
        <w:pStyle w:val="7"/>
        <w:spacing w:before="67" w:line="219" w:lineRule="auto"/>
        <w:ind w:left="598"/>
        <w:outlineLvl w:val="1"/>
      </w:pPr>
      <w:r>
        <w:rPr>
          <w:b/>
          <w:bCs/>
          <w:spacing w:val="-3"/>
        </w:rPr>
        <w:t>（5）与商务条件和采购需求不对应或者与合同履行无关的事项；</w:t>
      </w:r>
    </w:p>
    <w:p w14:paraId="49BF002E">
      <w:pPr>
        <w:pStyle w:val="7"/>
        <w:spacing w:before="66" w:line="219" w:lineRule="auto"/>
        <w:ind w:left="598"/>
        <w:outlineLvl w:val="1"/>
      </w:pPr>
      <w:r>
        <w:rPr>
          <w:b/>
          <w:bCs/>
          <w:spacing w:val="-3"/>
        </w:rPr>
        <w:t>（6）与投标人所提供货物（服务）的质量无关的事项；</w:t>
      </w:r>
    </w:p>
    <w:p w14:paraId="6DA1C8BA">
      <w:pPr>
        <w:pStyle w:val="7"/>
        <w:spacing w:before="68" w:line="220" w:lineRule="auto"/>
        <w:ind w:left="598"/>
        <w:outlineLvl w:val="1"/>
      </w:pPr>
      <w:r>
        <w:rPr>
          <w:b/>
          <w:bCs/>
          <w:spacing w:val="-4"/>
        </w:rPr>
        <w:t>（7）对投标人进行横向比较；</w:t>
      </w:r>
    </w:p>
    <w:p w14:paraId="3693814F">
      <w:pPr>
        <w:pStyle w:val="7"/>
        <w:spacing w:before="67" w:line="220" w:lineRule="auto"/>
        <w:ind w:left="598"/>
        <w:outlineLvl w:val="1"/>
      </w:pPr>
      <w:r>
        <w:rPr>
          <w:b/>
          <w:bCs/>
          <w:spacing w:val="-3"/>
        </w:rPr>
        <w:t>（8）非区间评审因素对应区间得分；</w:t>
      </w:r>
    </w:p>
    <w:p w14:paraId="0199CB2F">
      <w:pPr>
        <w:pStyle w:val="7"/>
        <w:spacing w:before="64" w:line="220" w:lineRule="auto"/>
        <w:ind w:left="598"/>
        <w:outlineLvl w:val="1"/>
      </w:pPr>
      <w:r>
        <w:rPr>
          <w:b/>
          <w:bCs/>
          <w:spacing w:val="-3"/>
        </w:rPr>
        <w:t>（9）特定行政区域或者特定行业的业绩、奖项；</w:t>
      </w:r>
    </w:p>
    <w:p w14:paraId="64D117DF">
      <w:pPr>
        <w:pStyle w:val="7"/>
        <w:spacing w:before="68" w:line="219" w:lineRule="auto"/>
        <w:ind w:left="598"/>
        <w:outlineLvl w:val="1"/>
      </w:pPr>
      <w:r>
        <w:rPr>
          <w:b/>
          <w:bCs/>
          <w:spacing w:val="-3"/>
        </w:rPr>
        <w:t>（10）非法限定供应商的所有制形式、组织形式或者所在地；</w:t>
      </w:r>
    </w:p>
    <w:p w14:paraId="154C4586">
      <w:pPr>
        <w:pStyle w:val="7"/>
        <w:spacing w:before="68" w:line="220" w:lineRule="auto"/>
        <w:ind w:left="598"/>
        <w:outlineLvl w:val="1"/>
      </w:pPr>
      <w:r>
        <w:rPr>
          <w:b/>
          <w:bCs/>
          <w:spacing w:val="-3"/>
        </w:rPr>
        <w:t>（11）其他不得作为评审因素的事项。</w:t>
      </w:r>
    </w:p>
    <w:p w14:paraId="2DC403AA">
      <w:pPr>
        <w:spacing w:line="220" w:lineRule="auto"/>
        <w:sectPr>
          <w:headerReference r:id="rId12" w:type="default"/>
          <w:footerReference r:id="rId13" w:type="default"/>
          <w:pgSz w:w="11907" w:h="16840"/>
          <w:pgMar w:top="1190" w:right="987" w:bottom="0" w:left="1681" w:header="0" w:footer="1304" w:gutter="0"/>
          <w:pgNumType w:fmt="decimal"/>
          <w:cols w:space="720" w:num="1"/>
        </w:sectPr>
      </w:pPr>
    </w:p>
    <w:p w14:paraId="1E8CBF4F">
      <w:pPr>
        <w:pStyle w:val="7"/>
        <w:spacing w:before="57" w:line="288" w:lineRule="auto"/>
        <w:ind w:left="493" w:leftChars="0" w:right="1989" w:hanging="73" w:firstLineChars="0"/>
        <w:jc w:val="center"/>
        <w:outlineLvl w:val="0"/>
        <w:rPr>
          <w:rFonts w:hint="eastAsia" w:eastAsia="宋体"/>
          <w:b/>
          <w:bCs/>
          <w:spacing w:val="-3"/>
          <w:lang w:eastAsia="zh-CN"/>
        </w:rPr>
      </w:pPr>
      <w:r>
        <w:rPr>
          <w:b/>
          <w:bCs/>
          <w:spacing w:val="-3"/>
        </w:rPr>
        <w:t>第六章</w:t>
      </w:r>
      <w:r>
        <w:rPr>
          <w:spacing w:val="-3"/>
        </w:rPr>
        <w:t xml:space="preserve"> </w:t>
      </w:r>
      <w:r>
        <w:rPr>
          <w:b/>
          <w:bCs/>
          <w:spacing w:val="-3"/>
        </w:rPr>
        <w:t>政府采购合同范本</w:t>
      </w:r>
      <w:r>
        <w:rPr>
          <w:rFonts w:hint="eastAsia"/>
          <w:b/>
          <w:bCs/>
          <w:spacing w:val="-3"/>
          <w:lang w:eastAsia="zh-CN"/>
        </w:rPr>
        <w:t>（</w:t>
      </w:r>
      <w:r>
        <w:rPr>
          <w:b/>
          <w:bCs/>
          <w:spacing w:val="-3"/>
        </w:rPr>
        <w:t>参考</w:t>
      </w:r>
      <w:r>
        <w:rPr>
          <w:rFonts w:hint="eastAsia"/>
          <w:b/>
          <w:bCs/>
          <w:spacing w:val="-3"/>
          <w:lang w:eastAsia="zh-CN"/>
        </w:rPr>
        <w:t>）</w:t>
      </w:r>
    </w:p>
    <w:p w14:paraId="6DE579B3">
      <w:pPr>
        <w:pStyle w:val="7"/>
        <w:spacing w:before="57" w:line="288" w:lineRule="auto"/>
        <w:ind w:left="493" w:leftChars="0" w:right="1989" w:hanging="73" w:firstLineChars="0"/>
        <w:jc w:val="center"/>
        <w:outlineLvl w:val="0"/>
      </w:pPr>
      <w:r>
        <w:rPr>
          <w:spacing w:val="6"/>
        </w:rPr>
        <w:t xml:space="preserve"> </w:t>
      </w:r>
      <w:r>
        <w:rPr>
          <w:b/>
          <w:bCs/>
          <w:spacing w:val="-4"/>
        </w:rPr>
        <w:t>（详细条款以采购人具体需求为准）</w:t>
      </w:r>
    </w:p>
    <w:p w14:paraId="484841C2">
      <w:pPr>
        <w:pStyle w:val="7"/>
        <w:spacing w:before="207" w:line="219" w:lineRule="auto"/>
        <w:ind w:left="416"/>
        <w:jc w:val="center"/>
        <w:rPr>
          <w:sz w:val="24"/>
          <w:szCs w:val="24"/>
        </w:rPr>
      </w:pPr>
      <w:r>
        <w:rPr>
          <w:spacing w:val="-5"/>
          <w:sz w:val="24"/>
          <w:szCs w:val="24"/>
        </w:rPr>
        <w:t>（服务类）</w:t>
      </w:r>
    </w:p>
    <w:p w14:paraId="3AC0AD62">
      <w:pPr>
        <w:pStyle w:val="7"/>
        <w:spacing w:before="182" w:line="219" w:lineRule="auto"/>
        <w:ind w:left="3515"/>
        <w:rPr>
          <w:sz w:val="24"/>
          <w:szCs w:val="24"/>
        </w:rPr>
      </w:pPr>
    </w:p>
    <w:p w14:paraId="775A1B6A">
      <w:pPr>
        <w:pStyle w:val="7"/>
        <w:spacing w:before="182" w:line="346" w:lineRule="auto"/>
        <w:ind w:left="435" w:right="6799" w:hanging="27"/>
        <w:rPr>
          <w:sz w:val="24"/>
          <w:szCs w:val="24"/>
        </w:rPr>
      </w:pPr>
      <w:r>
        <w:rPr>
          <w:spacing w:val="-15"/>
          <w:sz w:val="24"/>
          <w:szCs w:val="24"/>
        </w:rPr>
        <w:t>项目名称：</w:t>
      </w:r>
      <w:r>
        <w:rPr>
          <w:sz w:val="24"/>
          <w:szCs w:val="24"/>
        </w:rPr>
        <w:t xml:space="preserve"> </w:t>
      </w:r>
    </w:p>
    <w:p w14:paraId="5DE6C9CE">
      <w:pPr>
        <w:pStyle w:val="7"/>
        <w:spacing w:before="182" w:line="346" w:lineRule="auto"/>
        <w:ind w:left="435" w:right="6799" w:hanging="27"/>
        <w:rPr>
          <w:sz w:val="24"/>
          <w:szCs w:val="24"/>
        </w:rPr>
      </w:pPr>
    </w:p>
    <w:p w14:paraId="7D77FCDB">
      <w:pPr>
        <w:pStyle w:val="7"/>
        <w:spacing w:before="182" w:line="346" w:lineRule="auto"/>
        <w:ind w:left="435" w:right="6799" w:hanging="27"/>
        <w:rPr>
          <w:sz w:val="24"/>
          <w:szCs w:val="24"/>
        </w:rPr>
      </w:pPr>
    </w:p>
    <w:p w14:paraId="094AA3D3">
      <w:pPr>
        <w:pStyle w:val="7"/>
        <w:spacing w:before="182" w:line="346" w:lineRule="auto"/>
        <w:ind w:left="435" w:right="6799" w:hanging="27"/>
        <w:rPr>
          <w:sz w:val="24"/>
          <w:szCs w:val="24"/>
        </w:rPr>
      </w:pPr>
    </w:p>
    <w:p w14:paraId="2BB6EBD9">
      <w:pPr>
        <w:pStyle w:val="7"/>
        <w:spacing w:before="182" w:line="346" w:lineRule="auto"/>
        <w:ind w:left="435" w:right="6799" w:hanging="27"/>
        <w:rPr>
          <w:sz w:val="24"/>
          <w:szCs w:val="24"/>
        </w:rPr>
      </w:pPr>
    </w:p>
    <w:p w14:paraId="6A62830F">
      <w:pPr>
        <w:pStyle w:val="7"/>
        <w:spacing w:before="182" w:line="346" w:lineRule="auto"/>
        <w:ind w:left="435" w:right="6799" w:hanging="27"/>
        <w:rPr>
          <w:sz w:val="24"/>
          <w:szCs w:val="24"/>
        </w:rPr>
      </w:pPr>
    </w:p>
    <w:p w14:paraId="133C2DA9">
      <w:pPr>
        <w:pStyle w:val="7"/>
        <w:spacing w:before="182" w:line="346" w:lineRule="auto"/>
        <w:ind w:left="435" w:right="6799" w:hanging="27"/>
        <w:rPr>
          <w:sz w:val="24"/>
          <w:szCs w:val="24"/>
        </w:rPr>
      </w:pPr>
    </w:p>
    <w:p w14:paraId="607B2D03">
      <w:pPr>
        <w:pStyle w:val="7"/>
        <w:spacing w:before="182" w:line="346" w:lineRule="auto"/>
        <w:ind w:left="435" w:right="6799" w:hanging="27"/>
        <w:rPr>
          <w:sz w:val="24"/>
          <w:szCs w:val="24"/>
        </w:rPr>
      </w:pPr>
    </w:p>
    <w:p w14:paraId="57C4B82F">
      <w:pPr>
        <w:pStyle w:val="7"/>
        <w:spacing w:before="182" w:line="346" w:lineRule="auto"/>
        <w:ind w:left="435" w:right="6799" w:hanging="27"/>
        <w:rPr>
          <w:sz w:val="24"/>
          <w:szCs w:val="24"/>
        </w:rPr>
      </w:pPr>
    </w:p>
    <w:p w14:paraId="4053E227">
      <w:pPr>
        <w:pStyle w:val="7"/>
        <w:spacing w:before="182" w:line="346" w:lineRule="auto"/>
        <w:ind w:left="435" w:right="6799" w:hanging="27"/>
        <w:rPr>
          <w:sz w:val="24"/>
          <w:szCs w:val="24"/>
        </w:rPr>
      </w:pPr>
    </w:p>
    <w:p w14:paraId="6608DC28">
      <w:pPr>
        <w:pStyle w:val="7"/>
        <w:spacing w:before="182" w:line="346" w:lineRule="auto"/>
        <w:ind w:left="435" w:right="6799" w:hanging="27"/>
        <w:rPr>
          <w:sz w:val="24"/>
          <w:szCs w:val="24"/>
        </w:rPr>
      </w:pPr>
    </w:p>
    <w:p w14:paraId="377F3D0D">
      <w:pPr>
        <w:pStyle w:val="7"/>
        <w:spacing w:before="182" w:line="346" w:lineRule="auto"/>
        <w:ind w:left="435" w:right="6799" w:hanging="27"/>
        <w:rPr>
          <w:sz w:val="24"/>
          <w:szCs w:val="24"/>
        </w:rPr>
      </w:pPr>
    </w:p>
    <w:p w14:paraId="79142581">
      <w:pPr>
        <w:pStyle w:val="7"/>
        <w:spacing w:before="182" w:line="346" w:lineRule="auto"/>
        <w:ind w:left="435" w:right="6799" w:hanging="27"/>
        <w:rPr>
          <w:sz w:val="24"/>
          <w:szCs w:val="24"/>
        </w:rPr>
      </w:pPr>
      <w:r>
        <w:rPr>
          <w:spacing w:val="-14"/>
          <w:sz w:val="24"/>
          <w:szCs w:val="24"/>
        </w:rPr>
        <w:t>甲方：</w:t>
      </w:r>
    </w:p>
    <w:p w14:paraId="7DFD18DB">
      <w:pPr>
        <w:pStyle w:val="7"/>
        <w:spacing w:before="32" w:line="221" w:lineRule="auto"/>
        <w:ind w:left="428"/>
        <w:rPr>
          <w:sz w:val="24"/>
          <w:szCs w:val="24"/>
        </w:rPr>
      </w:pPr>
      <w:r>
        <w:rPr>
          <w:spacing w:val="-11"/>
          <w:sz w:val="24"/>
          <w:szCs w:val="24"/>
        </w:rPr>
        <w:t>乙方：</w:t>
      </w:r>
    </w:p>
    <w:p w14:paraId="298EF463">
      <w:pPr>
        <w:pStyle w:val="7"/>
        <w:spacing w:before="181" w:line="222" w:lineRule="auto"/>
        <w:ind w:left="404"/>
        <w:rPr>
          <w:sz w:val="24"/>
          <w:szCs w:val="24"/>
        </w:rPr>
      </w:pPr>
      <w:r>
        <w:rPr>
          <w:spacing w:val="-3"/>
          <w:sz w:val="24"/>
          <w:szCs w:val="24"/>
        </w:rPr>
        <w:t>签订地：</w:t>
      </w:r>
    </w:p>
    <w:p w14:paraId="77A36D18">
      <w:pPr>
        <w:pStyle w:val="7"/>
        <w:spacing w:before="177" w:line="219" w:lineRule="auto"/>
        <w:ind w:left="404"/>
        <w:rPr>
          <w:sz w:val="24"/>
          <w:szCs w:val="24"/>
        </w:rPr>
      </w:pPr>
      <w:r>
        <w:rPr>
          <w:spacing w:val="-5"/>
          <w:sz w:val="24"/>
          <w:szCs w:val="24"/>
        </w:rPr>
        <w:t>签订日期：</w:t>
      </w:r>
      <w:r>
        <w:rPr>
          <w:sz w:val="24"/>
          <w:szCs w:val="24"/>
        </w:rPr>
        <w:t xml:space="preserve">               </w:t>
      </w:r>
      <w:r>
        <w:rPr>
          <w:spacing w:val="-5"/>
          <w:sz w:val="24"/>
          <w:szCs w:val="24"/>
        </w:rPr>
        <w:t>年</w:t>
      </w:r>
      <w:r>
        <w:rPr>
          <w:spacing w:val="4"/>
          <w:sz w:val="24"/>
          <w:szCs w:val="24"/>
        </w:rPr>
        <w:t xml:space="preserve">       </w:t>
      </w:r>
      <w:r>
        <w:rPr>
          <w:spacing w:val="-5"/>
          <w:sz w:val="24"/>
          <w:szCs w:val="24"/>
        </w:rPr>
        <w:t>月</w:t>
      </w:r>
      <w:r>
        <w:rPr>
          <w:spacing w:val="7"/>
          <w:sz w:val="24"/>
          <w:szCs w:val="24"/>
        </w:rPr>
        <w:t xml:space="preserve">       </w:t>
      </w:r>
      <w:r>
        <w:rPr>
          <w:spacing w:val="-5"/>
          <w:sz w:val="24"/>
          <w:szCs w:val="24"/>
        </w:rPr>
        <w:t>日</w:t>
      </w:r>
    </w:p>
    <w:p w14:paraId="69A53911">
      <w:pPr>
        <w:spacing w:line="219" w:lineRule="auto"/>
        <w:rPr>
          <w:sz w:val="24"/>
          <w:szCs w:val="24"/>
        </w:rPr>
        <w:sectPr>
          <w:pgSz w:w="11907" w:h="16840"/>
          <w:pgMar w:top="1177" w:right="1786" w:bottom="0" w:left="1786" w:header="340" w:footer="794" w:gutter="0"/>
          <w:pgNumType w:fmt="decimal"/>
          <w:cols w:space="720" w:num="1"/>
        </w:sectPr>
      </w:pPr>
    </w:p>
    <w:p w14:paraId="75655E30">
      <w:pPr>
        <w:pStyle w:val="7"/>
        <w:spacing w:before="188" w:line="219" w:lineRule="auto"/>
        <w:ind w:left="1637"/>
        <w:rPr>
          <w:sz w:val="30"/>
          <w:szCs w:val="30"/>
        </w:rPr>
      </w:pPr>
      <w:r>
        <w:rPr>
          <w:spacing w:val="-2"/>
          <w:sz w:val="30"/>
          <w:szCs w:val="30"/>
        </w:rPr>
        <w:t>（仅供参考，具体以双方实际签订合同为准）</w:t>
      </w:r>
    </w:p>
    <w:p w14:paraId="006589F5">
      <w:pPr>
        <w:rPr>
          <w:rFonts w:ascii="Arial"/>
          <w:sz w:val="21"/>
        </w:rPr>
      </w:pPr>
    </w:p>
    <w:p w14:paraId="7DA21326">
      <w:pPr>
        <w:pStyle w:val="7"/>
        <w:spacing w:before="78" w:line="219" w:lineRule="auto"/>
        <w:outlineLvl w:val="1"/>
      </w:pPr>
      <w:r>
        <w:rPr>
          <w:spacing w:val="2"/>
        </w:rPr>
        <w:t>委托人</w:t>
      </w:r>
      <w:r>
        <w:rPr>
          <w:spacing w:val="-15"/>
        </w:rPr>
        <w:t>：</w:t>
      </w:r>
      <w:r>
        <w:rPr>
          <w:u w:val="single" w:color="auto"/>
        </w:rPr>
        <w:t xml:space="preserve">                </w:t>
      </w:r>
      <w:r>
        <w:rPr>
          <w:spacing w:val="-15"/>
        </w:rPr>
        <w:t>（</w:t>
      </w:r>
      <w:r>
        <w:rPr>
          <w:spacing w:val="2"/>
        </w:rPr>
        <w:t>以下简称甲方）</w:t>
      </w:r>
    </w:p>
    <w:p w14:paraId="53004463">
      <w:pPr>
        <w:pStyle w:val="7"/>
        <w:spacing w:before="216" w:line="219" w:lineRule="auto"/>
        <w:ind w:left="1"/>
        <w:outlineLvl w:val="1"/>
      </w:pPr>
      <w:r>
        <w:rPr>
          <w:spacing w:val="2"/>
        </w:rPr>
        <w:t>承包人</w:t>
      </w:r>
      <w:r>
        <w:rPr>
          <w:spacing w:val="-16"/>
        </w:rPr>
        <w:t>：</w:t>
      </w:r>
      <w:r>
        <w:rPr>
          <w:u w:val="single" w:color="auto"/>
        </w:rPr>
        <w:t xml:space="preserve">                </w:t>
      </w:r>
      <w:r>
        <w:rPr>
          <w:spacing w:val="-16"/>
        </w:rPr>
        <w:t>（</w:t>
      </w:r>
      <w:r>
        <w:rPr>
          <w:spacing w:val="2"/>
        </w:rPr>
        <w:t>以下简称乙方）</w:t>
      </w:r>
    </w:p>
    <w:p w14:paraId="0FA7B02D">
      <w:pPr>
        <w:pStyle w:val="7"/>
        <w:spacing w:before="113" w:line="361" w:lineRule="auto"/>
        <w:ind w:firstLine="512"/>
        <w:jc w:val="both"/>
      </w:pPr>
      <w:r>
        <w:rPr>
          <w:spacing w:val="-2"/>
        </w:rPr>
        <w:t>甲方委托乙方进行</w:t>
      </w:r>
      <w:r>
        <w:rPr>
          <w:spacing w:val="-2"/>
          <w:u w:val="single" w:color="auto"/>
        </w:rPr>
        <w:t xml:space="preserve">                  </w:t>
      </w:r>
      <w:r>
        <w:rPr>
          <w:spacing w:val="-2"/>
        </w:rPr>
        <w:t>（项目名称）服务，为明确双方</w:t>
      </w:r>
      <w:r>
        <w:rPr>
          <w:spacing w:val="-3"/>
        </w:rPr>
        <w:t>责任与权利，</w:t>
      </w:r>
      <w:r>
        <w:t xml:space="preserve"> </w:t>
      </w:r>
      <w:r>
        <w:rPr>
          <w:spacing w:val="-3"/>
        </w:rPr>
        <w:t>分工协作，顺利完成任务，根据《中华人民共和国民法典》等有关</w:t>
      </w:r>
      <w:r>
        <w:rPr>
          <w:spacing w:val="-4"/>
        </w:rPr>
        <w:t>规定，以及本项目具体</w:t>
      </w:r>
      <w:r>
        <w:t xml:space="preserve"> </w:t>
      </w:r>
      <w:r>
        <w:rPr>
          <w:spacing w:val="-1"/>
        </w:rPr>
        <w:t>情况，经双方协商一致同意签订本项目服务合同，共同遵守。</w:t>
      </w:r>
    </w:p>
    <w:p w14:paraId="790F8051">
      <w:pPr>
        <w:pStyle w:val="7"/>
        <w:spacing w:before="44" w:line="220" w:lineRule="auto"/>
        <w:ind w:left="1"/>
      </w:pPr>
      <w:r>
        <w:rPr>
          <w:b/>
          <w:bCs/>
          <w:spacing w:val="-6"/>
        </w:rPr>
        <w:t>第一条</w:t>
      </w:r>
      <w:r>
        <w:rPr>
          <w:spacing w:val="21"/>
        </w:rPr>
        <w:t xml:space="preserve"> </w:t>
      </w:r>
      <w:r>
        <w:rPr>
          <w:b/>
          <w:bCs/>
          <w:spacing w:val="-6"/>
        </w:rPr>
        <w:t>项目概况</w:t>
      </w:r>
    </w:p>
    <w:p w14:paraId="2AB0B553">
      <w:pPr>
        <w:pStyle w:val="7"/>
        <w:spacing w:before="175" w:line="220" w:lineRule="auto"/>
        <w:ind w:left="5"/>
      </w:pPr>
      <w:r>
        <w:rPr>
          <w:spacing w:val="-1"/>
        </w:rPr>
        <w:t>项目名称：吐鲁番市</w:t>
      </w:r>
      <w:r>
        <w:rPr>
          <w:spacing w:val="-48"/>
        </w:rPr>
        <w:t xml:space="preserve"> </w:t>
      </w:r>
      <w:r>
        <w:rPr>
          <w:spacing w:val="-1"/>
        </w:rPr>
        <w:t>202</w:t>
      </w:r>
      <w:r>
        <w:rPr>
          <w:rFonts w:hint="eastAsia"/>
          <w:spacing w:val="-1"/>
          <w:lang w:val="en-US" w:eastAsia="zh-CN"/>
        </w:rPr>
        <w:t>5</w:t>
      </w:r>
      <w:r>
        <w:rPr>
          <w:spacing w:val="-1"/>
        </w:rPr>
        <w:t>年固定资产投资项目节能审查咨</w:t>
      </w:r>
      <w:r>
        <w:rPr>
          <w:spacing w:val="-2"/>
        </w:rPr>
        <w:t>询服务项目</w:t>
      </w:r>
    </w:p>
    <w:p w14:paraId="61AEA39A">
      <w:pPr>
        <w:pStyle w:val="7"/>
        <w:spacing w:before="175" w:line="219" w:lineRule="auto"/>
        <w:ind w:left="1"/>
      </w:pPr>
      <w:r>
        <w:rPr>
          <w:spacing w:val="-1"/>
        </w:rPr>
        <w:t>服务地点：采购人指定地点。</w:t>
      </w:r>
    </w:p>
    <w:p w14:paraId="54792282">
      <w:pPr>
        <w:pStyle w:val="7"/>
        <w:spacing w:before="174" w:line="219" w:lineRule="auto"/>
        <w:ind w:left="1"/>
      </w:pPr>
      <w:r>
        <w:rPr>
          <w:b/>
          <w:bCs/>
          <w:spacing w:val="-2"/>
        </w:rPr>
        <w:t>第二条</w:t>
      </w:r>
      <w:r>
        <w:rPr>
          <w:spacing w:val="-2"/>
        </w:rPr>
        <w:t xml:space="preserve"> </w:t>
      </w:r>
      <w:r>
        <w:rPr>
          <w:b/>
          <w:bCs/>
          <w:spacing w:val="-2"/>
        </w:rPr>
        <w:t>服务内容（参见“项目采购需求</w:t>
      </w:r>
      <w:r>
        <w:rPr>
          <w:spacing w:val="-86"/>
        </w:rPr>
        <w:t xml:space="preserve"> </w:t>
      </w:r>
      <w:r>
        <w:rPr>
          <w:b/>
          <w:bCs/>
          <w:spacing w:val="-2"/>
        </w:rPr>
        <w:t>”）</w:t>
      </w:r>
    </w:p>
    <w:p w14:paraId="0BACA322">
      <w:pPr>
        <w:pStyle w:val="7"/>
        <w:spacing w:before="176" w:line="219" w:lineRule="auto"/>
        <w:ind w:left="1"/>
      </w:pPr>
      <w:r>
        <w:rPr>
          <w:b/>
          <w:bCs/>
          <w:spacing w:val="-2"/>
        </w:rPr>
        <w:t>第三条</w:t>
      </w:r>
      <w:r>
        <w:rPr>
          <w:spacing w:val="-2"/>
        </w:rPr>
        <w:t xml:space="preserve"> </w:t>
      </w:r>
      <w:r>
        <w:rPr>
          <w:b/>
          <w:bCs/>
          <w:spacing w:val="-2"/>
        </w:rPr>
        <w:t>服务标准及成果质量（参见“项目采购需求</w:t>
      </w:r>
      <w:r>
        <w:rPr>
          <w:spacing w:val="-85"/>
        </w:rPr>
        <w:t xml:space="preserve"> </w:t>
      </w:r>
      <w:r>
        <w:rPr>
          <w:b/>
          <w:bCs/>
          <w:spacing w:val="-2"/>
        </w:rPr>
        <w:t>”）</w:t>
      </w:r>
    </w:p>
    <w:p w14:paraId="4574CE13">
      <w:pPr>
        <w:pStyle w:val="7"/>
        <w:spacing w:before="175" w:line="220" w:lineRule="auto"/>
        <w:ind w:left="1"/>
      </w:pPr>
      <w:r>
        <w:rPr>
          <w:b/>
          <w:bCs/>
          <w:spacing w:val="-5"/>
        </w:rPr>
        <w:t>第四条</w:t>
      </w:r>
      <w:r>
        <w:rPr>
          <w:spacing w:val="-5"/>
        </w:rPr>
        <w:t xml:space="preserve"> </w:t>
      </w:r>
      <w:r>
        <w:rPr>
          <w:b/>
          <w:bCs/>
          <w:spacing w:val="-5"/>
        </w:rPr>
        <w:t>服务期限：</w:t>
      </w:r>
      <w:r>
        <w:rPr>
          <w:spacing w:val="-5"/>
        </w:rPr>
        <w:t>20   年 10</w:t>
      </w:r>
      <w:r>
        <w:rPr>
          <w:spacing w:val="19"/>
        </w:rPr>
        <w:t xml:space="preserve"> </w:t>
      </w:r>
      <w:r>
        <w:rPr>
          <w:spacing w:val="-5"/>
        </w:rPr>
        <w:t>月至</w:t>
      </w:r>
      <w:r>
        <w:rPr>
          <w:spacing w:val="12"/>
        </w:rPr>
        <w:t xml:space="preserve"> </w:t>
      </w:r>
      <w:r>
        <w:rPr>
          <w:spacing w:val="-5"/>
        </w:rPr>
        <w:t>20</w:t>
      </w:r>
      <w:r>
        <w:rPr>
          <w:spacing w:val="3"/>
        </w:rPr>
        <w:t xml:space="preserve">   </w:t>
      </w:r>
      <w:r>
        <w:rPr>
          <w:spacing w:val="-5"/>
        </w:rPr>
        <w:t>年</w:t>
      </w:r>
      <w:r>
        <w:rPr>
          <w:spacing w:val="4"/>
        </w:rPr>
        <w:t xml:space="preserve">    </w:t>
      </w:r>
      <w:r>
        <w:rPr>
          <w:spacing w:val="-5"/>
        </w:rPr>
        <w:t>月    日（具体以合同签订为准）</w:t>
      </w:r>
    </w:p>
    <w:p w14:paraId="5EDC6545">
      <w:pPr>
        <w:pStyle w:val="7"/>
        <w:spacing w:before="173" w:line="220" w:lineRule="auto"/>
        <w:ind w:left="1"/>
      </w:pPr>
      <w:r>
        <w:rPr>
          <w:b/>
          <w:bCs/>
          <w:spacing w:val="-1"/>
        </w:rPr>
        <w:t>第五条</w:t>
      </w:r>
      <w:r>
        <w:rPr>
          <w:spacing w:val="-1"/>
        </w:rPr>
        <w:t xml:space="preserve"> </w:t>
      </w:r>
      <w:r>
        <w:rPr>
          <w:b/>
          <w:bCs/>
          <w:spacing w:val="-1"/>
        </w:rPr>
        <w:t>费用结算方式</w:t>
      </w:r>
      <w:r>
        <w:rPr>
          <w:spacing w:val="-1"/>
        </w:rPr>
        <w:t>：具体由双方在合同中约定。</w:t>
      </w:r>
    </w:p>
    <w:p w14:paraId="35CD5176">
      <w:pPr>
        <w:pStyle w:val="7"/>
        <w:spacing w:before="175" w:line="220" w:lineRule="auto"/>
        <w:ind w:left="1"/>
      </w:pPr>
      <w:r>
        <w:rPr>
          <w:b/>
          <w:bCs/>
          <w:spacing w:val="-3"/>
        </w:rPr>
        <w:t>第六条</w:t>
      </w:r>
      <w:r>
        <w:rPr>
          <w:spacing w:val="-3"/>
        </w:rPr>
        <w:t xml:space="preserve"> </w:t>
      </w:r>
      <w:r>
        <w:rPr>
          <w:b/>
          <w:bCs/>
          <w:spacing w:val="-3"/>
        </w:rPr>
        <w:t>履约保证金</w:t>
      </w:r>
    </w:p>
    <w:p w14:paraId="423A2B3B">
      <w:pPr>
        <w:pStyle w:val="7"/>
        <w:spacing w:before="173" w:line="354" w:lineRule="auto"/>
        <w:ind w:left="9" w:right="60" w:firstLine="473"/>
      </w:pPr>
      <w:r>
        <w:rPr>
          <w:spacing w:val="-5"/>
        </w:rPr>
        <w:t>合同签订前乙方须向甲方提交合同金额 /</w:t>
      </w:r>
      <w:r>
        <w:rPr>
          <w:spacing w:val="-54"/>
        </w:rPr>
        <w:t xml:space="preserve"> </w:t>
      </w:r>
      <w:r>
        <w:rPr>
          <w:spacing w:val="-5"/>
        </w:rPr>
        <w:t>%的履约保证金。经甲方考核，乙方严格遵</w:t>
      </w:r>
      <w:r>
        <w:rPr>
          <w:spacing w:val="-1"/>
        </w:rPr>
        <w:t>守合同约定，未发生违约情况的，则在合同期满后十五个工作日内无息退款。</w:t>
      </w:r>
    </w:p>
    <w:p w14:paraId="2E548BCC">
      <w:pPr>
        <w:pStyle w:val="7"/>
        <w:spacing w:line="220" w:lineRule="auto"/>
        <w:ind w:left="1"/>
      </w:pPr>
      <w:r>
        <w:rPr>
          <w:b/>
          <w:bCs/>
          <w:spacing w:val="-3"/>
        </w:rPr>
        <w:t>第七条</w:t>
      </w:r>
      <w:r>
        <w:rPr>
          <w:spacing w:val="-3"/>
        </w:rPr>
        <w:t xml:space="preserve"> </w:t>
      </w:r>
      <w:r>
        <w:rPr>
          <w:b/>
          <w:bCs/>
          <w:spacing w:val="-3"/>
        </w:rPr>
        <w:t>其他要求</w:t>
      </w:r>
    </w:p>
    <w:p w14:paraId="6A6EA948">
      <w:pPr>
        <w:pStyle w:val="7"/>
        <w:spacing w:before="172" w:line="354" w:lineRule="auto"/>
        <w:ind w:left="3" w:right="60" w:firstLine="481"/>
        <w:rPr>
          <w:rFonts w:hint="eastAsia" w:eastAsia="宋体"/>
          <w:lang w:val="en-US" w:eastAsia="zh-CN"/>
        </w:rPr>
      </w:pPr>
      <w:r>
        <w:t>未经甲方书面同意，乙方不得向他人分包或转让</w:t>
      </w:r>
      <w:r>
        <w:rPr>
          <w:spacing w:val="-1"/>
        </w:rPr>
        <w:t>成交项目，也不得将成交项目肢解</w:t>
      </w:r>
      <w:r>
        <w:rPr>
          <w:spacing w:val="-3"/>
        </w:rPr>
        <w:t>后分别向他人转让，否则甲方有权终止合同，由此引起的一</w:t>
      </w:r>
      <w:r>
        <w:rPr>
          <w:spacing w:val="-4"/>
        </w:rPr>
        <w:t>切损失全部由乙方负责。合同</w:t>
      </w:r>
      <w:r>
        <w:rPr>
          <w:spacing w:val="-3"/>
        </w:rPr>
        <w:t>履约结束后，乙方在未经甲方书面同意，也不得将该项目的</w:t>
      </w:r>
      <w:r>
        <w:rPr>
          <w:spacing w:val="-4"/>
        </w:rPr>
        <w:t>版权提供给他人使用、租赁或</w:t>
      </w:r>
      <w:r>
        <w:t xml:space="preserve"> </w:t>
      </w:r>
      <w:r>
        <w:rPr>
          <w:spacing w:val="-1"/>
        </w:rPr>
        <w:t>者转让，否则乙方向甲方赔偿双倍的中标费用。（解释权归甲方所有）</w:t>
      </w:r>
      <w:r>
        <w:rPr>
          <w:rFonts w:hint="eastAsia"/>
          <w:spacing w:val="-1"/>
          <w:lang w:eastAsia="zh-CN"/>
        </w:rPr>
        <w:t>。</w:t>
      </w:r>
    </w:p>
    <w:p w14:paraId="6D9239D7">
      <w:pPr>
        <w:pStyle w:val="7"/>
        <w:spacing w:before="1" w:line="220" w:lineRule="auto"/>
        <w:ind w:left="1"/>
      </w:pPr>
      <w:r>
        <w:rPr>
          <w:b/>
          <w:bCs/>
          <w:spacing w:val="-3"/>
        </w:rPr>
        <w:t>第八条</w:t>
      </w:r>
      <w:r>
        <w:rPr>
          <w:spacing w:val="-3"/>
        </w:rPr>
        <w:t xml:space="preserve"> </w:t>
      </w:r>
      <w:r>
        <w:rPr>
          <w:b/>
          <w:bCs/>
          <w:spacing w:val="-3"/>
        </w:rPr>
        <w:t>合同履约时间</w:t>
      </w:r>
    </w:p>
    <w:p w14:paraId="209242A1">
      <w:pPr>
        <w:pStyle w:val="7"/>
        <w:spacing w:before="174" w:line="220" w:lineRule="auto"/>
        <w:ind w:left="482"/>
      </w:pPr>
      <w:r>
        <w:rPr>
          <w:spacing w:val="-2"/>
        </w:rPr>
        <w:t>合同签订之日起至     年</w:t>
      </w:r>
      <w:r>
        <w:rPr>
          <w:spacing w:val="5"/>
        </w:rPr>
        <w:t xml:space="preserve">    </w:t>
      </w:r>
      <w:r>
        <w:rPr>
          <w:spacing w:val="-2"/>
        </w:rPr>
        <w:t>月</w:t>
      </w:r>
      <w:r>
        <w:rPr>
          <w:spacing w:val="17"/>
        </w:rPr>
        <w:t xml:space="preserve">   </w:t>
      </w:r>
      <w:r>
        <w:rPr>
          <w:spacing w:val="-2"/>
        </w:rPr>
        <w:t>日</w:t>
      </w:r>
    </w:p>
    <w:p w14:paraId="562A3533">
      <w:pPr>
        <w:pStyle w:val="7"/>
        <w:spacing w:before="175" w:line="220" w:lineRule="auto"/>
        <w:ind w:left="1"/>
      </w:pPr>
      <w:r>
        <w:rPr>
          <w:b/>
          <w:bCs/>
          <w:spacing w:val="-9"/>
        </w:rPr>
        <w:t>第九条</w:t>
      </w:r>
      <w:r>
        <w:rPr>
          <w:spacing w:val="42"/>
        </w:rPr>
        <w:t xml:space="preserve"> </w:t>
      </w:r>
      <w:r>
        <w:rPr>
          <w:b/>
          <w:bCs/>
          <w:spacing w:val="-9"/>
        </w:rPr>
        <w:t>甲方责任</w:t>
      </w:r>
    </w:p>
    <w:p w14:paraId="104976F5">
      <w:pPr>
        <w:pStyle w:val="7"/>
        <w:spacing w:before="173" w:line="219" w:lineRule="auto"/>
        <w:ind w:left="19"/>
      </w:pPr>
      <w:r>
        <w:rPr>
          <w:spacing w:val="-2"/>
        </w:rPr>
        <w:t>1、甲方应及时提供基础资料。</w:t>
      </w:r>
    </w:p>
    <w:p w14:paraId="7F17179E">
      <w:pPr>
        <w:pStyle w:val="7"/>
        <w:spacing w:before="175" w:line="288" w:lineRule="auto"/>
        <w:ind w:left="2" w:right="60" w:firstLine="1"/>
      </w:pPr>
      <w:r>
        <w:rPr>
          <w:spacing w:val="-3"/>
        </w:rPr>
        <w:t>2、指派专人与乙方保持密切联系，对乙方提供的成果文件应及时组织审查上报，对乙方</w:t>
      </w:r>
      <w:r>
        <w:rPr>
          <w:spacing w:val="-1"/>
        </w:rPr>
        <w:t>提出的有关问题及时答复，保证项目顺利进行。</w:t>
      </w:r>
    </w:p>
    <w:p w14:paraId="32F87D80">
      <w:pPr>
        <w:pStyle w:val="7"/>
        <w:spacing w:before="49" w:line="286" w:lineRule="auto"/>
        <w:ind w:left="2" w:right="81" w:firstLine="15"/>
        <w:rPr>
          <w:b/>
          <w:bCs/>
          <w:spacing w:val="-8"/>
        </w:rPr>
      </w:pPr>
      <w:r>
        <w:rPr>
          <w:b/>
          <w:bCs/>
          <w:spacing w:val="-8"/>
        </w:rPr>
        <w:t>第十条</w:t>
      </w:r>
      <w:r>
        <w:rPr>
          <w:spacing w:val="35"/>
        </w:rPr>
        <w:t xml:space="preserve"> </w:t>
      </w:r>
      <w:r>
        <w:rPr>
          <w:b/>
          <w:bCs/>
          <w:spacing w:val="-8"/>
        </w:rPr>
        <w:t>乙方责任</w:t>
      </w:r>
    </w:p>
    <w:p w14:paraId="4610829F">
      <w:pPr>
        <w:pStyle w:val="7"/>
        <w:spacing w:before="49" w:line="286" w:lineRule="auto"/>
        <w:ind w:left="2" w:right="81" w:firstLine="15"/>
      </w:pPr>
      <w:r>
        <w:rPr>
          <w:spacing w:val="-1"/>
        </w:rPr>
        <w:t>1、因为服务质量低劣或未按期提交成果导致项目滞后造成损失，由乙方继续完善服务任务，并应视造成的损失大小减收或免收费用。</w:t>
      </w:r>
    </w:p>
    <w:p w14:paraId="0CCF03D1">
      <w:pPr>
        <w:pStyle w:val="7"/>
        <w:spacing w:before="175" w:line="287" w:lineRule="auto"/>
        <w:ind w:left="3" w:right="120"/>
      </w:pPr>
      <w:r>
        <w:rPr>
          <w:spacing w:val="-1"/>
        </w:rPr>
        <w:t>2、对所承担的项目服务质量全面负责，成果文件应符</w:t>
      </w:r>
      <w:r>
        <w:rPr>
          <w:spacing w:val="-2"/>
        </w:rPr>
        <w:t>合有关的强制性标准且符合国家、</w:t>
      </w:r>
      <w:r>
        <w:t>部、行业有关规范、规程，满足甲方和服务深度的要</w:t>
      </w:r>
      <w:r>
        <w:rPr>
          <w:spacing w:val="-1"/>
        </w:rPr>
        <w:t>求，按甲方审批意见进行修改。</w:t>
      </w:r>
    </w:p>
    <w:p w14:paraId="400A07C0">
      <w:pPr>
        <w:pStyle w:val="7"/>
        <w:spacing w:before="171" w:line="310" w:lineRule="auto"/>
        <w:ind w:right="78" w:firstLine="124"/>
      </w:pPr>
      <w:r>
        <w:rPr>
          <w:spacing w:val="-3"/>
        </w:rPr>
        <w:t>3、乙方有进一步修改、深化、完善成果文件，无条</w:t>
      </w:r>
      <w:r>
        <w:rPr>
          <w:spacing w:val="-4"/>
        </w:rPr>
        <w:t>件满足甲方对服务技术的要求和相关</w:t>
      </w:r>
      <w:r>
        <w:t xml:space="preserve"> 单位配合的义务，否则甲方有权终止合同，或视情况扣减费用，</w:t>
      </w:r>
      <w:r>
        <w:rPr>
          <w:spacing w:val="-1"/>
        </w:rPr>
        <w:t>由此引发的一切责任和</w:t>
      </w:r>
      <w:r>
        <w:rPr>
          <w:spacing w:val="-2"/>
        </w:rPr>
        <w:t>损失均由乙方负责。</w:t>
      </w:r>
    </w:p>
    <w:p w14:paraId="7684AFBD">
      <w:pPr>
        <w:pStyle w:val="7"/>
        <w:spacing w:before="172" w:line="220" w:lineRule="auto"/>
      </w:pPr>
      <w:r>
        <w:t>4、对涉及安全的重点部位和环节应予以重视，并对防范安</w:t>
      </w:r>
      <w:r>
        <w:rPr>
          <w:spacing w:val="-1"/>
        </w:rPr>
        <w:t>全事故提出指导意见。</w:t>
      </w:r>
    </w:p>
    <w:p w14:paraId="56903933">
      <w:pPr>
        <w:pStyle w:val="7"/>
        <w:spacing w:before="174" w:line="220" w:lineRule="auto"/>
        <w:jc w:val="left"/>
      </w:pPr>
      <w:r>
        <w:rPr>
          <w:spacing w:val="-1"/>
        </w:rPr>
        <w:t>5、乙方应按照甲方要求进行修改调整，且对出现的问题</w:t>
      </w:r>
      <w:r>
        <w:rPr>
          <w:spacing w:val="-2"/>
        </w:rPr>
        <w:t>需能积极响应并作出对应调整。</w:t>
      </w:r>
    </w:p>
    <w:p w14:paraId="746DC4AF">
      <w:pPr>
        <w:pStyle w:val="7"/>
        <w:spacing w:before="175" w:line="219" w:lineRule="auto"/>
        <w:ind w:left="122"/>
      </w:pPr>
      <w:r>
        <w:t>6、在服务实施过程中如甲方需要，乙方需结合项目情</w:t>
      </w:r>
      <w:r>
        <w:rPr>
          <w:spacing w:val="-1"/>
        </w:rPr>
        <w:t>况提供一定技术指导和咨询。</w:t>
      </w:r>
    </w:p>
    <w:p w14:paraId="2998443C">
      <w:pPr>
        <w:pStyle w:val="7"/>
        <w:spacing w:before="173" w:line="220" w:lineRule="auto"/>
      </w:pPr>
      <w:r>
        <w:rPr>
          <w:b/>
          <w:bCs/>
          <w:spacing w:val="-3"/>
        </w:rPr>
        <w:t>第十一条</w:t>
      </w:r>
      <w:r>
        <w:rPr>
          <w:spacing w:val="-3"/>
        </w:rPr>
        <w:t xml:space="preserve"> </w:t>
      </w:r>
      <w:r>
        <w:rPr>
          <w:b/>
          <w:bCs/>
          <w:spacing w:val="-3"/>
        </w:rPr>
        <w:t>违约责任</w:t>
      </w:r>
    </w:p>
    <w:p w14:paraId="7061695D">
      <w:pPr>
        <w:pStyle w:val="7"/>
        <w:spacing w:before="175" w:line="287" w:lineRule="auto"/>
        <w:ind w:left="26" w:right="18" w:hanging="8"/>
      </w:pPr>
      <w:r>
        <w:rPr>
          <w:spacing w:val="-5"/>
        </w:rPr>
        <w:t>1、合同生效后，甲方要求中止或解除合同，乙方未开始工作的，不退还甲方</w:t>
      </w:r>
      <w:r>
        <w:rPr>
          <w:spacing w:val="-6"/>
        </w:rPr>
        <w:t>已付的定金；</w:t>
      </w:r>
      <w:r>
        <w:rPr>
          <w:spacing w:val="-1"/>
        </w:rPr>
        <w:t>已开始工作的，甲方应根据乙方已进行的实际工作量，与乙方协商已完成部分的费用。</w:t>
      </w:r>
    </w:p>
    <w:p w14:paraId="6A5881CC">
      <w:pPr>
        <w:pStyle w:val="7"/>
        <w:spacing w:before="174" w:line="320" w:lineRule="auto"/>
        <w:ind w:right="15" w:firstLine="2"/>
        <w:rPr>
          <w:spacing w:val="-1"/>
        </w:rPr>
      </w:pPr>
      <w:r>
        <w:rPr>
          <w:spacing w:val="-7"/>
        </w:rPr>
        <w:t>2、由于乙方自身原因，未按本合同的规定交</w:t>
      </w:r>
      <w:r>
        <w:rPr>
          <w:spacing w:val="-8"/>
        </w:rPr>
        <w:t>付成果文件，乙方应向甲方支付误期 违约金，</w:t>
      </w:r>
      <w:r>
        <w:rPr>
          <w:spacing w:val="-3"/>
        </w:rPr>
        <w:t>每延误一天向甲方支付合同价款 5‰的违约金。若乙方在甲方指定的期</w:t>
      </w:r>
      <w:r>
        <w:rPr>
          <w:spacing w:val="-4"/>
        </w:rPr>
        <w:t>限内仍不能提供合</w:t>
      </w:r>
      <w:r>
        <w:t xml:space="preserve"> </w:t>
      </w:r>
      <w:r>
        <w:rPr>
          <w:spacing w:val="-3"/>
        </w:rPr>
        <w:t>格的服务成果的，甲方有权解除本合同，未付的费用不予支付。</w:t>
      </w:r>
      <w:r>
        <w:rPr>
          <w:spacing w:val="-4"/>
        </w:rPr>
        <w:t>甲方另聘他人完成相关工</w:t>
      </w:r>
      <w:r>
        <w:t xml:space="preserve"> </w:t>
      </w:r>
      <w:r>
        <w:rPr>
          <w:spacing w:val="-1"/>
        </w:rPr>
        <w:t>作的费用由乙方承担。</w:t>
      </w:r>
    </w:p>
    <w:p w14:paraId="6F8B7C50">
      <w:pPr>
        <w:pStyle w:val="7"/>
        <w:spacing w:before="174" w:line="320" w:lineRule="auto"/>
        <w:ind w:right="15" w:firstLine="2"/>
      </w:pPr>
      <w:r>
        <w:rPr>
          <w:spacing w:val="-5"/>
        </w:rPr>
        <w:t>3、由于乙方自身原因造成服务遗漏、缺陷或错误造成损失，乙方除负责采取补救措施外，</w:t>
      </w:r>
      <w:r>
        <w:rPr>
          <w:spacing w:val="-1"/>
        </w:rPr>
        <w:t>应免收直接受损失部分的费用，并赔偿甲方由此造成的损失。</w:t>
      </w:r>
    </w:p>
    <w:p w14:paraId="2BFF1D5B">
      <w:pPr>
        <w:pStyle w:val="7"/>
        <w:spacing w:before="172" w:line="290" w:lineRule="auto"/>
        <w:ind w:left="6" w:right="78" w:hanging="6"/>
      </w:pPr>
      <w:r>
        <w:rPr>
          <w:spacing w:val="-2"/>
        </w:rPr>
        <w:t>4、乙方擅自更换项目负责人或关键人员，甲方按每人每次向乙方索赔合同价款的</w:t>
      </w:r>
      <w:r>
        <w:rPr>
          <w:spacing w:val="-45"/>
        </w:rPr>
        <w:t xml:space="preserve"> </w:t>
      </w:r>
      <w:r>
        <w:rPr>
          <w:spacing w:val="-2"/>
        </w:rPr>
        <w:t>5%</w:t>
      </w:r>
      <w:r>
        <w:rPr>
          <w:spacing w:val="-3"/>
        </w:rPr>
        <w:t>的违</w:t>
      </w:r>
      <w:r>
        <w:rPr>
          <w:spacing w:val="-6"/>
        </w:rPr>
        <w:t>约金。</w:t>
      </w:r>
    </w:p>
    <w:p w14:paraId="7597FCDC">
      <w:pPr>
        <w:pStyle w:val="7"/>
        <w:spacing w:before="168" w:line="309" w:lineRule="auto"/>
        <w:ind w:left="2" w:right="81" w:firstLine="2"/>
      </w:pPr>
      <w:r>
        <w:t>5、按照国家现行规定、标准开具正规有效的合同费</w:t>
      </w:r>
      <w:r>
        <w:rPr>
          <w:spacing w:val="-1"/>
        </w:rPr>
        <w:t>用票据。但因国库支付中心工作程序</w:t>
      </w:r>
      <w:r>
        <w:t xml:space="preserve"> 等甲方自身无法控制的客观原因到期未支付相应费用，双方</w:t>
      </w:r>
      <w:r>
        <w:rPr>
          <w:spacing w:val="-1"/>
        </w:rPr>
        <w:t>本着谅解的原则，在不影响</w:t>
      </w:r>
      <w:r>
        <w:t xml:space="preserve"> </w:t>
      </w:r>
      <w:r>
        <w:rPr>
          <w:spacing w:val="-1"/>
        </w:rPr>
        <w:t>项目进度以及尽量降低对乙方利益影响的条件下，友好协商解决。</w:t>
      </w:r>
    </w:p>
    <w:p w14:paraId="3755D40E">
      <w:pPr>
        <w:pStyle w:val="7"/>
        <w:spacing w:before="176" w:line="286" w:lineRule="auto"/>
        <w:ind w:left="5" w:right="78" w:hanging="3"/>
      </w:pPr>
      <w:r>
        <w:rPr>
          <w:spacing w:val="-3"/>
        </w:rPr>
        <w:t>6、如因甲方原因造成项目延误，合同时间可顺延，如因乙方原因造</w:t>
      </w:r>
      <w:r>
        <w:rPr>
          <w:spacing w:val="-4"/>
        </w:rPr>
        <w:t>成项目延误， 按合同</w:t>
      </w:r>
      <w:r>
        <w:rPr>
          <w:spacing w:val="-3"/>
        </w:rPr>
        <w:t>约定扣除费用。</w:t>
      </w:r>
    </w:p>
    <w:p w14:paraId="7EECB89C">
      <w:pPr>
        <w:pStyle w:val="7"/>
        <w:spacing w:before="174" w:line="220" w:lineRule="auto"/>
        <w:ind w:left="6"/>
      </w:pPr>
      <w:r>
        <w:t>7、合同生效后，乙方要求中止或解除合同</w:t>
      </w:r>
      <w:r>
        <w:rPr>
          <w:spacing w:val="-1"/>
        </w:rPr>
        <w:t>，乙方应双倍返还甲方已支付的费用。</w:t>
      </w:r>
    </w:p>
    <w:p w14:paraId="35AA2B16">
      <w:pPr>
        <w:pStyle w:val="7"/>
        <w:spacing w:before="175" w:line="220" w:lineRule="auto"/>
      </w:pPr>
      <w:r>
        <w:rPr>
          <w:b/>
          <w:bCs/>
          <w:spacing w:val="-3"/>
        </w:rPr>
        <w:t>第十二条、不可抗力</w:t>
      </w:r>
    </w:p>
    <w:p w14:paraId="09C29C62">
      <w:pPr>
        <w:pStyle w:val="7"/>
        <w:spacing w:before="46" w:line="354" w:lineRule="auto"/>
        <w:ind w:left="10" w:right="65"/>
      </w:pPr>
      <w:r>
        <w:rPr>
          <w:spacing w:val="-1"/>
        </w:rPr>
        <w:t>1、甲乙双方任一方由于受不可抗力事件的影响而不能履行合同时，履行合同的期限应</w:t>
      </w:r>
      <w:r>
        <w:t>予以延长，其延长的期限应相当于事件所影响的</w:t>
      </w:r>
      <w:r>
        <w:rPr>
          <w:spacing w:val="-1"/>
        </w:rPr>
        <w:t>时间。不可抗力事件系指甲乙双方 在缔</w:t>
      </w:r>
      <w:r>
        <w:t>结合同时所不能预见的，并且它的发生及其后果是</w:t>
      </w:r>
      <w:r>
        <w:rPr>
          <w:spacing w:val="-1"/>
        </w:rPr>
        <w:t>无法避免和无法克服的事件，诸如战争、严重火灾、洪水、台风以及其他双方商定的事件。但不包括违约或疏忽。</w:t>
      </w:r>
    </w:p>
    <w:p w14:paraId="1E893966">
      <w:pPr>
        <w:pStyle w:val="7"/>
        <w:spacing w:before="1" w:line="327" w:lineRule="auto"/>
        <w:ind w:left="5" w:right="65" w:firstLine="2"/>
      </w:pPr>
      <w:r>
        <w:t>2、在不可抗力事件发生后，受不可抗力影响的一方应尽</w:t>
      </w:r>
      <w:r>
        <w:rPr>
          <w:spacing w:val="-1"/>
        </w:rPr>
        <w:t>快以书面形式（如电报、传真或</w:t>
      </w:r>
      <w:r>
        <w:t xml:space="preserve"> </w:t>
      </w:r>
      <w:r>
        <w:rPr>
          <w:spacing w:val="-1"/>
        </w:rPr>
        <w:t>电传）将不可抗力的情况和原因通知对方，并于事件发生后 14 天内将有关当局出具的</w:t>
      </w:r>
      <w:r>
        <w:t xml:space="preserve"> 证明文件用特快专递或挂号信寄给对方审阅确认。除对方书面另</w:t>
      </w:r>
      <w:r>
        <w:rPr>
          <w:spacing w:val="-1"/>
        </w:rPr>
        <w:t>行要求外，受不可抗力</w:t>
      </w:r>
      <w:r>
        <w:t>影响的一方应尽实际可能继续履行合同义务，并积极寻求采取合</w:t>
      </w:r>
      <w:r>
        <w:rPr>
          <w:spacing w:val="-1"/>
        </w:rPr>
        <w:t>理的方案履行未受不可</w:t>
      </w:r>
      <w:r>
        <w:t xml:space="preserve"> </w:t>
      </w:r>
      <w:r>
        <w:rPr>
          <w:spacing w:val="-1"/>
        </w:rPr>
        <w:t>抗力影响的其他合同事项。</w:t>
      </w:r>
    </w:p>
    <w:p w14:paraId="49D5D6C4">
      <w:pPr>
        <w:pStyle w:val="7"/>
        <w:spacing w:before="173" w:line="287" w:lineRule="auto"/>
        <w:ind w:left="3" w:right="63" w:firstLine="6"/>
      </w:pPr>
      <w:r>
        <w:rPr>
          <w:spacing w:val="-3"/>
        </w:rPr>
        <w:t>3、如果不可抗力事件的影响持续 45 天以上，双方应通过友好协商在合理</w:t>
      </w:r>
      <w:r>
        <w:rPr>
          <w:spacing w:val="-4"/>
        </w:rPr>
        <w:t>的时间内 达成</w:t>
      </w:r>
      <w:r>
        <w:t xml:space="preserve"> </w:t>
      </w:r>
      <w:r>
        <w:rPr>
          <w:spacing w:val="-1"/>
        </w:rPr>
        <w:t>进一步履行合同的协议。</w:t>
      </w:r>
    </w:p>
    <w:p w14:paraId="2C2B98C5">
      <w:pPr>
        <w:pStyle w:val="7"/>
        <w:spacing w:before="175" w:line="286" w:lineRule="auto"/>
        <w:ind w:left="8" w:right="65" w:hanging="4"/>
      </w:pPr>
      <w:r>
        <w:t>4、如果因不可抗力而导致合同实施延误或不能履行合同义务的，</w:t>
      </w:r>
      <w:r>
        <w:rPr>
          <w:spacing w:val="-1"/>
        </w:rPr>
        <w:t>受不可抗力影响的一方</w:t>
      </w:r>
      <w:r>
        <w:t xml:space="preserve"> </w:t>
      </w:r>
      <w:r>
        <w:rPr>
          <w:spacing w:val="-2"/>
        </w:rPr>
        <w:t>不应承担违约责任。</w:t>
      </w:r>
    </w:p>
    <w:p w14:paraId="6802BC4F">
      <w:pPr>
        <w:pStyle w:val="7"/>
        <w:spacing w:before="174" w:line="220" w:lineRule="auto"/>
        <w:ind w:left="5"/>
      </w:pPr>
      <w:r>
        <w:rPr>
          <w:b/>
          <w:bCs/>
          <w:spacing w:val="-4"/>
        </w:rPr>
        <w:t>第十三条、税费</w:t>
      </w:r>
    </w:p>
    <w:p w14:paraId="6795038C">
      <w:pPr>
        <w:pStyle w:val="7"/>
        <w:spacing w:before="174" w:line="354" w:lineRule="auto"/>
        <w:ind w:left="25" w:right="65" w:firstLine="460"/>
      </w:pPr>
      <w:r>
        <w:t>根据国家现行税法规定对与本合同有关的一切税费，包括按</w:t>
      </w:r>
      <w:r>
        <w:rPr>
          <w:spacing w:val="-1"/>
        </w:rPr>
        <w:t>税法规定应由甲方承担</w:t>
      </w:r>
      <w:r>
        <w:t xml:space="preserve"> </w:t>
      </w:r>
      <w:r>
        <w:rPr>
          <w:spacing w:val="-1"/>
        </w:rPr>
        <w:t>的税费，均已包括在合同总价款之中，甲方不再与乙方另行结算税费。</w:t>
      </w:r>
    </w:p>
    <w:p w14:paraId="395E4CD6">
      <w:pPr>
        <w:pStyle w:val="7"/>
        <w:spacing w:line="220" w:lineRule="auto"/>
        <w:ind w:left="5"/>
      </w:pPr>
      <w:r>
        <w:rPr>
          <w:b/>
          <w:bCs/>
          <w:spacing w:val="-3"/>
        </w:rPr>
        <w:t>第十四条</w:t>
      </w:r>
      <w:r>
        <w:rPr>
          <w:spacing w:val="-3"/>
        </w:rPr>
        <w:t xml:space="preserve"> </w:t>
      </w:r>
      <w:r>
        <w:rPr>
          <w:b/>
          <w:bCs/>
          <w:spacing w:val="-3"/>
        </w:rPr>
        <w:t>争议的解决</w:t>
      </w:r>
    </w:p>
    <w:p w14:paraId="204F9570">
      <w:pPr>
        <w:pStyle w:val="7"/>
        <w:spacing w:before="173" w:line="354" w:lineRule="auto"/>
        <w:ind w:left="7" w:firstLine="241"/>
      </w:pPr>
      <w:r>
        <w:rPr>
          <w:spacing w:val="-5"/>
        </w:rPr>
        <w:t>如在本合同的执行中发生争议，甲乙双方应通过友好协商解决争议。如不能协商解决</w:t>
      </w:r>
      <w:r>
        <w:rPr>
          <w:rFonts w:hint="eastAsia"/>
          <w:spacing w:val="-5"/>
          <w:lang w:eastAsia="zh-CN"/>
        </w:rPr>
        <w:t>，</w:t>
      </w:r>
      <w:r>
        <w:rPr>
          <w:spacing w:val="-1"/>
        </w:rPr>
        <w:t>可向项目所在地人民法院起诉。</w:t>
      </w:r>
    </w:p>
    <w:p w14:paraId="0519100F">
      <w:pPr>
        <w:pStyle w:val="7"/>
        <w:spacing w:line="220" w:lineRule="auto"/>
        <w:ind w:left="125"/>
      </w:pPr>
      <w:r>
        <w:rPr>
          <w:b/>
          <w:bCs/>
          <w:spacing w:val="-3"/>
        </w:rPr>
        <w:t>第十五条</w:t>
      </w:r>
      <w:r>
        <w:rPr>
          <w:spacing w:val="-3"/>
        </w:rPr>
        <w:t xml:space="preserve"> </w:t>
      </w:r>
      <w:r>
        <w:rPr>
          <w:b/>
          <w:bCs/>
          <w:spacing w:val="-3"/>
        </w:rPr>
        <w:t>其他事项</w:t>
      </w:r>
    </w:p>
    <w:p w14:paraId="2F9AEB5C">
      <w:pPr>
        <w:pStyle w:val="7"/>
        <w:spacing w:before="176" w:line="286" w:lineRule="auto"/>
        <w:ind w:left="6" w:right="63" w:firstLine="16"/>
      </w:pPr>
      <w:r>
        <w:rPr>
          <w:spacing w:val="-4"/>
        </w:rPr>
        <w:t>1、本合同及文件附件经双方法定代表人或其委托代理人签署并加盖公章后正式生效，具</w:t>
      </w:r>
      <w:r>
        <w:rPr>
          <w:spacing w:val="-2"/>
        </w:rPr>
        <w:t>有法律效力。</w:t>
      </w:r>
    </w:p>
    <w:p w14:paraId="75A14823">
      <w:pPr>
        <w:pStyle w:val="7"/>
        <w:spacing w:before="175" w:line="219" w:lineRule="auto"/>
        <w:ind w:left="128"/>
      </w:pPr>
      <w:r>
        <w:rPr>
          <w:spacing w:val="-1"/>
        </w:rPr>
        <w:t>2、本合同未尽事宜，双方本着互相谅解的精神，协商解决。</w:t>
      </w:r>
    </w:p>
    <w:p w14:paraId="2808CC8F">
      <w:pPr>
        <w:pStyle w:val="7"/>
        <w:spacing w:before="176" w:line="220" w:lineRule="auto"/>
        <w:ind w:left="130"/>
      </w:pPr>
      <w:r>
        <w:rPr>
          <w:spacing w:val="-1"/>
        </w:rPr>
        <w:t>3、所有成果文件的文字表达以中文为准。</w:t>
      </w:r>
    </w:p>
    <w:p w14:paraId="6BD1C72A">
      <w:pPr>
        <w:pStyle w:val="7"/>
        <w:spacing w:before="173" w:line="219" w:lineRule="auto"/>
        <w:ind w:left="124"/>
      </w:pPr>
      <w:r>
        <w:rPr>
          <w:spacing w:val="-1"/>
        </w:rPr>
        <w:t>4、本合同的文字表达及解释以中文为准。</w:t>
      </w:r>
    </w:p>
    <w:p w14:paraId="15096AB7">
      <w:pPr>
        <w:pStyle w:val="7"/>
        <w:spacing w:before="176" w:line="219" w:lineRule="auto"/>
        <w:ind w:left="10"/>
      </w:pPr>
      <w:r>
        <w:t>5、下列文件是组成本合同的有效文件，并</w:t>
      </w:r>
      <w:r>
        <w:rPr>
          <w:spacing w:val="-1"/>
        </w:rPr>
        <w:t>应被作为其一部分进行阅读和理解。</w:t>
      </w:r>
    </w:p>
    <w:p w14:paraId="26345BDC">
      <w:pPr>
        <w:pStyle w:val="7"/>
        <w:spacing w:before="176" w:line="219" w:lineRule="auto"/>
        <w:ind w:left="118"/>
      </w:pPr>
      <w:r>
        <w:rPr>
          <w:spacing w:val="-1"/>
        </w:rPr>
        <w:t>A、本合同</w:t>
      </w:r>
    </w:p>
    <w:p w14:paraId="3B64E5DA">
      <w:pPr>
        <w:pStyle w:val="7"/>
        <w:spacing w:before="174" w:line="219" w:lineRule="auto"/>
      </w:pPr>
      <w:r>
        <w:rPr>
          <w:spacing w:val="-1"/>
        </w:rPr>
        <w:t>B、成交通知书；</w:t>
      </w:r>
    </w:p>
    <w:p w14:paraId="290DD376">
      <w:pPr>
        <w:pStyle w:val="7"/>
        <w:spacing w:before="175" w:line="220" w:lineRule="auto"/>
        <w:ind w:left="3"/>
      </w:pPr>
      <w:r>
        <w:rPr>
          <w:spacing w:val="-1"/>
        </w:rPr>
        <w:t>C、响应文件及承诺；</w:t>
      </w:r>
    </w:p>
    <w:p w14:paraId="114374EC">
      <w:pPr>
        <w:pStyle w:val="7"/>
        <w:spacing w:before="176" w:line="219" w:lineRule="auto"/>
      </w:pPr>
      <w:r>
        <w:rPr>
          <w:spacing w:val="-1"/>
        </w:rPr>
        <w:t>D、采购文件（含补遗文件及答疑纪要</w:t>
      </w:r>
      <w:r>
        <w:rPr>
          <w:spacing w:val="5"/>
        </w:rPr>
        <w:t>）；</w:t>
      </w:r>
    </w:p>
    <w:p w14:paraId="0AD33339">
      <w:pPr>
        <w:pStyle w:val="7"/>
        <w:spacing w:before="173" w:line="220" w:lineRule="auto"/>
        <w:ind w:left="2"/>
      </w:pPr>
      <w:r>
        <w:rPr>
          <w:spacing w:val="-1"/>
        </w:rPr>
        <w:t>E、各类往来函件。</w:t>
      </w:r>
    </w:p>
    <w:p w14:paraId="226A34CE">
      <w:pPr>
        <w:pStyle w:val="7"/>
        <w:spacing w:before="175" w:line="219" w:lineRule="auto"/>
        <w:ind w:left="7"/>
        <w:rPr>
          <w:rFonts w:hint="eastAsia" w:eastAsia="宋体"/>
          <w:lang w:val="en-US" w:eastAsia="zh-CN"/>
        </w:rPr>
      </w:pPr>
      <w:r>
        <w:t>6、本合同正本一式 2 份，双方各执 1</w:t>
      </w:r>
      <w:r>
        <w:rPr>
          <w:spacing w:val="-1"/>
        </w:rPr>
        <w:t xml:space="preserve"> 份，副本 8</w:t>
      </w:r>
      <w:r>
        <w:rPr>
          <w:spacing w:val="9"/>
        </w:rPr>
        <w:t xml:space="preserve"> </w:t>
      </w:r>
      <w:r>
        <w:rPr>
          <w:spacing w:val="-1"/>
        </w:rPr>
        <w:t>份，正本与副本具有同等的法律效</w:t>
      </w:r>
      <w:r>
        <w:rPr>
          <w:rFonts w:hint="eastAsia"/>
          <w:spacing w:val="-1"/>
          <w:lang w:val="en-US" w:eastAsia="zh-CN"/>
        </w:rPr>
        <w:t>力。</w:t>
      </w:r>
    </w:p>
    <w:p w14:paraId="3F240583">
      <w:pPr>
        <w:spacing w:line="395" w:lineRule="auto"/>
        <w:rPr>
          <w:rFonts w:ascii="Arial"/>
          <w:sz w:val="21"/>
        </w:rPr>
      </w:pPr>
    </w:p>
    <w:p w14:paraId="53491F14">
      <w:pPr>
        <w:spacing w:line="395" w:lineRule="auto"/>
        <w:rPr>
          <w:rFonts w:ascii="Arial"/>
          <w:sz w:val="21"/>
        </w:rPr>
      </w:pPr>
    </w:p>
    <w:p w14:paraId="74E6CC25">
      <w:pPr>
        <w:spacing w:line="395" w:lineRule="auto"/>
        <w:rPr>
          <w:rFonts w:ascii="Arial"/>
          <w:sz w:val="21"/>
        </w:rPr>
      </w:pPr>
    </w:p>
    <w:p w14:paraId="5E0B6481">
      <w:pPr>
        <w:pStyle w:val="7"/>
        <w:spacing w:before="91" w:line="219" w:lineRule="auto"/>
        <w:ind w:left="3063"/>
      </w:pPr>
      <w:r>
        <w:rPr>
          <w:spacing w:val="-2"/>
        </w:rPr>
        <w:t xml:space="preserve">第七章 </w:t>
      </w:r>
      <w:r>
        <w:rPr>
          <w:b/>
          <w:bCs/>
          <w:spacing w:val="-2"/>
        </w:rPr>
        <w:t>投标文件格式</w:t>
      </w:r>
    </w:p>
    <w:p w14:paraId="3518AE19">
      <w:pPr>
        <w:pStyle w:val="7"/>
        <w:spacing w:before="68" w:line="221" w:lineRule="auto"/>
        <w:ind w:left="589"/>
        <w:jc w:val="center"/>
      </w:pPr>
      <w:r>
        <w:rPr>
          <w:spacing w:val="-8"/>
        </w:rPr>
        <w:t>（封</w:t>
      </w:r>
      <w:r>
        <w:rPr>
          <w:spacing w:val="6"/>
        </w:rPr>
        <w:t xml:space="preserve">  </w:t>
      </w:r>
      <w:r>
        <w:rPr>
          <w:spacing w:val="-8"/>
        </w:rPr>
        <w:t>面）</w:t>
      </w:r>
    </w:p>
    <w:p w14:paraId="08509FB5">
      <w:pPr>
        <w:pStyle w:val="7"/>
        <w:spacing w:before="62" w:line="220" w:lineRule="auto"/>
        <w:ind w:left="3419"/>
        <w:jc w:val="both"/>
        <w:rPr>
          <w:spacing w:val="-10"/>
        </w:rPr>
      </w:pPr>
    </w:p>
    <w:p w14:paraId="2A463ADD">
      <w:pPr>
        <w:pStyle w:val="7"/>
        <w:spacing w:before="62" w:line="220" w:lineRule="auto"/>
        <w:ind w:left="3419"/>
        <w:jc w:val="both"/>
        <w:rPr>
          <w:spacing w:val="-10"/>
        </w:rPr>
      </w:pPr>
    </w:p>
    <w:p w14:paraId="0C425979">
      <w:pPr>
        <w:pStyle w:val="7"/>
        <w:spacing w:before="62" w:line="220" w:lineRule="auto"/>
        <w:ind w:left="3419"/>
        <w:jc w:val="both"/>
        <w:rPr>
          <w:spacing w:val="-10"/>
        </w:rPr>
      </w:pPr>
    </w:p>
    <w:p w14:paraId="64A2D7AC">
      <w:pPr>
        <w:pStyle w:val="7"/>
        <w:spacing w:before="62" w:line="220" w:lineRule="auto"/>
        <w:ind w:left="3419"/>
        <w:jc w:val="both"/>
        <w:rPr>
          <w:spacing w:val="-10"/>
        </w:rPr>
      </w:pPr>
    </w:p>
    <w:p w14:paraId="48645BA7">
      <w:pPr>
        <w:pStyle w:val="7"/>
        <w:spacing w:before="62" w:line="220" w:lineRule="auto"/>
        <w:ind w:left="3419"/>
        <w:jc w:val="both"/>
        <w:rPr>
          <w:spacing w:val="-10"/>
        </w:rPr>
      </w:pPr>
    </w:p>
    <w:p w14:paraId="7CDB8812">
      <w:pPr>
        <w:pStyle w:val="7"/>
        <w:spacing w:before="62" w:line="220" w:lineRule="auto"/>
        <w:ind w:left="3419"/>
        <w:jc w:val="both"/>
        <w:rPr>
          <w:spacing w:val="-10"/>
        </w:rPr>
      </w:pPr>
    </w:p>
    <w:p w14:paraId="33DAB270">
      <w:pPr>
        <w:pageBreakBefore w:val="0"/>
        <w:kinsoku/>
        <w:wordWrap/>
        <w:overflowPunct/>
        <w:topLinePunct w:val="0"/>
        <w:bidi w:val="0"/>
        <w:spacing w:beforeAutospacing="0" w:afterAutospacing="0" w:line="400" w:lineRule="exact"/>
        <w:ind w:right="98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标项</w:t>
      </w:r>
      <w:r>
        <w:rPr>
          <w:rFonts w:hint="eastAsia" w:ascii="宋体" w:hAnsi="宋体" w:eastAsia="宋体" w:cs="宋体"/>
          <w:color w:val="000000"/>
          <w:sz w:val="24"/>
          <w:szCs w:val="24"/>
          <w:highlight w:val="none"/>
        </w:rPr>
        <w:t>名称）</w:t>
      </w:r>
    </w:p>
    <w:p w14:paraId="5D2D54CC">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68F8A5D5">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项目编号： </w:t>
      </w:r>
    </w:p>
    <w:p w14:paraId="6064D9E6">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4DB1D9B8">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37AA9C3E">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156BD199">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0" w:name="_Toc10629"/>
      <w:bookmarkStart w:id="1" w:name="_Toc29518"/>
      <w:bookmarkStart w:id="2" w:name="_Toc11015"/>
      <w:bookmarkStart w:id="3" w:name="_Toc7996"/>
      <w:r>
        <w:rPr>
          <w:rFonts w:hint="eastAsia" w:ascii="宋体" w:hAnsi="宋体" w:eastAsia="宋体" w:cs="宋体"/>
          <w:b/>
          <w:bCs/>
          <w:color w:val="000000"/>
          <w:sz w:val="24"/>
          <w:szCs w:val="24"/>
          <w:highlight w:val="none"/>
        </w:rPr>
        <w:t>投  标  文  件</w:t>
      </w:r>
      <w:bookmarkEnd w:id="0"/>
      <w:bookmarkEnd w:id="1"/>
      <w:bookmarkEnd w:id="2"/>
      <w:bookmarkEnd w:id="3"/>
    </w:p>
    <w:p w14:paraId="373FA80F">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01C3701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8EC3DF0">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1CABCFAB">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58EA98E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：（盖单位章）</w:t>
      </w:r>
    </w:p>
    <w:p w14:paraId="7EB1545A">
      <w:pPr>
        <w:pStyle w:val="12"/>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投标人地址：</w:t>
      </w:r>
    </w:p>
    <w:p w14:paraId="0F6C6D5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6DB6C8CF">
      <w:pPr>
        <w:pageBreakBefore w:val="0"/>
        <w:kinsoku/>
        <w:wordWrap/>
        <w:overflowPunct/>
        <w:topLinePunct w:val="0"/>
        <w:bidi w:val="0"/>
        <w:spacing w:beforeAutospacing="0" w:afterAutospacing="0" w:line="4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0A957F2B">
      <w:pPr>
        <w:pStyle w:val="12"/>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授权委托人：</w:t>
      </w:r>
    </w:p>
    <w:p w14:paraId="7EA40BB9">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联系电话：</w:t>
      </w:r>
    </w:p>
    <w:p w14:paraId="4ACE586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61D56D1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2E60F9A0">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4" w:name="_Toc11239"/>
      <w:bookmarkStart w:id="5" w:name="_Toc22228"/>
      <w:bookmarkStart w:id="6" w:name="_Toc10107"/>
      <w:bookmarkStart w:id="7" w:name="_Toc7073"/>
      <w:r>
        <w:rPr>
          <w:rFonts w:hint="eastAsia" w:ascii="宋体" w:hAnsi="宋体" w:eastAsia="宋体" w:cs="宋体"/>
          <w:color w:val="000000"/>
          <w:sz w:val="24"/>
          <w:szCs w:val="24"/>
          <w:highlight w:val="none"/>
        </w:rPr>
        <w:t>年        月        日</w:t>
      </w:r>
      <w:bookmarkEnd w:id="4"/>
      <w:bookmarkEnd w:id="5"/>
      <w:bookmarkEnd w:id="6"/>
      <w:bookmarkEnd w:id="7"/>
    </w:p>
    <w:p w14:paraId="68E06376">
      <w:pPr>
        <w:pStyle w:val="7"/>
        <w:spacing w:before="87" w:line="222" w:lineRule="auto"/>
        <w:ind w:left="4170"/>
        <w:rPr>
          <w:spacing w:val="-32"/>
        </w:rPr>
      </w:pPr>
    </w:p>
    <w:p w14:paraId="71D109AA">
      <w:pPr>
        <w:pStyle w:val="7"/>
        <w:spacing w:before="87" w:line="222" w:lineRule="auto"/>
        <w:ind w:left="4170"/>
        <w:rPr>
          <w:spacing w:val="-32"/>
        </w:rPr>
      </w:pPr>
    </w:p>
    <w:p w14:paraId="266F5ACF">
      <w:pPr>
        <w:pStyle w:val="7"/>
        <w:spacing w:before="87" w:line="222" w:lineRule="auto"/>
        <w:ind w:left="4170"/>
        <w:rPr>
          <w:spacing w:val="-32"/>
        </w:rPr>
      </w:pPr>
    </w:p>
    <w:p w14:paraId="75372920">
      <w:pPr>
        <w:pStyle w:val="7"/>
        <w:spacing w:before="87" w:line="222" w:lineRule="auto"/>
        <w:ind w:left="4170"/>
        <w:rPr>
          <w:spacing w:val="-32"/>
        </w:rPr>
      </w:pPr>
    </w:p>
    <w:p w14:paraId="2D55A435">
      <w:pPr>
        <w:pStyle w:val="7"/>
        <w:spacing w:before="87" w:line="222" w:lineRule="auto"/>
        <w:ind w:left="4170"/>
        <w:rPr>
          <w:spacing w:val="-32"/>
        </w:rPr>
      </w:pPr>
    </w:p>
    <w:p w14:paraId="52B159E9">
      <w:pPr>
        <w:pStyle w:val="7"/>
        <w:spacing w:before="87" w:line="222" w:lineRule="auto"/>
        <w:ind w:left="4170"/>
        <w:rPr>
          <w:spacing w:val="-32"/>
        </w:rPr>
      </w:pPr>
    </w:p>
    <w:p w14:paraId="2FEBD4E5">
      <w:pPr>
        <w:pStyle w:val="7"/>
        <w:spacing w:before="87" w:line="222" w:lineRule="auto"/>
        <w:ind w:left="4170"/>
        <w:rPr>
          <w:spacing w:val="-32"/>
        </w:rPr>
      </w:pPr>
    </w:p>
    <w:p w14:paraId="7603138B">
      <w:pPr>
        <w:pStyle w:val="7"/>
        <w:spacing w:before="87" w:line="222" w:lineRule="auto"/>
        <w:ind w:left="4170"/>
        <w:rPr>
          <w:spacing w:val="-32"/>
        </w:rPr>
      </w:pPr>
    </w:p>
    <w:p w14:paraId="53631420">
      <w:pPr>
        <w:pStyle w:val="7"/>
        <w:spacing w:before="87" w:line="222" w:lineRule="auto"/>
        <w:ind w:left="4170"/>
        <w:rPr>
          <w:spacing w:val="-32"/>
        </w:rPr>
      </w:pPr>
    </w:p>
    <w:p w14:paraId="2E347BB1">
      <w:pPr>
        <w:pStyle w:val="7"/>
        <w:spacing w:before="87" w:line="222" w:lineRule="auto"/>
        <w:rPr>
          <w:spacing w:val="-32"/>
        </w:rPr>
      </w:pPr>
    </w:p>
    <w:p w14:paraId="3D1A5D0F">
      <w:pPr>
        <w:pStyle w:val="7"/>
        <w:spacing w:before="87" w:line="222" w:lineRule="auto"/>
        <w:ind w:left="4170"/>
        <w:rPr>
          <w:spacing w:val="-32"/>
        </w:rPr>
      </w:pPr>
      <w:r>
        <w:rPr>
          <w:spacing w:val="-32"/>
        </w:rPr>
        <w:t>目录</w:t>
      </w:r>
    </w:p>
    <w:p w14:paraId="648E0AF5">
      <w:pPr>
        <w:pStyle w:val="7"/>
        <w:spacing w:before="87" w:line="222" w:lineRule="auto"/>
        <w:ind w:left="4170"/>
        <w:rPr>
          <w:spacing w:val="-32"/>
        </w:rPr>
      </w:pPr>
    </w:p>
    <w:p w14:paraId="5E905480">
      <w:pPr>
        <w:pStyle w:val="7"/>
        <w:spacing w:before="63" w:line="220" w:lineRule="auto"/>
        <w:ind w:left="586"/>
      </w:pPr>
      <w:r>
        <w:rPr>
          <w:spacing w:val="-1"/>
        </w:rPr>
        <w:t>一、资格证明文件………………………………………（页数）</w:t>
      </w:r>
    </w:p>
    <w:p w14:paraId="016C671A">
      <w:pPr>
        <w:pStyle w:val="7"/>
        <w:spacing w:before="67" w:line="220" w:lineRule="auto"/>
        <w:ind w:left="586"/>
      </w:pPr>
      <w:r>
        <w:rPr>
          <w:spacing w:val="-1"/>
        </w:rPr>
        <w:t>二、</w:t>
      </w:r>
      <w:r>
        <w:rPr>
          <w:rFonts w:hint="eastAsia"/>
          <w:spacing w:val="-1"/>
          <w:lang w:val="en-US" w:eastAsia="zh-CN"/>
        </w:rPr>
        <w:t>报价响应文件</w:t>
      </w:r>
      <w:r>
        <w:rPr>
          <w:spacing w:val="-1"/>
        </w:rPr>
        <w:t>………………………………………（页数）</w:t>
      </w:r>
    </w:p>
    <w:p w14:paraId="18AB0050">
      <w:pPr>
        <w:pStyle w:val="7"/>
        <w:spacing w:before="64" w:line="219" w:lineRule="auto"/>
        <w:ind w:left="581"/>
        <w:rPr>
          <w:spacing w:val="-1"/>
        </w:rPr>
      </w:pPr>
      <w:r>
        <w:rPr>
          <w:spacing w:val="-1"/>
        </w:rPr>
        <w:t>三、</w:t>
      </w:r>
      <w:r>
        <w:rPr>
          <w:rFonts w:hint="eastAsia"/>
          <w:spacing w:val="-1"/>
          <w:lang w:val="en-US" w:eastAsia="zh-CN"/>
        </w:rPr>
        <w:t>商务技术响应文件</w:t>
      </w:r>
      <w:r>
        <w:rPr>
          <w:spacing w:val="-1"/>
        </w:rPr>
        <w:t>…………………………………（页数）</w:t>
      </w:r>
    </w:p>
    <w:p w14:paraId="2C5DD226">
      <w:pPr>
        <w:pStyle w:val="7"/>
        <w:spacing w:before="64" w:line="219" w:lineRule="auto"/>
        <w:ind w:left="581"/>
        <w:rPr>
          <w:spacing w:val="-1"/>
        </w:rPr>
      </w:pPr>
    </w:p>
    <w:p w14:paraId="10D783DB">
      <w:pPr>
        <w:pStyle w:val="7"/>
        <w:spacing w:before="64" w:line="219" w:lineRule="auto"/>
        <w:ind w:left="581"/>
        <w:rPr>
          <w:spacing w:val="-1"/>
        </w:rPr>
      </w:pPr>
    </w:p>
    <w:p w14:paraId="08378D7A">
      <w:pPr>
        <w:pStyle w:val="7"/>
        <w:spacing w:before="64" w:line="219" w:lineRule="auto"/>
        <w:ind w:left="581"/>
        <w:rPr>
          <w:rFonts w:hint="default" w:eastAsia="宋体"/>
          <w:spacing w:val="-1"/>
          <w:lang w:val="en-US" w:eastAsia="zh-CN"/>
        </w:rPr>
      </w:pPr>
      <w:r>
        <w:rPr>
          <w:rFonts w:hint="eastAsia"/>
          <w:spacing w:val="-1"/>
          <w:lang w:val="en-US" w:eastAsia="zh-CN"/>
        </w:rPr>
        <w:t>自行添加详细的二级、三级目录</w:t>
      </w:r>
    </w:p>
    <w:p w14:paraId="63BDB807">
      <w:pPr>
        <w:pStyle w:val="7"/>
        <w:spacing w:before="66" w:line="220" w:lineRule="auto"/>
        <w:ind w:left="584"/>
      </w:pPr>
    </w:p>
    <w:p w14:paraId="4B1E4A7D">
      <w:pPr>
        <w:spacing w:line="220" w:lineRule="auto"/>
        <w:sectPr>
          <w:footerReference r:id="rId14" w:type="default"/>
          <w:pgSz w:w="11906" w:h="16839"/>
          <w:pgMar w:top="1431" w:right="1785" w:bottom="0" w:left="1785" w:header="113" w:footer="907" w:gutter="0"/>
          <w:pgNumType w:fmt="decimal"/>
          <w:cols w:space="720" w:num="1"/>
        </w:sectPr>
      </w:pPr>
    </w:p>
    <w:p w14:paraId="4BE84398">
      <w:pPr>
        <w:pStyle w:val="15"/>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一、资格审查资料</w:t>
      </w:r>
    </w:p>
    <w:p w14:paraId="39F33BEA">
      <w:pPr>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highlight w:val="yellow"/>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投   标   书</w:t>
      </w:r>
    </w:p>
    <w:p w14:paraId="07DDCB7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yellow"/>
        </w:rPr>
      </w:pPr>
    </w:p>
    <w:p w14:paraId="32509C1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1AD94D26">
      <w:pPr>
        <w:pStyle w:val="3"/>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1413B03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（项目名称）     （项目编号：  ）</w:t>
      </w:r>
      <w:r>
        <w:rPr>
          <w:rFonts w:hint="eastAsia" w:ascii="宋体" w:hAnsi="宋体" w:eastAsia="宋体" w:cs="宋体"/>
          <w:color w:val="000000"/>
          <w:sz w:val="24"/>
          <w:szCs w:val="24"/>
          <w:highlight w:val="none"/>
        </w:rPr>
        <w:t>招标文件，经认真研究，我们决定参加本次招标活动。</w:t>
      </w:r>
    </w:p>
    <w:p w14:paraId="305F2A3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1、按照招标文件中的一切要求，提供招标相关服务人民币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rPr>
        <w:t>元（用阿拉伯数字书写），大写</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rPr>
        <w:t>。</w:t>
      </w:r>
    </w:p>
    <w:p w14:paraId="4D76FB5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2、如果我们的投标文件被接受，我们将履行招标文件中规定的每一项义务和要求，按期、按质、按量完成交货。</w:t>
      </w:r>
    </w:p>
    <w:p w14:paraId="7D118E7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3、我们同意按招标文件的规定，本投标文件的有效期为开标后</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天。</w:t>
      </w:r>
    </w:p>
    <w:p w14:paraId="1A77FF4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4、我们愿意提供</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在招标文件中要求的所有资料。</w:t>
      </w:r>
    </w:p>
    <w:p w14:paraId="03B3F8F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14:paraId="7B8BCAE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6、我们愿按合同法履行自己的全部责任。</w:t>
      </w:r>
    </w:p>
    <w:p w14:paraId="01717C0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7、我们愿意遵守国家有关规定和招标文件中规定的收费标准，承付中标服务费。</w:t>
      </w:r>
    </w:p>
    <w:p w14:paraId="0664E55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8、该项投标在开标后的全过程中保持有效，不作任何更改和变动。</w:t>
      </w:r>
    </w:p>
    <w:p w14:paraId="32ECBCD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9、我们同意按招标文件规定，交纳投标保证金。</w:t>
      </w:r>
    </w:p>
    <w:p w14:paraId="3F96FFC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14:paraId="45C57AD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14:paraId="2F2C691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6C58B98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法定代表人或授权代表人（签字或盖章）：</w:t>
      </w:r>
    </w:p>
    <w:p w14:paraId="4092E23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59DF5CD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联系人：</w:t>
      </w:r>
    </w:p>
    <w:p w14:paraId="460FA03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color w:val="000000"/>
          <w:sz w:val="24"/>
          <w:szCs w:val="24"/>
          <w:highlight w:val="none"/>
        </w:rPr>
      </w:pPr>
    </w:p>
    <w:p w14:paraId="2574DDA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sz w:val="24"/>
          <w:szCs w:val="24"/>
          <w:lang w:eastAsia="zh-CN"/>
        </w:rPr>
        <w:sectPr>
          <w:headerReference r:id="rId15" w:type="default"/>
          <w:footerReference r:id="rId16" w:type="default"/>
          <w:pgSz w:w="11906" w:h="16838"/>
          <w:pgMar w:top="1440" w:right="1800" w:bottom="1440" w:left="1380" w:header="851" w:footer="992" w:gutter="0"/>
          <w:pgNumType w:fmt="decimal"/>
          <w:cols w:space="720" w:num="1"/>
          <w:docGrid w:type="lines" w:linePitch="312" w:charSpace="0"/>
        </w:sectPr>
      </w:pPr>
      <w:r>
        <w:rPr>
          <w:rFonts w:hint="eastAsia" w:ascii="宋体" w:hAnsi="宋体" w:eastAsia="宋体" w:cs="宋体"/>
          <w:color w:val="000000"/>
          <w:sz w:val="24"/>
          <w:szCs w:val="24"/>
          <w:highlight w:val="none"/>
        </w:rPr>
        <w:t>年  月  日</w:t>
      </w:r>
    </w:p>
    <w:p w14:paraId="0092D2B4">
      <w:pPr>
        <w:pStyle w:val="5"/>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3201501F">
      <w:pPr>
        <w:pStyle w:val="8"/>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w:t>
      </w:r>
      <w:r>
        <w:rPr>
          <w:rFonts w:hint="eastAsia" w:ascii="宋体" w:hAnsi="宋体" w:eastAsia="宋体" w:cs="宋体"/>
          <w:b/>
          <w:color w:val="000000"/>
          <w:sz w:val="24"/>
          <w:szCs w:val="24"/>
          <w:highlight w:val="none"/>
        </w:rPr>
        <w:t>、法定代表人身份证明（法定代表人投标提供）</w:t>
      </w:r>
    </w:p>
    <w:p w14:paraId="2CA7F272">
      <w:pPr>
        <w:pStyle w:val="2"/>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bookmarkStart w:id="8" w:name="_Toc251236133"/>
      <w:r>
        <w:rPr>
          <w:rFonts w:hint="eastAsia" w:ascii="宋体" w:hAnsi="宋体" w:eastAsia="宋体" w:cs="宋体"/>
          <w:color w:val="000000"/>
          <w:sz w:val="24"/>
          <w:szCs w:val="24"/>
          <w:highlight w:val="none"/>
        </w:rPr>
        <w:t>法定代表人证明书</w:t>
      </w:r>
      <w:bookmarkEnd w:id="8"/>
    </w:p>
    <w:p w14:paraId="168CDC73">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1F592314">
      <w:pPr>
        <w:pageBreakBefore w:val="0"/>
        <w:tabs>
          <w:tab w:val="left" w:pos="900"/>
        </w:tabs>
        <w:kinsoku/>
        <w:wordWrap/>
        <w:overflowPunct/>
        <w:topLinePunct w:val="0"/>
        <w:bidi w:val="0"/>
        <w:spacing w:beforeAutospacing="0" w:afterAutospacing="0"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14:paraId="62C371D0">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bl>
      <w:tblPr>
        <w:tblStyle w:val="16"/>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3152"/>
      </w:tblGrid>
      <w:tr w14:paraId="3B0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634B9F0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营业执照(注册号)： </w:t>
            </w:r>
          </w:p>
        </w:tc>
        <w:tc>
          <w:tcPr>
            <w:tcW w:w="3152" w:type="dxa"/>
          </w:tcPr>
          <w:p w14:paraId="3825BD1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p>
        </w:tc>
      </w:tr>
      <w:tr w14:paraId="75C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32ADB49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r>
      <w:tr w14:paraId="0222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1008D4E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w:t>
            </w:r>
          </w:p>
        </w:tc>
      </w:tr>
      <w:tr w14:paraId="51DF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185B8F1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法定代表人年龄：</w:t>
            </w:r>
          </w:p>
        </w:tc>
        <w:tc>
          <w:tcPr>
            <w:tcW w:w="3152" w:type="dxa"/>
          </w:tcPr>
          <w:p w14:paraId="246F3C5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p>
        </w:tc>
      </w:tr>
    </w:tbl>
    <w:p w14:paraId="667E89C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21321E0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32F7EED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有效日期：</w:t>
      </w:r>
    </w:p>
    <w:p w14:paraId="21B24B55">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年   月   日</w:t>
      </w:r>
    </w:p>
    <w:p w14:paraId="1F3B54C5">
      <w:pPr>
        <w:pStyle w:val="2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C0A6D9B">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bookmarkStart w:id="9" w:name="_Toc50737297"/>
      <w:bookmarkStart w:id="10" w:name="_Toc52165081"/>
      <w:bookmarkStart w:id="11" w:name="_Toc251236134"/>
      <w:bookmarkStart w:id="12" w:name="_Toc50736477"/>
      <w:bookmarkStart w:id="13" w:name="_Toc50737329"/>
    </w:p>
    <w:p w14:paraId="255D83D7">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29596B20">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6B2763A0">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34BB675A">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5184EE0">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9EA0ABB">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6A0ED46B">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38DF4B7">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9F27B5F">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F83433A">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64A4110">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4DECB4B">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F7BCF71">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92A69A3">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38859D6">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19885FA">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3955E21A">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6E0200F6">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CEB6DB5">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r>
        <w:rPr>
          <w:rFonts w:hint="eastAsia" w:hAnsi="宋体" w:cs="宋体"/>
          <w:b/>
          <w:bCs/>
          <w:color w:val="000000"/>
          <w:kern w:val="2"/>
          <w:sz w:val="24"/>
          <w:szCs w:val="24"/>
          <w:highlight w:val="none"/>
          <w:lang w:val="en-US" w:eastAsia="zh-CN"/>
        </w:rPr>
        <w:t>3</w:t>
      </w:r>
      <w:r>
        <w:rPr>
          <w:rFonts w:hint="eastAsia" w:ascii="宋体" w:hAnsi="宋体" w:eastAsia="宋体" w:cs="宋体"/>
          <w:b/>
          <w:bCs/>
          <w:color w:val="000000"/>
          <w:kern w:val="2"/>
          <w:sz w:val="24"/>
          <w:szCs w:val="24"/>
          <w:highlight w:val="none"/>
          <w:lang w:val="en-US" w:eastAsia="zh-CN"/>
        </w:rPr>
        <w:t>、</w:t>
      </w:r>
      <w:r>
        <w:rPr>
          <w:rFonts w:hint="eastAsia" w:ascii="宋体" w:hAnsi="宋体" w:eastAsia="宋体" w:cs="宋体"/>
          <w:b/>
          <w:bCs/>
          <w:color w:val="000000"/>
          <w:kern w:val="2"/>
          <w:sz w:val="24"/>
          <w:szCs w:val="24"/>
          <w:highlight w:val="none"/>
        </w:rPr>
        <w:t>法定代表人授权委托书</w:t>
      </w:r>
      <w:bookmarkEnd w:id="9"/>
      <w:bookmarkEnd w:id="10"/>
      <w:bookmarkEnd w:id="11"/>
      <w:bookmarkEnd w:id="12"/>
      <w:bookmarkEnd w:id="13"/>
    </w:p>
    <w:p w14:paraId="5ABF597E">
      <w:pPr>
        <w:pStyle w:val="23"/>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p>
    <w:tbl>
      <w:tblPr>
        <w:tblStyle w:val="1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781"/>
        <w:gridCol w:w="2385"/>
        <w:gridCol w:w="1215"/>
      </w:tblGrid>
      <w:tr w14:paraId="57C8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6AF8A4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p>
        </w:tc>
        <w:tc>
          <w:tcPr>
            <w:tcW w:w="6381" w:type="dxa"/>
            <w:gridSpan w:val="3"/>
            <w:vAlign w:val="center"/>
          </w:tcPr>
          <w:p w14:paraId="3CC0546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2D18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900496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381" w:type="dxa"/>
            <w:gridSpan w:val="3"/>
            <w:vAlign w:val="center"/>
          </w:tcPr>
          <w:p w14:paraId="571747B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3E29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0A3E20A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781" w:type="dxa"/>
            <w:vAlign w:val="center"/>
          </w:tcPr>
          <w:p w14:paraId="6ED298A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7C9D84A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215" w:type="dxa"/>
            <w:vAlign w:val="center"/>
          </w:tcPr>
          <w:p w14:paraId="673C88F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6BE4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553EAFE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法人营业执照注册号</w:t>
            </w:r>
          </w:p>
        </w:tc>
        <w:tc>
          <w:tcPr>
            <w:tcW w:w="2781" w:type="dxa"/>
            <w:vAlign w:val="center"/>
          </w:tcPr>
          <w:p w14:paraId="057A77E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70D9DBD0">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注册于（国家或地区）</w:t>
            </w:r>
          </w:p>
        </w:tc>
        <w:tc>
          <w:tcPr>
            <w:tcW w:w="1215" w:type="dxa"/>
            <w:vAlign w:val="center"/>
          </w:tcPr>
          <w:p w14:paraId="715A6F2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301A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02C288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w:t>
            </w:r>
          </w:p>
        </w:tc>
        <w:tc>
          <w:tcPr>
            <w:tcW w:w="2781" w:type="dxa"/>
            <w:vAlign w:val="center"/>
          </w:tcPr>
          <w:p w14:paraId="130FF1EB">
            <w:pPr>
              <w:pageBreakBefore w:val="0"/>
              <w:kinsoku/>
              <w:wordWrap/>
              <w:overflowPunct/>
              <w:topLinePunct w:val="0"/>
              <w:bidi w:val="0"/>
              <w:spacing w:beforeAutospacing="0" w:afterAutospacing="0" w:line="400" w:lineRule="exact"/>
              <w:ind w:right="105"/>
              <w:rPr>
                <w:rFonts w:hint="eastAsia" w:ascii="宋体" w:hAnsi="宋体" w:eastAsia="宋体" w:cs="宋体"/>
                <w:sz w:val="24"/>
                <w:szCs w:val="24"/>
                <w:highlight w:val="none"/>
              </w:rPr>
            </w:pPr>
          </w:p>
        </w:tc>
        <w:tc>
          <w:tcPr>
            <w:tcW w:w="2385" w:type="dxa"/>
            <w:vAlign w:val="center"/>
          </w:tcPr>
          <w:p w14:paraId="45204CF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授权代表人性别</w:t>
            </w:r>
          </w:p>
        </w:tc>
        <w:tc>
          <w:tcPr>
            <w:tcW w:w="1215" w:type="dxa"/>
            <w:vAlign w:val="center"/>
          </w:tcPr>
          <w:p w14:paraId="752F116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5321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639D66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授权代表人身份证号</w:t>
            </w:r>
          </w:p>
        </w:tc>
        <w:tc>
          <w:tcPr>
            <w:tcW w:w="2781" w:type="dxa"/>
            <w:vAlign w:val="center"/>
          </w:tcPr>
          <w:p w14:paraId="7299303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4267761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授权代表人职务</w:t>
            </w:r>
          </w:p>
        </w:tc>
        <w:tc>
          <w:tcPr>
            <w:tcW w:w="1215" w:type="dxa"/>
            <w:vAlign w:val="center"/>
          </w:tcPr>
          <w:p w14:paraId="181F647D">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bl>
    <w:p w14:paraId="6E4D0414">
      <w:pPr>
        <w:pageBreakBefore w:val="0"/>
        <w:kinsoku/>
        <w:wordWrap/>
        <w:overflowPunct/>
        <w:topLinePunct w:val="0"/>
        <w:bidi w:val="0"/>
        <w:spacing w:beforeAutospacing="0" w:afterAutospacing="0" w:line="400" w:lineRule="exact"/>
        <w:ind w:left="2" w:firstLine="460" w:firstLineChars="192"/>
        <w:rPr>
          <w:rFonts w:hint="eastAsia" w:ascii="宋体" w:hAnsi="宋体" w:eastAsia="宋体" w:cs="宋体"/>
          <w:color w:val="000000"/>
          <w:sz w:val="24"/>
          <w:szCs w:val="24"/>
          <w:highlight w:val="none"/>
        </w:rPr>
      </w:pPr>
    </w:p>
    <w:p w14:paraId="3F8A1C46">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14:paraId="2A626637">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4AEA5E8">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年   月   日</w:t>
      </w:r>
      <w:r>
        <w:rPr>
          <w:rFonts w:hint="eastAsia" w:ascii="宋体" w:hAnsi="宋体" w:eastAsia="宋体" w:cs="宋体"/>
          <w:sz w:val="24"/>
          <w:szCs w:val="24"/>
          <w:highlight w:val="none"/>
        </w:rPr>
        <w:t>。</w:t>
      </w:r>
    </w:p>
    <w:p w14:paraId="6A944FB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D1C41F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4E673C9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2439035</wp:posOffset>
                </wp:positionH>
                <wp:positionV relativeFrom="paragraph">
                  <wp:posOffset>70485</wp:posOffset>
                </wp:positionV>
                <wp:extent cx="3485515" cy="1979295"/>
                <wp:effectExtent l="4445" t="4445" r="15240" b="16510"/>
                <wp:wrapNone/>
                <wp:docPr id="2" name="矩形 2"/>
                <wp:cNvGraphicFramePr/>
                <a:graphic xmlns:a="http://schemas.openxmlformats.org/drawingml/2006/main">
                  <a:graphicData uri="http://schemas.microsoft.com/office/word/2010/wordprocessingShape">
                    <wps:wsp>
                      <wps:cNvSpPr/>
                      <wps:spPr>
                        <a:xfrm>
                          <a:off x="0" y="0"/>
                          <a:ext cx="3485515" cy="1979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6D447C">
                            <w:pPr>
                              <w:rPr>
                                <w:rFonts w:eastAsia="黑体"/>
                                <w:b/>
                                <w:sz w:val="30"/>
                              </w:rPr>
                            </w:pPr>
                          </w:p>
                          <w:p w14:paraId="6F226A70">
                            <w:pPr>
                              <w:rPr>
                                <w:rFonts w:eastAsia="黑体"/>
                                <w:b/>
                                <w:sz w:val="30"/>
                              </w:rPr>
                            </w:pPr>
                          </w:p>
                          <w:p w14:paraId="1A009979">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wps:txbx>
                      <wps:bodyPr upright="1"/>
                    </wps:wsp>
                  </a:graphicData>
                </a:graphic>
              </wp:anchor>
            </w:drawing>
          </mc:Choice>
          <mc:Fallback>
            <w:pict>
              <v:rect id="_x0000_s1026" o:spid="_x0000_s1026" o:spt="1" style="position:absolute;left:0pt;margin-left:192.05pt;margin-top:5.55pt;height:155.85pt;width:274.45pt;z-index:251659264;mso-width-relative:page;mso-height-relative:page;" fillcolor="#FFFFFF" filled="t" stroked="t" coordsize="21600,21600" o:gfxdata="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Epl51wAAAAoBAAAPAAAAAAAAAAEAIAAAACIAAABkcnMvZG93&#10;bnJldi54bWxQSwECFAAUAAAACACHTuJAElnFIQECAAAqBAAADgAAAAAAAAABACAAAAAmAQAAZHJz&#10;L2Uyb0RvYy54bWxQSwUGAAAAAAYABgBZAQAAmQUAAAAA&#10;">
                <v:fill on="t" focussize="0,0"/>
                <v:stroke color="#000000" joinstyle="miter"/>
                <v:imagedata o:title=""/>
                <o:lock v:ext="edit" aspectratio="f"/>
                <v:textbox>
                  <w:txbxContent>
                    <w:p w14:paraId="2C6D447C">
                      <w:pPr>
                        <w:rPr>
                          <w:rFonts w:eastAsia="黑体"/>
                          <w:b/>
                          <w:sz w:val="30"/>
                        </w:rPr>
                      </w:pPr>
                    </w:p>
                    <w:p w14:paraId="6F226A70">
                      <w:pPr>
                        <w:rPr>
                          <w:rFonts w:eastAsia="黑体"/>
                          <w:b/>
                          <w:sz w:val="30"/>
                        </w:rPr>
                      </w:pPr>
                    </w:p>
                    <w:p w14:paraId="1A009979">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v:textbox>
              </v:rect>
            </w:pict>
          </mc:Fallback>
        </mc:AlternateContent>
      </w:r>
    </w:p>
    <w:p w14:paraId="3F162EA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7CBF0B3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2BF3199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授权代表人签字或盖章：</w:t>
      </w:r>
    </w:p>
    <w:p w14:paraId="58F92186">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0320CCA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05944C53">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04E4F156">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2EF3593B">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4B050BE1">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1CDB9F48">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207F9DF0">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22C26CE4">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7013FF93">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39AB4F79">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7C7BA5EE">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178DB869">
      <w:pPr>
        <w:pStyle w:val="8"/>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11FE2616">
      <w:pPr>
        <w:pStyle w:val="8"/>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cs="宋体"/>
          <w:b/>
          <w:bCs w:val="0"/>
          <w:color w:val="000000"/>
          <w:sz w:val="24"/>
          <w:szCs w:val="24"/>
          <w:highlight w:val="none"/>
          <w:lang w:val="en-US" w:eastAsia="zh-CN"/>
        </w:rPr>
        <w:t>4</w:t>
      </w:r>
      <w:r>
        <w:rPr>
          <w:rFonts w:hint="eastAsia" w:ascii="宋体" w:hAnsi="宋体" w:eastAsia="宋体" w:cs="宋体"/>
          <w:b/>
          <w:bCs w:val="0"/>
          <w:color w:val="000000"/>
          <w:sz w:val="24"/>
          <w:szCs w:val="24"/>
          <w:highlight w:val="none"/>
        </w:rPr>
        <w:t>、</w:t>
      </w:r>
      <w:r>
        <w:rPr>
          <w:rFonts w:hint="eastAsia" w:ascii="宋体" w:hAnsi="宋体" w:eastAsia="宋体" w:cs="宋体"/>
          <w:b/>
          <w:bCs w:val="0"/>
          <w:sz w:val="24"/>
          <w:szCs w:val="24"/>
          <w:lang w:val="zh-CN" w:eastAsia="zh-CN"/>
        </w:rPr>
        <w:t>法人营业执照</w:t>
      </w:r>
    </w:p>
    <w:p w14:paraId="5BB1C72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45A535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783819F4">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140AA8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现附上由（签发机关名称）签发的我方法人营业执照复印件，该执照已经年检，真实有效。</w:t>
      </w:r>
    </w:p>
    <w:p w14:paraId="6FBE9FEC">
      <w:pPr>
        <w:pageBreakBefore w:val="0"/>
        <w:kinsoku/>
        <w:wordWrap/>
        <w:overflowPunct/>
        <w:topLinePunct w:val="0"/>
        <w:bidi w:val="0"/>
        <w:spacing w:beforeAutospacing="0" w:afterAutospacing="0" w:line="400" w:lineRule="exact"/>
        <w:ind w:firstLine="852"/>
        <w:rPr>
          <w:rFonts w:hint="eastAsia" w:ascii="宋体" w:hAnsi="宋体" w:eastAsia="宋体" w:cs="宋体"/>
          <w:color w:val="000000"/>
          <w:sz w:val="24"/>
          <w:szCs w:val="24"/>
          <w:highlight w:val="none"/>
        </w:rPr>
      </w:pPr>
    </w:p>
    <w:p w14:paraId="4BE5B28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FAE9C33">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3899720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D47DE27">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67F5A0B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5601BBF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8A4440A">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5B73E3A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70C64996">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后附：</w:t>
      </w:r>
      <w:r>
        <w:rPr>
          <w:rFonts w:hint="eastAsia" w:ascii="宋体" w:hAnsi="宋体" w:eastAsia="宋体" w:cs="宋体"/>
          <w:sz w:val="24"/>
          <w:szCs w:val="24"/>
          <w:lang w:val="zh-CN" w:eastAsia="zh-CN"/>
        </w:rPr>
        <w:t>法人营业执照</w:t>
      </w:r>
    </w:p>
    <w:p w14:paraId="7083AD01">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43D5FC98">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21B9FE1B">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4B18B888">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CC3F7F7">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D06C6E9">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C0365B5">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56A7B3F9">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44FE8780">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8668CA0">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FED3C97">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085E7C9">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812DC42">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089DF41">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CB17D0F">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78865B1">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4FE71493">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FABF90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02B1035">
      <w:pPr>
        <w:pageBreakBefore w:val="0"/>
        <w:kinsoku/>
        <w:wordWrap/>
        <w:overflowPunct/>
        <w:topLinePunct w:val="0"/>
        <w:bidi w:val="0"/>
        <w:spacing w:beforeAutospacing="0" w:afterAutospacing="0" w:line="400" w:lineRule="exact"/>
        <w:jc w:val="both"/>
        <w:rPr>
          <w:rFonts w:hint="eastAsia" w:ascii="宋体" w:hAnsi="宋体" w:eastAsia="宋体" w:cs="宋体"/>
          <w:b/>
          <w:bCs/>
          <w:sz w:val="24"/>
          <w:szCs w:val="24"/>
          <w:lang w:val="en-US" w:eastAsia="zh-CN"/>
        </w:rPr>
      </w:pPr>
    </w:p>
    <w:p w14:paraId="15C9C714">
      <w:pPr>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5、诚信投标承诺书</w:t>
      </w:r>
    </w:p>
    <w:p w14:paraId="04CE4D39">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我公司作为本次采购项目的投标人，根据招标文件要求，现郑重承诺如下：</w:t>
      </w:r>
    </w:p>
    <w:p w14:paraId="2D375602">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14:paraId="06BFDB62">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（一）具有独立承担民事责任的能力； </w:t>
      </w:r>
    </w:p>
    <w:p w14:paraId="165CB480">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（二）具有良好的商业信誉和健全的财务会计制度； </w:t>
      </w:r>
    </w:p>
    <w:p w14:paraId="64D93B8B">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（三）具有履行合同所必需的设备和专业技术能力； </w:t>
      </w:r>
    </w:p>
    <w:p w14:paraId="39DD84C9">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（四）有依法缴纳税收和社会保障资金的良好记录； </w:t>
      </w:r>
    </w:p>
    <w:p w14:paraId="48D5E86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（五）参加本次政府采购活动前三年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1日</w:t>
      </w:r>
      <w:r>
        <w:rPr>
          <w:rFonts w:hint="eastAsia" w:ascii="宋体" w:hAnsi="宋体" w:eastAsia="宋体" w:cs="宋体"/>
          <w:color w:val="auto"/>
          <w:sz w:val="24"/>
          <w:lang w:val="en-US" w:eastAsia="zh-CN"/>
        </w:rPr>
        <w:t>至今</w:t>
      </w:r>
      <w:r>
        <w:rPr>
          <w:rFonts w:hint="eastAsia" w:ascii="宋体" w:hAnsi="宋体" w:eastAsia="宋体" w:cs="宋体"/>
          <w:color w:val="auto"/>
          <w:sz w:val="24"/>
          <w:lang w:eastAsia="zh-CN"/>
        </w:rPr>
        <w:t>）</w:t>
      </w:r>
      <w:r>
        <w:rPr>
          <w:rFonts w:hint="eastAsia" w:ascii="宋体" w:hAnsi="宋体" w:eastAsia="宋体" w:cs="宋体"/>
          <w:color w:val="auto"/>
          <w:sz w:val="24"/>
        </w:rPr>
        <w:t>内，在经营活动中没有重大违法记录；</w:t>
      </w:r>
    </w:p>
    <w:p w14:paraId="38654007">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14:paraId="4FDCD8F1">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（七）根据采购项目提出的特殊条件。</w:t>
      </w:r>
    </w:p>
    <w:p w14:paraId="2F68ABC7">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4EE7FED3">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三、参加本次招标采购活动，不存在与单位负责人为同一人或者存在直接控股、管理关系的其他供应商参与同一合同项下的政府采购活动的行为。</w:t>
      </w:r>
    </w:p>
    <w:p w14:paraId="0C929278">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四、参加本次招标采购活动，不存在和其他供应商在同一合同项下的采购项目中，同时委托同一个自然人、同一家庭的人员、同一单位的人员作为代理人的行为。</w:t>
      </w:r>
    </w:p>
    <w:p w14:paraId="603E7083">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五、投标文件中提供的能够给予我公司带来优惠、好处的任何材料资料和技术、服务、商务等响应承诺情况都是真实的、有效的、合法的。</w:t>
      </w:r>
    </w:p>
    <w:p w14:paraId="5A665340">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六、在本次投标之前一周年内，投标人本次投标中对同一品牌同一型号相同配置的产品报价与其在中国境内其他地方的最低报价比例不得高于20%，我单位承诺符合该要求。</w:t>
      </w:r>
    </w:p>
    <w:p w14:paraId="4560D001">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）重大违法记录（如投标人在参加政府采购活动前3年内因违法经营被禁止在一定期限内参加政府采购活动，期限届满的，可以参加政府采购活动）；</w:t>
      </w:r>
    </w:p>
    <w:p w14:paraId="76A868F6">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615845E5">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本公司对上述承诺的内容事项真实性负责。如经查实上述承诺的内容事项存在虚假，我公司愿意接受以提供虚假材料谋取中标追究法律责任。      </w:t>
      </w:r>
    </w:p>
    <w:p w14:paraId="19096795">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eastAsia="宋体" w:cs="宋体"/>
          <w:color w:val="auto"/>
          <w:sz w:val="24"/>
        </w:rPr>
        <w:t>：（公章）</w:t>
      </w:r>
    </w:p>
    <w:p w14:paraId="49D1E761">
      <w:pPr>
        <w:spacing w:line="276" w:lineRule="auto"/>
        <w:ind w:firstLine="480" w:firstLineChars="200"/>
        <w:rPr>
          <w:rFonts w:hint="eastAsia" w:ascii="宋体" w:hAnsi="宋体" w:eastAsia="宋体" w:cs="宋体"/>
          <w:b/>
          <w:sz w:val="28"/>
        </w:rPr>
      </w:pPr>
      <w:r>
        <w:rPr>
          <w:rFonts w:hint="eastAsia" w:ascii="宋体" w:hAnsi="宋体" w:eastAsia="宋体" w:cs="宋体"/>
          <w:color w:val="auto"/>
          <w:sz w:val="24"/>
        </w:rPr>
        <w:t xml:space="preserve">法定代表人：（签字）       </w:t>
      </w:r>
      <w:r>
        <w:rPr>
          <w:rFonts w:hint="eastAsia" w:ascii="宋体" w:hAnsi="宋体" w:eastAsia="宋体" w:cs="宋体"/>
          <w:color w:val="auto"/>
          <w:sz w:val="24"/>
          <w:lang w:val="en-US" w:eastAsia="zh-CN"/>
        </w:rPr>
        <w:t>或</w:t>
      </w:r>
      <w:r>
        <w:rPr>
          <w:rFonts w:hint="eastAsia" w:ascii="宋体" w:hAnsi="宋体" w:eastAsia="宋体" w:cs="宋体"/>
          <w:color w:val="auto"/>
          <w:sz w:val="24"/>
        </w:rPr>
        <w:t>法</w:t>
      </w:r>
      <w:r>
        <w:rPr>
          <w:rFonts w:hint="eastAsia" w:ascii="宋体" w:hAnsi="宋体" w:eastAsia="宋体" w:cs="宋体"/>
          <w:color w:val="auto"/>
          <w:sz w:val="24"/>
          <w:lang w:val="en-US" w:eastAsia="zh-CN"/>
        </w:rPr>
        <w:t>定</w:t>
      </w:r>
      <w:r>
        <w:rPr>
          <w:rFonts w:hint="eastAsia" w:ascii="宋体" w:hAnsi="宋体" w:eastAsia="宋体" w:cs="宋体"/>
          <w:color w:val="auto"/>
          <w:sz w:val="24"/>
        </w:rPr>
        <w:t>代表授权委托人：（签字）</w:t>
      </w:r>
    </w:p>
    <w:p w14:paraId="2C881188">
      <w:pPr>
        <w:pStyle w:val="15"/>
        <w:rPr>
          <w:rFonts w:hint="eastAsia"/>
        </w:rPr>
      </w:pPr>
    </w:p>
    <w:p w14:paraId="2E7EEAF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lang w:val="en-US" w:eastAsia="zh-CN"/>
        </w:rPr>
      </w:pPr>
    </w:p>
    <w:p w14:paraId="26CE3006">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lang w:val="zh-CN" w:eastAsia="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lang w:val="zh-CN" w:eastAsia="zh-CN"/>
        </w:rPr>
        <w:t>投标单位（供应商）反商业贿赂承诺书</w:t>
      </w:r>
    </w:p>
    <w:p w14:paraId="15996BB6">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招标法》、《反不正当竞争法》的有关规定接受处罚。</w:t>
      </w:r>
    </w:p>
    <w:p w14:paraId="1F4DE36B">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bCs/>
          <w:color w:val="000000"/>
          <w:sz w:val="24"/>
          <w:szCs w:val="24"/>
          <w:highlight w:val="none"/>
          <w:lang w:val="zh-CN"/>
        </w:rPr>
      </w:pPr>
    </w:p>
    <w:p w14:paraId="5D462C3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642CE6D7">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3C1463FF">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1AE9856E">
      <w:pPr>
        <w:pStyle w:val="23"/>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398CB636">
      <w:pPr>
        <w:pStyle w:val="1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25FE759A">
      <w:pPr>
        <w:pStyle w:val="15"/>
        <w:jc w:val="center"/>
        <w:rPr>
          <w:rFonts w:hint="eastAsia" w:ascii="宋体" w:hAnsi="宋体" w:cs="宋体"/>
          <w:b/>
          <w:bCs/>
          <w:sz w:val="24"/>
          <w:szCs w:val="24"/>
          <w:lang w:val="en-US" w:eastAsia="zh-CN"/>
        </w:rPr>
      </w:pPr>
    </w:p>
    <w:p w14:paraId="201CB52E">
      <w:pPr>
        <w:pStyle w:val="15"/>
        <w:jc w:val="center"/>
        <w:rPr>
          <w:rFonts w:hint="eastAsia" w:ascii="宋体" w:hAnsi="宋体" w:cs="宋体"/>
          <w:b/>
          <w:bCs/>
          <w:sz w:val="24"/>
          <w:szCs w:val="24"/>
          <w:lang w:val="en-US" w:eastAsia="zh-CN"/>
        </w:rPr>
      </w:pPr>
    </w:p>
    <w:p w14:paraId="5D637C78">
      <w:pPr>
        <w:pStyle w:val="15"/>
        <w:jc w:val="center"/>
        <w:rPr>
          <w:rFonts w:hint="eastAsia" w:ascii="宋体" w:hAnsi="宋体" w:cs="宋体"/>
          <w:b/>
          <w:bCs/>
          <w:sz w:val="24"/>
          <w:szCs w:val="24"/>
          <w:lang w:val="en-US" w:eastAsia="zh-CN"/>
        </w:rPr>
      </w:pPr>
    </w:p>
    <w:p w14:paraId="5FD14182">
      <w:pPr>
        <w:pStyle w:val="15"/>
        <w:jc w:val="center"/>
        <w:rPr>
          <w:rFonts w:hint="eastAsia" w:ascii="宋体" w:hAnsi="宋体" w:cs="宋体"/>
          <w:b/>
          <w:bCs/>
          <w:sz w:val="24"/>
          <w:szCs w:val="24"/>
          <w:lang w:val="en-US" w:eastAsia="zh-CN"/>
        </w:rPr>
      </w:pPr>
    </w:p>
    <w:p w14:paraId="5515727C">
      <w:pPr>
        <w:pStyle w:val="15"/>
        <w:jc w:val="center"/>
        <w:rPr>
          <w:rFonts w:hint="eastAsia" w:ascii="宋体" w:hAnsi="宋体" w:cs="宋体"/>
          <w:b/>
          <w:bCs/>
          <w:sz w:val="24"/>
          <w:szCs w:val="24"/>
          <w:lang w:val="en-US" w:eastAsia="zh-CN"/>
        </w:rPr>
      </w:pPr>
    </w:p>
    <w:p w14:paraId="316D6420">
      <w:pPr>
        <w:pStyle w:val="15"/>
        <w:jc w:val="center"/>
        <w:rPr>
          <w:rFonts w:hint="eastAsia" w:ascii="宋体" w:hAnsi="宋体" w:cs="宋体"/>
          <w:b/>
          <w:bCs/>
          <w:sz w:val="24"/>
          <w:szCs w:val="24"/>
          <w:lang w:val="en-US" w:eastAsia="zh-CN"/>
        </w:rPr>
      </w:pPr>
    </w:p>
    <w:p w14:paraId="5FC006AA">
      <w:pPr>
        <w:pStyle w:val="15"/>
        <w:jc w:val="center"/>
        <w:rPr>
          <w:rFonts w:hint="eastAsia" w:ascii="宋体" w:hAnsi="宋体" w:cs="宋体"/>
          <w:b/>
          <w:bCs/>
          <w:sz w:val="24"/>
          <w:szCs w:val="24"/>
          <w:lang w:val="en-US" w:eastAsia="zh-CN"/>
        </w:rPr>
      </w:pPr>
    </w:p>
    <w:p w14:paraId="700391B5">
      <w:pPr>
        <w:pStyle w:val="15"/>
        <w:jc w:val="center"/>
        <w:rPr>
          <w:rFonts w:hint="eastAsia" w:ascii="宋体" w:hAnsi="宋体" w:cs="宋体"/>
          <w:b/>
          <w:bCs/>
          <w:sz w:val="24"/>
          <w:szCs w:val="24"/>
          <w:lang w:val="en-US" w:eastAsia="zh-CN"/>
        </w:rPr>
      </w:pPr>
    </w:p>
    <w:p w14:paraId="2BA4F67E">
      <w:pPr>
        <w:pStyle w:val="15"/>
        <w:jc w:val="center"/>
        <w:rPr>
          <w:rFonts w:hint="eastAsia" w:ascii="宋体" w:hAnsi="宋体" w:cs="宋体"/>
          <w:b/>
          <w:bCs/>
          <w:sz w:val="24"/>
          <w:szCs w:val="24"/>
          <w:lang w:val="en-US" w:eastAsia="zh-CN"/>
        </w:rPr>
      </w:pPr>
    </w:p>
    <w:p w14:paraId="54342A16">
      <w:pPr>
        <w:pStyle w:val="15"/>
        <w:jc w:val="center"/>
        <w:rPr>
          <w:rFonts w:hint="eastAsia" w:ascii="宋体" w:hAnsi="宋体" w:cs="宋体"/>
          <w:b/>
          <w:bCs/>
          <w:sz w:val="24"/>
          <w:szCs w:val="24"/>
          <w:lang w:val="en-US" w:eastAsia="zh-CN"/>
        </w:rPr>
      </w:pPr>
    </w:p>
    <w:p w14:paraId="4D6CC0A4">
      <w:pPr>
        <w:pStyle w:val="15"/>
        <w:jc w:val="center"/>
        <w:rPr>
          <w:rFonts w:hint="eastAsia" w:ascii="宋体" w:hAnsi="宋体" w:cs="宋体"/>
          <w:b/>
          <w:bCs/>
          <w:sz w:val="24"/>
          <w:szCs w:val="24"/>
          <w:lang w:val="en-US" w:eastAsia="zh-CN"/>
        </w:rPr>
      </w:pPr>
    </w:p>
    <w:p w14:paraId="6DCCE13D">
      <w:pPr>
        <w:pStyle w:val="15"/>
        <w:jc w:val="center"/>
        <w:rPr>
          <w:rFonts w:hint="eastAsia" w:ascii="宋体" w:hAnsi="宋体" w:cs="宋体"/>
          <w:b/>
          <w:bCs/>
          <w:sz w:val="24"/>
          <w:szCs w:val="24"/>
          <w:lang w:val="en-US" w:eastAsia="zh-CN"/>
        </w:rPr>
      </w:pPr>
    </w:p>
    <w:p w14:paraId="4DE6E393">
      <w:pPr>
        <w:pStyle w:val="15"/>
        <w:jc w:val="center"/>
        <w:rPr>
          <w:rFonts w:hint="eastAsia" w:ascii="宋体" w:hAnsi="宋体" w:cs="宋体"/>
          <w:b/>
          <w:bCs/>
          <w:sz w:val="24"/>
          <w:szCs w:val="24"/>
          <w:lang w:val="en-US" w:eastAsia="zh-CN"/>
        </w:rPr>
      </w:pPr>
    </w:p>
    <w:p w14:paraId="7163CB50">
      <w:pPr>
        <w:pStyle w:val="15"/>
        <w:jc w:val="center"/>
        <w:rPr>
          <w:rFonts w:hint="eastAsia" w:ascii="宋体" w:hAnsi="宋体" w:cs="宋体"/>
          <w:b/>
          <w:bCs/>
          <w:sz w:val="24"/>
          <w:szCs w:val="24"/>
          <w:lang w:val="en-US" w:eastAsia="zh-CN"/>
        </w:rPr>
      </w:pPr>
    </w:p>
    <w:p w14:paraId="0BF2661A">
      <w:pPr>
        <w:pStyle w:val="15"/>
        <w:jc w:val="center"/>
        <w:rPr>
          <w:rFonts w:hint="eastAsia" w:ascii="宋体" w:hAnsi="宋体" w:cs="宋体"/>
          <w:b/>
          <w:bCs/>
          <w:sz w:val="24"/>
          <w:szCs w:val="24"/>
          <w:lang w:val="en-US" w:eastAsia="zh-CN"/>
        </w:rPr>
      </w:pPr>
    </w:p>
    <w:p w14:paraId="17E17849">
      <w:pPr>
        <w:pStyle w:val="15"/>
        <w:jc w:val="center"/>
        <w:rPr>
          <w:rFonts w:hint="eastAsia" w:ascii="宋体" w:hAnsi="宋体" w:cs="宋体"/>
          <w:b/>
          <w:bCs/>
          <w:sz w:val="24"/>
          <w:szCs w:val="24"/>
          <w:lang w:val="en-US" w:eastAsia="zh-CN"/>
        </w:rPr>
      </w:pPr>
    </w:p>
    <w:p w14:paraId="65D7A8D0">
      <w:pPr>
        <w:pStyle w:val="15"/>
        <w:jc w:val="center"/>
        <w:rPr>
          <w:rFonts w:hint="eastAsia" w:ascii="宋体" w:hAnsi="宋体" w:cs="宋体"/>
          <w:b/>
          <w:bCs/>
          <w:sz w:val="24"/>
          <w:szCs w:val="24"/>
          <w:lang w:val="en-US" w:eastAsia="zh-CN"/>
        </w:rPr>
      </w:pPr>
    </w:p>
    <w:p w14:paraId="265AAC83">
      <w:pPr>
        <w:pStyle w:val="15"/>
        <w:jc w:val="center"/>
        <w:rPr>
          <w:rFonts w:hint="eastAsia" w:ascii="宋体" w:hAnsi="宋体" w:cs="宋体"/>
          <w:b/>
          <w:bCs/>
          <w:sz w:val="24"/>
          <w:szCs w:val="24"/>
          <w:lang w:val="en-US" w:eastAsia="zh-CN"/>
        </w:rPr>
      </w:pPr>
    </w:p>
    <w:p w14:paraId="4A8624A5">
      <w:pPr>
        <w:pStyle w:val="15"/>
        <w:jc w:val="center"/>
        <w:rPr>
          <w:rFonts w:hint="eastAsia" w:ascii="宋体" w:hAnsi="宋体" w:cs="宋体"/>
          <w:b/>
          <w:bCs/>
          <w:sz w:val="24"/>
          <w:szCs w:val="24"/>
          <w:lang w:val="en-US" w:eastAsia="zh-CN"/>
        </w:rPr>
      </w:pPr>
    </w:p>
    <w:p w14:paraId="344EE55E">
      <w:pPr>
        <w:pStyle w:val="15"/>
        <w:jc w:val="center"/>
        <w:rPr>
          <w:rFonts w:hint="eastAsia" w:ascii="宋体" w:hAnsi="宋体" w:cs="宋体"/>
          <w:b/>
          <w:bCs/>
          <w:sz w:val="24"/>
          <w:szCs w:val="24"/>
          <w:lang w:val="en-US" w:eastAsia="zh-CN"/>
        </w:rPr>
      </w:pPr>
    </w:p>
    <w:p w14:paraId="3A4ACFD7">
      <w:pPr>
        <w:pStyle w:val="15"/>
        <w:jc w:val="center"/>
        <w:rPr>
          <w:rFonts w:hint="eastAsia" w:ascii="宋体" w:hAnsi="宋体" w:cs="宋体"/>
          <w:b/>
          <w:bCs/>
          <w:sz w:val="24"/>
          <w:szCs w:val="24"/>
          <w:lang w:val="en-US" w:eastAsia="zh-CN"/>
        </w:rPr>
      </w:pPr>
    </w:p>
    <w:p w14:paraId="1E5374AE">
      <w:pPr>
        <w:pStyle w:val="15"/>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中</w:t>
      </w:r>
      <w:r>
        <w:rPr>
          <w:rFonts w:hint="eastAsia" w:ascii="宋体" w:hAnsi="宋体" w:eastAsia="宋体" w:cs="宋体"/>
          <w:b/>
          <w:bCs/>
          <w:sz w:val="24"/>
          <w:szCs w:val="24"/>
          <w:highlight w:val="none"/>
          <w:lang w:val="en-US" w:eastAsia="zh-CN"/>
        </w:rPr>
        <w:t>小企业声明函（服务）（实质性要求</w:t>
      </w:r>
      <w:r>
        <w:rPr>
          <w:rFonts w:hint="eastAsia" w:ascii="宋体" w:hAnsi="宋体" w:eastAsia="宋体" w:cs="宋体"/>
          <w:b/>
          <w:bCs/>
          <w:sz w:val="24"/>
          <w:szCs w:val="24"/>
          <w:lang w:val="en-US" w:eastAsia="zh-CN"/>
        </w:rPr>
        <w:t>）</w:t>
      </w:r>
    </w:p>
    <w:p w14:paraId="68469C26">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投标人标人企业类型声明函</w:t>
      </w:r>
    </w:p>
    <w:p w14:paraId="7F5A00B5">
      <w:pPr>
        <w:pageBreakBefore w:val="0"/>
        <w:kinsoku/>
        <w:wordWrap/>
        <w:overflowPunct/>
        <w:topLinePunct w:val="0"/>
        <w:bidi w:val="0"/>
        <w:spacing w:beforeAutospacing="0" w:afterAutospacing="0" w:line="400" w:lineRule="exact"/>
        <w:jc w:val="both"/>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Cs w:val="0"/>
          <w:color w:val="000000"/>
          <w:kern w:val="0"/>
          <w:sz w:val="24"/>
          <w:szCs w:val="24"/>
          <w:highlight w:val="none"/>
          <w:lang w:val="en-US" w:eastAsia="zh-CN"/>
        </w:rPr>
        <w:t>7.1</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中小企业声明函</w:t>
      </w:r>
    </w:p>
    <w:p w14:paraId="6B0F9C62">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textAlignment w:val="auto"/>
      </w:pPr>
    </w:p>
    <w:p w14:paraId="27199338">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 </w:t>
      </w:r>
    </w:p>
    <w:p w14:paraId="4F763AD4">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标的名称） ，属于</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采购文件中明确的所属行业）；承接企业为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企业名称），从业人员</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人，营业收入为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万元，资产总额为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万元 ，属于</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xml:space="preserve">中型企业、 小型企业、微型企业）； </w:t>
      </w:r>
    </w:p>
    <w:p w14:paraId="06FC9C53">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 </w:t>
      </w:r>
    </w:p>
    <w:p w14:paraId="43FA33BB">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以上企业，不属于大企业的分支机构，不存在控股股东为大企业的情形，也不存在与大企业的负责人为同一人的情形。 </w:t>
      </w:r>
    </w:p>
    <w:p w14:paraId="2D1B8CC5">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w:t>
      </w:r>
    </w:p>
    <w:p w14:paraId="124B61D8">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p>
    <w:p w14:paraId="63C7B1DD">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本企业对上述声明内容的真实性负责。如有虚假，将</w:t>
      </w:r>
      <w:r>
        <w:rPr>
          <w:rFonts w:hint="eastAsia" w:ascii="宋体" w:hAnsi="宋体" w:eastAsia="宋体" w:cs="宋体"/>
          <w:color w:val="000000"/>
          <w:kern w:val="2"/>
          <w:sz w:val="24"/>
          <w:szCs w:val="24"/>
          <w:highlight w:val="none"/>
          <w:lang w:val="en-US" w:eastAsia="zh-CN" w:bidi="ar-SA"/>
        </w:rPr>
        <w:t>依法承担相应责任。</w:t>
      </w:r>
    </w:p>
    <w:p w14:paraId="0F9FB6D3">
      <w:pPr>
        <w:pStyle w:val="7"/>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14:paraId="10D27C85">
      <w:pPr>
        <w:pStyle w:val="7"/>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14:paraId="59098E28">
      <w:pPr>
        <w:pStyle w:val="7"/>
        <w:pageBreakBefore w:val="0"/>
        <w:kinsoku/>
        <w:wordWrap/>
        <w:overflowPunct/>
        <w:topLinePunct w:val="0"/>
        <w:bidi w:val="0"/>
        <w:spacing w:beforeAutospacing="0" w:after="0" w:afterAutospacing="0" w:line="400" w:lineRule="exact"/>
        <w:ind w:firstLine="2640" w:firstLineChars="1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投标单位</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（单位公章）</w:t>
      </w:r>
    </w:p>
    <w:p w14:paraId="01482073">
      <w:pPr>
        <w:pStyle w:val="7"/>
        <w:pageBreakBefore w:val="0"/>
        <w:kinsoku/>
        <w:wordWrap/>
        <w:overflowPunct/>
        <w:topLinePunct w:val="0"/>
        <w:bidi w:val="0"/>
        <w:spacing w:beforeAutospacing="0" w:after="0" w:afterAutospacing="0" w:line="400" w:lineRule="exact"/>
        <w:ind w:firstLine="3840" w:firstLineChars="16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2"/>
          <w:sz w:val="24"/>
          <w:szCs w:val="24"/>
          <w:highlight w:val="none"/>
          <w:lang w:val="en-US" w:eastAsia="zh-CN" w:bidi="ar-SA"/>
        </w:rPr>
        <w:t>日 期</w:t>
      </w:r>
      <w:r>
        <w:rPr>
          <w:rFonts w:hint="eastAsia" w:ascii="宋体" w:hAnsi="宋体" w:eastAsia="宋体" w:cs="宋体"/>
          <w:b/>
          <w:color w:val="auto"/>
          <w:sz w:val="24"/>
          <w:szCs w:val="24"/>
          <w:highlight w:val="none"/>
        </w:rPr>
        <w:t>：</w:t>
      </w:r>
    </w:p>
    <w:p w14:paraId="539A4B13">
      <w:pPr>
        <w:pStyle w:val="7"/>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2EC44BE6">
      <w:pPr>
        <w:pStyle w:val="7"/>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43D6781B">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7F1B1950">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3B969E91">
      <w:pPr>
        <w:pStyle w:val="15"/>
        <w:rPr>
          <w:rFonts w:hint="eastAsia" w:ascii="宋体" w:hAnsi="宋体" w:eastAsia="宋体" w:cs="宋体"/>
          <w:b/>
          <w:color w:val="auto"/>
          <w:kern w:val="0"/>
          <w:sz w:val="24"/>
          <w:szCs w:val="24"/>
          <w:highlight w:val="none"/>
          <w:lang w:val="en-US" w:eastAsia="zh-CN"/>
        </w:rPr>
      </w:pPr>
    </w:p>
    <w:p w14:paraId="7EFF0214">
      <w:pPr>
        <w:pStyle w:val="15"/>
        <w:rPr>
          <w:rFonts w:hint="eastAsia" w:ascii="宋体" w:hAnsi="宋体" w:eastAsia="宋体" w:cs="宋体"/>
          <w:b/>
          <w:color w:val="auto"/>
          <w:kern w:val="0"/>
          <w:sz w:val="24"/>
          <w:szCs w:val="24"/>
          <w:highlight w:val="none"/>
          <w:lang w:val="en-US" w:eastAsia="zh-CN"/>
        </w:rPr>
      </w:pPr>
    </w:p>
    <w:p w14:paraId="5BE322D3">
      <w:pPr>
        <w:pStyle w:val="15"/>
        <w:rPr>
          <w:rFonts w:hint="eastAsia" w:ascii="宋体" w:hAnsi="宋体" w:eastAsia="宋体" w:cs="宋体"/>
          <w:b/>
          <w:color w:val="auto"/>
          <w:kern w:val="0"/>
          <w:sz w:val="24"/>
          <w:szCs w:val="24"/>
          <w:highlight w:val="none"/>
          <w:lang w:val="en-US" w:eastAsia="zh-CN"/>
        </w:rPr>
      </w:pPr>
    </w:p>
    <w:p w14:paraId="5D46AE07">
      <w:pPr>
        <w:pStyle w:val="15"/>
        <w:rPr>
          <w:rFonts w:hint="eastAsia" w:ascii="宋体" w:hAnsi="宋体" w:eastAsia="宋体" w:cs="宋体"/>
          <w:b/>
          <w:color w:val="auto"/>
          <w:kern w:val="0"/>
          <w:sz w:val="24"/>
          <w:szCs w:val="24"/>
          <w:highlight w:val="none"/>
          <w:lang w:val="en-US" w:eastAsia="zh-CN"/>
        </w:rPr>
      </w:pPr>
    </w:p>
    <w:p w14:paraId="15A14C3A">
      <w:pPr>
        <w:pStyle w:val="15"/>
        <w:rPr>
          <w:rFonts w:hint="eastAsia" w:ascii="宋体" w:hAnsi="宋体" w:eastAsia="宋体" w:cs="宋体"/>
          <w:b/>
          <w:color w:val="auto"/>
          <w:kern w:val="0"/>
          <w:sz w:val="24"/>
          <w:szCs w:val="24"/>
          <w:highlight w:val="none"/>
          <w:lang w:val="en-US" w:eastAsia="zh-CN"/>
        </w:rPr>
      </w:pPr>
    </w:p>
    <w:p w14:paraId="0647BA6B">
      <w:pPr>
        <w:pStyle w:val="15"/>
        <w:rPr>
          <w:rFonts w:hint="eastAsia" w:ascii="宋体" w:hAnsi="宋体" w:eastAsia="宋体" w:cs="宋体"/>
          <w:b/>
          <w:color w:val="auto"/>
          <w:kern w:val="0"/>
          <w:sz w:val="24"/>
          <w:szCs w:val="24"/>
          <w:highlight w:val="none"/>
          <w:lang w:val="en-US" w:eastAsia="zh-CN"/>
        </w:rPr>
      </w:pPr>
    </w:p>
    <w:p w14:paraId="5B036377">
      <w:pPr>
        <w:pageBreakBefore w:val="0"/>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296D6291">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lang w:val="en-US" w:eastAsia="zh-CN"/>
        </w:rPr>
      </w:pPr>
    </w:p>
    <w:p w14:paraId="606D3CA8">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7.2</w:t>
      </w:r>
      <w:r>
        <w:rPr>
          <w:rFonts w:hint="eastAsia" w:ascii="宋体" w:hAnsi="宋体" w:eastAsia="宋体" w:cs="宋体"/>
          <w:b/>
          <w:color w:val="auto"/>
          <w:kern w:val="0"/>
          <w:sz w:val="24"/>
          <w:szCs w:val="24"/>
          <w:highlight w:val="none"/>
        </w:rPr>
        <w:t>监狱企业声明函</w:t>
      </w:r>
    </w:p>
    <w:p w14:paraId="52774F8A">
      <w:pPr>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（监狱企业适用）</w:t>
      </w:r>
    </w:p>
    <w:p w14:paraId="300869F1">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本公司郑重声明，根据《关于政府采购支持监狱企业发展有关问题的通知》（财库[2014]68号）的规定，本公司为监狱企业。</w:t>
      </w:r>
    </w:p>
    <w:p w14:paraId="20BA9D35">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本公司参加______单位的______项目采购活动，采购活动提供本企业（</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填写制造的货物，由本企业承担工程、提供服务）。</w:t>
      </w:r>
    </w:p>
    <w:p w14:paraId="6CE889E4">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本条所称货物不包括使用大型企业注册商标的货物和服务。</w:t>
      </w:r>
    </w:p>
    <w:p w14:paraId="47A16849">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7A6189B5">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p>
    <w:p w14:paraId="4CCF330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企业名称（盖公章）：</w:t>
      </w:r>
    </w:p>
    <w:p w14:paraId="39C9C11B">
      <w:pPr>
        <w:pageBreakBefore w:val="0"/>
        <w:kinsoku/>
        <w:wordWrap/>
        <w:overflowPunct/>
        <w:topLinePunct w:val="0"/>
        <w:bidi w:val="0"/>
        <w:spacing w:beforeAutospacing="0" w:afterAutospacing="0" w:line="400" w:lineRule="exac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（负责人）或其授权代表(签字)：</w:t>
      </w:r>
    </w:p>
    <w:p w14:paraId="1D61EE16">
      <w:pPr>
        <w:pageBreakBefore w:val="0"/>
        <w:tabs>
          <w:tab w:val="left" w:pos="2880"/>
        </w:tabs>
        <w:kinsoku/>
        <w:wordWrap/>
        <w:overflowPunct/>
        <w:topLinePunct w:val="0"/>
        <w:bidi w:val="0"/>
        <w:spacing w:beforeAutospacing="0" w:afterAutospacing="0" w:line="4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p>
    <w:p w14:paraId="00A83035">
      <w:pPr>
        <w:pStyle w:val="5"/>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3A297391">
      <w:pPr>
        <w:pStyle w:val="2"/>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lang w:val="en-US" w:eastAsia="zh-CN"/>
        </w:rPr>
        <w:t>7.3</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残疾人福利性单位声明函</w:t>
      </w:r>
    </w:p>
    <w:p w14:paraId="6CFB97D5">
      <w:pPr>
        <w:pStyle w:val="7"/>
        <w:pageBreakBefore w:val="0"/>
        <w:kinsoku/>
        <w:wordWrap/>
        <w:overflowPunct/>
        <w:topLinePunct w:val="0"/>
        <w:bidi w:val="0"/>
        <w:spacing w:beforeAutospacing="0" w:after="0" w:afterAutospacing="0" w:line="400" w:lineRule="exact"/>
        <w:rPr>
          <w:rFonts w:hint="eastAsia" w:ascii="宋体" w:hAnsi="宋体" w:eastAsia="宋体" w:cs="宋体"/>
          <w:color w:val="000000"/>
          <w:sz w:val="24"/>
          <w:szCs w:val="24"/>
          <w:highlight w:val="none"/>
        </w:rPr>
      </w:pPr>
    </w:p>
    <w:p w14:paraId="3A2F347A">
      <w:pPr>
        <w:pStyle w:val="7"/>
        <w:pageBreakBefore w:val="0"/>
        <w:kinsoku/>
        <w:wordWrap/>
        <w:overflowPunct/>
        <w:topLinePunct w:val="0"/>
        <w:bidi w:val="0"/>
        <w:spacing w:beforeAutospacing="0" w:after="0" w:afterAutospacing="0" w:line="400" w:lineRule="exact"/>
        <w:ind w:left="567" w:right="567" w:firstLine="1512" w:firstLineChars="63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（非残疾人福利性单位投标，不需此件）</w:t>
      </w:r>
    </w:p>
    <w:p w14:paraId="5AAC18B3">
      <w:pPr>
        <w:pStyle w:val="7"/>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14:paraId="280560AF">
      <w:pPr>
        <w:pStyle w:val="7"/>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本单位对上述声明的真实性负责。如有虚假，将依法承担相应责任。 </w:t>
      </w:r>
    </w:p>
    <w:p w14:paraId="443D7B89">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p>
    <w:p w14:paraId="4AE32D80">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15226F0B">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25E5605E">
      <w:pPr>
        <w:pStyle w:val="7"/>
        <w:pageBreakBefore w:val="0"/>
        <w:tabs>
          <w:tab w:val="left" w:pos="5765"/>
          <w:tab w:val="left" w:pos="8831"/>
          <w:tab w:val="left" w:pos="8927"/>
        </w:tabs>
        <w:kinsoku/>
        <w:wordWrap/>
        <w:overflowPunct/>
        <w:topLinePunct w:val="0"/>
        <w:bidi w:val="0"/>
        <w:spacing w:beforeAutospacing="0" w:after="0" w:afterAutospacing="0" w:line="400" w:lineRule="exact"/>
        <w:ind w:left="4798" w:right="2257" w:hanging="24"/>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ab/>
      </w:r>
      <w:r>
        <w:rPr>
          <w:rFonts w:hint="eastAsia" w:ascii="宋体" w:hAnsi="宋体" w:eastAsia="宋体" w:cs="宋体"/>
          <w:color w:val="000000"/>
          <w:kern w:val="0"/>
          <w:sz w:val="24"/>
          <w:szCs w:val="24"/>
          <w:highlight w:val="none"/>
          <w:lang w:val="zh-CN"/>
        </w:rPr>
        <w:tab/>
      </w:r>
    </w:p>
    <w:p w14:paraId="6D454B55">
      <w:pPr>
        <w:pStyle w:val="23"/>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日</w:t>
      </w:r>
      <w:r>
        <w:rPr>
          <w:rFonts w:hint="eastAsia" w:ascii="宋体" w:hAnsi="宋体" w:eastAsia="宋体" w:cs="宋体"/>
          <w:color w:val="000000"/>
          <w:sz w:val="24"/>
          <w:szCs w:val="24"/>
          <w:highlight w:val="none"/>
          <w:lang w:val="zh-CN"/>
        </w:rPr>
        <w:tab/>
      </w:r>
      <w:r>
        <w:rPr>
          <w:rFonts w:hint="eastAsia" w:ascii="宋体" w:hAnsi="宋体" w:eastAsia="宋体" w:cs="宋体"/>
          <w:color w:val="000000"/>
          <w:sz w:val="24"/>
          <w:szCs w:val="24"/>
          <w:highlight w:val="none"/>
          <w:lang w:val="zh-CN"/>
        </w:rPr>
        <w:t>期：</w:t>
      </w:r>
    </w:p>
    <w:p w14:paraId="22124F5B">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6E8F318A">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57AB895C">
      <w:pPr>
        <w:pStyle w:val="15"/>
        <w:rPr>
          <w:rFonts w:hint="eastAsia" w:ascii="宋体" w:hAnsi="宋体" w:eastAsia="宋体" w:cs="宋体"/>
          <w:b/>
          <w:bCs/>
          <w:color w:val="000000"/>
          <w:sz w:val="24"/>
          <w:szCs w:val="24"/>
          <w:highlight w:val="none"/>
        </w:rPr>
      </w:pPr>
    </w:p>
    <w:p w14:paraId="4DD2EE37">
      <w:pPr>
        <w:pStyle w:val="15"/>
        <w:rPr>
          <w:rFonts w:hint="eastAsia" w:ascii="宋体" w:hAnsi="宋体" w:eastAsia="宋体" w:cs="宋体"/>
          <w:b/>
          <w:bCs/>
          <w:color w:val="000000"/>
          <w:sz w:val="24"/>
          <w:szCs w:val="24"/>
          <w:highlight w:val="none"/>
        </w:rPr>
      </w:pPr>
    </w:p>
    <w:p w14:paraId="5B4B11C9">
      <w:pPr>
        <w:pageBreakBefore w:val="0"/>
        <w:widowControl/>
        <w:kinsoku/>
        <w:wordWrap/>
        <w:overflowPunct/>
        <w:topLinePunct w:val="0"/>
        <w:bidi w:val="0"/>
        <w:adjustRightInd w:val="0"/>
        <w:snapToGrid w:val="0"/>
        <w:spacing w:beforeAutospacing="0" w:afterAutospacing="0" w:line="400" w:lineRule="exact"/>
        <w:ind w:firstLine="463" w:firstLineChars="192"/>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lang w:val="en-US" w:eastAsia="zh-CN"/>
        </w:rPr>
        <w:t>8、投标保证金收据或保函</w:t>
      </w:r>
    </w:p>
    <w:p w14:paraId="75E99812">
      <w:pPr>
        <w:pageBreakBefore w:val="0"/>
        <w:widowControl/>
        <w:kinsoku/>
        <w:wordWrap/>
        <w:overflowPunct/>
        <w:topLinePunct w:val="0"/>
        <w:bidi w:val="0"/>
        <w:adjustRightInd w:val="0"/>
        <w:snapToGrid w:val="0"/>
        <w:spacing w:beforeAutospacing="0" w:afterAutospacing="0" w:line="400" w:lineRule="exact"/>
        <w:ind w:firstLine="461" w:firstLineChars="192"/>
        <w:jc w:val="center"/>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rPr>
        <w:t>投标人认为有必要提供的声明及文件资料。</w:t>
      </w:r>
    </w:p>
    <w:p w14:paraId="33B2F41D">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692A76B2">
      <w:pPr>
        <w:pStyle w:val="15"/>
        <w:jc w:val="center"/>
        <w:rPr>
          <w:rFonts w:hint="eastAsia" w:ascii="宋体" w:hAnsi="宋体" w:eastAsia="宋体" w:cs="宋体"/>
          <w:b/>
          <w:bCs/>
          <w:sz w:val="24"/>
          <w:szCs w:val="24"/>
          <w:lang w:val="zh-CN" w:eastAsia="zh-CN"/>
        </w:rPr>
      </w:pPr>
    </w:p>
    <w:p w14:paraId="2693F025">
      <w:pPr>
        <w:pageBreakBefore w:val="0"/>
        <w:kinsoku/>
        <w:wordWrap/>
        <w:overflowPunct/>
        <w:topLinePunct w:val="0"/>
        <w:bidi w:val="0"/>
        <w:spacing w:beforeAutospacing="0" w:afterAutospacing="0" w:line="400" w:lineRule="exact"/>
        <w:jc w:val="both"/>
        <w:rPr>
          <w:rFonts w:hint="eastAsia" w:ascii="宋体" w:hAnsi="宋体" w:cs="宋体"/>
          <w:b/>
          <w:color w:val="000000"/>
          <w:sz w:val="24"/>
          <w:szCs w:val="24"/>
          <w:highlight w:val="none"/>
          <w:lang w:val="en-US" w:eastAsia="zh-CN"/>
        </w:rPr>
      </w:pPr>
    </w:p>
    <w:p w14:paraId="52B95662">
      <w:pPr>
        <w:pageBreakBefore w:val="0"/>
        <w:kinsoku/>
        <w:wordWrap/>
        <w:overflowPunct/>
        <w:topLinePunct w:val="0"/>
        <w:bidi w:val="0"/>
        <w:spacing w:beforeAutospacing="0" w:afterAutospacing="0" w:line="400" w:lineRule="exact"/>
        <w:jc w:val="center"/>
        <w:rPr>
          <w:rFonts w:hint="default"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报价响应文件</w:t>
      </w:r>
    </w:p>
    <w:p w14:paraId="19F2FF44">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开标一览表</w:t>
      </w:r>
    </w:p>
    <w:p w14:paraId="38D80C3A">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lang w:eastAsia="zh-CN"/>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lang w:eastAsia="zh-CN"/>
        </w:rPr>
        <w:t>：</w:t>
      </w:r>
    </w:p>
    <w:tbl>
      <w:tblPr>
        <w:tblStyle w:val="16"/>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23"/>
        <w:gridCol w:w="1830"/>
        <w:gridCol w:w="1456"/>
        <w:gridCol w:w="1790"/>
      </w:tblGrid>
      <w:tr w14:paraId="2693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710" w:type="dxa"/>
            <w:vAlign w:val="center"/>
          </w:tcPr>
          <w:p w14:paraId="4D6C685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023" w:type="dxa"/>
            <w:vAlign w:val="center"/>
          </w:tcPr>
          <w:p w14:paraId="6FCA6A0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830" w:type="dxa"/>
            <w:vAlign w:val="center"/>
          </w:tcPr>
          <w:p w14:paraId="46FF652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w:t>
            </w:r>
            <w:r>
              <w:rPr>
                <w:rFonts w:hint="eastAsia" w:ascii="宋体" w:hAnsi="宋体" w:cs="宋体"/>
                <w:color w:val="000000"/>
                <w:sz w:val="24"/>
                <w:szCs w:val="24"/>
                <w:highlight w:val="none"/>
                <w:lang w:val="en-US" w:eastAsia="zh-CN"/>
              </w:rPr>
              <w:t>元</w:t>
            </w:r>
            <w:r>
              <w:rPr>
                <w:rFonts w:hint="eastAsia" w:ascii="宋体" w:hAnsi="宋体" w:eastAsia="宋体" w:cs="宋体"/>
                <w:color w:val="000000"/>
                <w:sz w:val="24"/>
                <w:szCs w:val="24"/>
                <w:highlight w:val="none"/>
              </w:rPr>
              <w:t>）</w:t>
            </w:r>
          </w:p>
        </w:tc>
        <w:tc>
          <w:tcPr>
            <w:tcW w:w="1456" w:type="dxa"/>
            <w:vAlign w:val="center"/>
          </w:tcPr>
          <w:p w14:paraId="56D4018C">
            <w:pPr>
              <w:pageBreakBefore w:val="0"/>
              <w:kinsoku/>
              <w:wordWrap/>
              <w:overflowPunct/>
              <w:topLinePunct w:val="0"/>
              <w:bidi w:val="0"/>
              <w:adjustRightInd w:val="0"/>
              <w:snapToGrid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履约期限</w:t>
            </w:r>
          </w:p>
        </w:tc>
        <w:tc>
          <w:tcPr>
            <w:tcW w:w="1790" w:type="dxa"/>
            <w:vAlign w:val="center"/>
          </w:tcPr>
          <w:p w14:paraId="0203009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65D6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392F14A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023" w:type="dxa"/>
            <w:vAlign w:val="center"/>
          </w:tcPr>
          <w:p w14:paraId="267F46B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830" w:type="dxa"/>
            <w:vAlign w:val="center"/>
          </w:tcPr>
          <w:p w14:paraId="025351B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24C0925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0" w:type="dxa"/>
            <w:vAlign w:val="center"/>
          </w:tcPr>
          <w:p w14:paraId="2861E29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251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3A889E9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023" w:type="dxa"/>
            <w:vAlign w:val="center"/>
          </w:tcPr>
          <w:p w14:paraId="0AACF1A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w:t>
            </w:r>
          </w:p>
        </w:tc>
        <w:tc>
          <w:tcPr>
            <w:tcW w:w="5076" w:type="dxa"/>
            <w:gridSpan w:val="3"/>
            <w:vAlign w:val="center"/>
          </w:tcPr>
          <w:p w14:paraId="778633B3">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bl>
    <w:p w14:paraId="0B7C08FE">
      <w:pPr>
        <w:pStyle w:val="25"/>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sz w:val="24"/>
          <w:szCs w:val="24"/>
          <w:highlight w:val="none"/>
        </w:rPr>
      </w:pPr>
      <w:bookmarkStart w:id="14" w:name="_Toc20945"/>
      <w:r>
        <w:rPr>
          <w:rFonts w:hint="eastAsia" w:ascii="宋体" w:hAnsi="宋体" w:eastAsia="宋体" w:cs="宋体"/>
          <w:color w:val="auto"/>
          <w:sz w:val="24"/>
          <w:szCs w:val="24"/>
          <w:highlight w:val="none"/>
        </w:rPr>
        <w:t>注：</w:t>
      </w:r>
    </w:p>
    <w:p w14:paraId="6E45CEDD">
      <w:pPr>
        <w:pStyle w:val="25"/>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default" w:ascii="宋体" w:hAnsi="宋体" w:eastAsia="宋体" w:cs="宋体"/>
          <w:color w:val="auto"/>
          <w:kern w:val="2"/>
          <w:sz w:val="24"/>
          <w:szCs w:val="24"/>
          <w:highlight w:val="none"/>
          <w:lang w:val="en-US"/>
        </w:rPr>
      </w:pPr>
      <w:r>
        <w:rPr>
          <w:rFonts w:hint="eastAsia" w:ascii="宋体" w:hAnsi="宋体" w:eastAsia="宋体" w:cs="宋体"/>
          <w:color w:val="auto"/>
          <w:sz w:val="24"/>
          <w:szCs w:val="24"/>
          <w:highlight w:val="none"/>
        </w:rPr>
        <w:t>1、此表</w:t>
      </w:r>
      <w:r>
        <w:rPr>
          <w:rFonts w:hint="eastAsia" w:cs="宋体"/>
          <w:color w:val="auto"/>
          <w:sz w:val="24"/>
          <w:szCs w:val="24"/>
          <w:highlight w:val="none"/>
          <w:lang w:val="en-US" w:eastAsia="zh-CN"/>
        </w:rPr>
        <w:t>须包含在</w:t>
      </w:r>
      <w:r>
        <w:rPr>
          <w:rFonts w:hint="eastAsia" w:ascii="宋体" w:hAnsi="宋体" w:eastAsia="宋体" w:cs="宋体"/>
          <w:color w:val="auto"/>
          <w:sz w:val="24"/>
          <w:szCs w:val="24"/>
          <w:highlight w:val="none"/>
          <w:lang w:eastAsia="zh-CN"/>
        </w:rPr>
        <w:t>投标文件中</w:t>
      </w:r>
      <w:r>
        <w:rPr>
          <w:rFonts w:hint="eastAsia" w:cs="宋体"/>
          <w:color w:val="auto"/>
          <w:sz w:val="24"/>
          <w:szCs w:val="24"/>
          <w:highlight w:val="none"/>
          <w:lang w:val="en-US" w:eastAsia="zh-CN"/>
        </w:rPr>
        <w:t>且必须与政采云系统填报一致</w:t>
      </w:r>
      <w:bookmarkEnd w:id="14"/>
      <w:r>
        <w:rPr>
          <w:rFonts w:hint="eastAsia" w:cs="宋体"/>
          <w:color w:val="auto"/>
          <w:sz w:val="24"/>
          <w:szCs w:val="24"/>
          <w:highlight w:val="none"/>
          <w:lang w:val="en-US" w:eastAsia="zh-CN"/>
        </w:rPr>
        <w:t>，如不一致以政采云系统为准。</w:t>
      </w:r>
    </w:p>
    <w:p w14:paraId="034A212F">
      <w:pPr>
        <w:pStyle w:val="26"/>
        <w:pageBreakBefore w:val="0"/>
        <w:numPr>
          <w:ilvl w:val="0"/>
          <w:numId w:val="0"/>
        </w:numPr>
        <w:kinsoku/>
        <w:wordWrap/>
        <w:overflowPunct/>
        <w:topLinePunct w:val="0"/>
        <w:bidi w:val="0"/>
        <w:spacing w:beforeAutospacing="0" w:afterAutospacing="0" w:line="400" w:lineRule="exact"/>
        <w:ind w:leftChars="0"/>
        <w:rPr>
          <w:rFonts w:hint="eastAsia" w:ascii="宋体" w:hAnsi="宋体" w:eastAsia="宋体" w:cs="宋体"/>
          <w:color w:val="auto"/>
          <w:sz w:val="24"/>
          <w:szCs w:val="24"/>
          <w:lang w:val="zh-CN"/>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本表格式</w:t>
      </w:r>
      <w:r>
        <w:rPr>
          <w:rFonts w:hint="eastAsia" w:ascii="宋体" w:hAnsi="宋体" w:eastAsia="宋体" w:cs="宋体"/>
          <w:b/>
          <w:bCs/>
          <w:color w:val="auto"/>
          <w:kern w:val="2"/>
          <w:sz w:val="24"/>
          <w:szCs w:val="24"/>
          <w:highlight w:val="none"/>
          <w:lang w:val="en-US" w:eastAsia="zh-CN"/>
        </w:rPr>
        <w:t>及内容</w:t>
      </w:r>
      <w:r>
        <w:rPr>
          <w:rFonts w:hint="eastAsia" w:ascii="宋体" w:hAnsi="宋体" w:eastAsia="宋体" w:cs="宋体"/>
          <w:b/>
          <w:bCs/>
          <w:color w:val="auto"/>
          <w:kern w:val="2"/>
          <w:sz w:val="24"/>
          <w:szCs w:val="24"/>
          <w:highlight w:val="none"/>
        </w:rPr>
        <w:t>不得更改，投标人只能按要求填报，否则将被视为无效投标。</w:t>
      </w:r>
    </w:p>
    <w:p w14:paraId="3028EA27">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报价中必须包含全额含税发票、雇员费用、合同实施过程中的应预见和不可预见费用等完成合同规定责任和义务、达到合同目的的一切费用及企业利润。并应包含应由中标人缴纳的本次招标代理服务费。</w:t>
      </w:r>
    </w:p>
    <w:p w14:paraId="399FFA7D">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、投标人必须自行考虑本项目在实施期间的一切可能产生的费用。在合同执行过程中，招标人将不再另行支付与本项目相关的任何费用（非本项目要求的其它内容除外）。</w:t>
      </w:r>
    </w:p>
    <w:p w14:paraId="7850C8BE">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、报价表述限于中文大写或阿拉伯数字小写，均已核定准确无误，若投标报价大小写不一致，以大写金额为准。</w:t>
      </w:r>
    </w:p>
    <w:p w14:paraId="6292F826">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、如果我方未中标，贵方没有必要对我方做出任何解释和说明，我方将充分尊重和理解贵方的选择。</w:t>
      </w:r>
    </w:p>
    <w:p w14:paraId="08440D75">
      <w:pPr>
        <w:pStyle w:val="26"/>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34B59296">
      <w:pPr>
        <w:pageBreakBefore w:val="0"/>
        <w:kinsoku/>
        <w:wordWrap/>
        <w:overflowPunct/>
        <w:topLinePunct w:val="0"/>
        <w:bidi w:val="0"/>
        <w:spacing w:beforeAutospacing="0" w:afterAutospacing="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r>
        <w:rPr>
          <w:rFonts w:hint="eastAsia" w:ascii="宋体" w:hAnsi="宋体" w:eastAsia="宋体" w:cs="宋体"/>
          <w:bCs/>
          <w:color w:val="auto"/>
          <w:sz w:val="24"/>
          <w:szCs w:val="24"/>
          <w:highlight w:val="none"/>
          <w:u w:val="single"/>
        </w:rPr>
        <w:t xml:space="preserve">                               </w:t>
      </w:r>
    </w:p>
    <w:p w14:paraId="429F3A9D">
      <w:pPr>
        <w:pStyle w:val="25"/>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val="0"/>
          <w:color w:val="auto"/>
          <w:kern w:val="2"/>
          <w:sz w:val="24"/>
          <w:szCs w:val="24"/>
          <w:highlight w:val="none"/>
        </w:rPr>
      </w:pPr>
      <w:bookmarkStart w:id="15" w:name="_Toc19201"/>
      <w:r>
        <w:rPr>
          <w:rFonts w:hint="eastAsia" w:ascii="宋体" w:hAnsi="宋体" w:eastAsia="宋体" w:cs="宋体"/>
          <w:b w:val="0"/>
          <w:color w:val="auto"/>
          <w:sz w:val="24"/>
          <w:szCs w:val="24"/>
          <w:highlight w:val="none"/>
        </w:rPr>
        <w:t>代理（被授权人）签字：</w:t>
      </w:r>
      <w:bookmarkEnd w:id="15"/>
      <w:r>
        <w:rPr>
          <w:rFonts w:hint="eastAsia" w:ascii="宋体" w:hAnsi="宋体" w:eastAsia="宋体" w:cs="宋体"/>
          <w:b w:val="0"/>
          <w:color w:val="auto"/>
          <w:sz w:val="24"/>
          <w:szCs w:val="24"/>
          <w:highlight w:val="none"/>
          <w:u w:val="single"/>
        </w:rPr>
        <w:t xml:space="preserve">                  </w:t>
      </w:r>
    </w:p>
    <w:p w14:paraId="0BE665F9">
      <w:pPr>
        <w:pStyle w:val="25"/>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color w:val="000000"/>
          <w:sz w:val="24"/>
          <w:szCs w:val="24"/>
          <w:highlight w:val="none"/>
        </w:rPr>
      </w:pPr>
      <w:bookmarkStart w:id="16" w:name="_Toc10411"/>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16"/>
    </w:p>
    <w:p w14:paraId="26FC8A4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5819421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476A429A">
      <w:pPr>
        <w:pStyle w:val="23"/>
        <w:rPr>
          <w:rFonts w:hint="eastAsia" w:ascii="宋体" w:hAnsi="宋体" w:eastAsia="宋体" w:cs="宋体"/>
        </w:rPr>
      </w:pPr>
    </w:p>
    <w:p w14:paraId="0769B04F">
      <w:pPr>
        <w:pStyle w:val="23"/>
        <w:rPr>
          <w:rFonts w:hint="eastAsia" w:ascii="宋体" w:hAnsi="宋体" w:eastAsia="宋体" w:cs="宋体"/>
        </w:rPr>
      </w:pPr>
    </w:p>
    <w:p w14:paraId="09DB49AC">
      <w:pPr>
        <w:pStyle w:val="23"/>
        <w:rPr>
          <w:rFonts w:hint="eastAsia" w:ascii="宋体" w:hAnsi="宋体" w:eastAsia="宋体" w:cs="宋体"/>
        </w:rPr>
      </w:pPr>
    </w:p>
    <w:p w14:paraId="7189D48E">
      <w:pPr>
        <w:pStyle w:val="23"/>
        <w:rPr>
          <w:rFonts w:hint="eastAsia" w:ascii="宋体" w:hAnsi="宋体" w:eastAsia="宋体" w:cs="宋体"/>
        </w:rPr>
      </w:pPr>
    </w:p>
    <w:p w14:paraId="70EC6152">
      <w:pPr>
        <w:pStyle w:val="23"/>
        <w:rPr>
          <w:rFonts w:hint="eastAsia" w:ascii="宋体" w:hAnsi="宋体" w:eastAsia="宋体" w:cs="宋体"/>
        </w:rPr>
      </w:pPr>
    </w:p>
    <w:p w14:paraId="308419C3">
      <w:pPr>
        <w:pStyle w:val="23"/>
        <w:rPr>
          <w:rFonts w:hint="eastAsia" w:ascii="宋体" w:hAnsi="宋体" w:eastAsia="宋体" w:cs="宋体"/>
        </w:rPr>
      </w:pPr>
    </w:p>
    <w:p w14:paraId="50B64406">
      <w:pPr>
        <w:pStyle w:val="23"/>
        <w:rPr>
          <w:rFonts w:hint="eastAsia" w:ascii="宋体" w:hAnsi="宋体" w:eastAsia="宋体" w:cs="宋体"/>
        </w:rPr>
      </w:pPr>
    </w:p>
    <w:p w14:paraId="5907059B">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报价明细表</w:t>
      </w:r>
    </w:p>
    <w:p w14:paraId="3DDED217">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59B8AF5C">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16"/>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33"/>
        <w:gridCol w:w="1550"/>
        <w:gridCol w:w="1367"/>
        <w:gridCol w:w="1711"/>
        <w:gridCol w:w="1037"/>
      </w:tblGrid>
      <w:tr w14:paraId="7EE6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1" w:type="dxa"/>
            <w:vAlign w:val="center"/>
          </w:tcPr>
          <w:p w14:paraId="4F041A9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33" w:type="dxa"/>
            <w:vAlign w:val="center"/>
          </w:tcPr>
          <w:p w14:paraId="21BB792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550" w:type="dxa"/>
            <w:vAlign w:val="center"/>
          </w:tcPr>
          <w:p w14:paraId="3365BFE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367" w:type="dxa"/>
            <w:vAlign w:val="center"/>
          </w:tcPr>
          <w:p w14:paraId="20B7C5D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711" w:type="dxa"/>
            <w:vAlign w:val="center"/>
          </w:tcPr>
          <w:p w14:paraId="6E59D2C3">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承接单位</w:t>
            </w:r>
          </w:p>
        </w:tc>
        <w:tc>
          <w:tcPr>
            <w:tcW w:w="1037" w:type="dxa"/>
            <w:vAlign w:val="center"/>
          </w:tcPr>
          <w:p w14:paraId="2EA9FA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6D91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83015C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399472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627B8CB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16A9EF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679FB17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33CA50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89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AB225D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E477A4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5DA0D9D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1C0654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FADA36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11F9AE7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02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374551D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65F74D5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552ECC7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BCBFCD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06693CC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544ABC2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5F9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299AA1A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63AF6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F7CD6F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6884EA3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12A719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7E3075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415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7A2E817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0AF46F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291D048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20D6B7A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6BEB303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406FBE9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A18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27AB0A1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1D230FD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3BBF486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5161152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41D442B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23512E2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6E8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27AB3CC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6F8432B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223C0F2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48A39B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6E91BA8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0C1A4BF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063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3668AA4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6814292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23FB73D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328B5ED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628EAE8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58442DB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284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65269E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045BF4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6E32F7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1F4FA64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5BFCC9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62A4D69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650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04" w:type="dxa"/>
            <w:gridSpan w:val="2"/>
            <w:vAlign w:val="center"/>
          </w:tcPr>
          <w:p w14:paraId="6D1616C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550" w:type="dxa"/>
            <w:vAlign w:val="center"/>
          </w:tcPr>
          <w:p w14:paraId="358EDC8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2B3B004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4FE31B9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44C1E8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48000533">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注：本表具体内容参照本招标文件“需求表”所列全部内容，此表可由</w:t>
      </w: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人根据内容自行延长。</w:t>
      </w:r>
    </w:p>
    <w:p w14:paraId="50E69DC3">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2789B30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24736D0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19FC5A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527D388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69FF763C">
      <w:pPr>
        <w:pStyle w:val="4"/>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48F785B7">
      <w:pPr>
        <w:pStyle w:val="5"/>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5B4FBF61">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3442DB51">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543D6A5A">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450BB738">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0730E3AB">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4003E815">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4E05656E">
      <w:pPr>
        <w:pageBreakBefore w:val="0"/>
        <w:kinsoku/>
        <w:wordWrap/>
        <w:overflowPunct/>
        <w:topLinePunct w:val="0"/>
        <w:bidi w:val="0"/>
        <w:spacing w:beforeAutospacing="0" w:afterAutospacing="0" w:line="400" w:lineRule="exact"/>
        <w:rPr>
          <w:rFonts w:hint="default"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三、商务技术文件</w:t>
      </w:r>
    </w:p>
    <w:p w14:paraId="449ED9D9">
      <w:pPr>
        <w:pageBreakBefore w:val="0"/>
        <w:kinsoku/>
        <w:wordWrap/>
        <w:overflowPunct/>
        <w:topLinePunct w:val="0"/>
        <w:bidi w:val="0"/>
        <w:spacing w:beforeAutospacing="0" w:afterAutospacing="0" w:line="400" w:lineRule="exact"/>
        <w:jc w:val="left"/>
        <w:rPr>
          <w:rFonts w:hint="eastAsia" w:ascii="宋体" w:hAnsi="宋体" w:eastAsia="宋体" w:cs="宋体"/>
          <w:b/>
          <w:bCs/>
          <w:color w:val="000000"/>
          <w:sz w:val="24"/>
          <w:szCs w:val="24"/>
          <w:highlight w:val="none"/>
        </w:rPr>
      </w:pPr>
      <w:r>
        <w:rPr>
          <w:rFonts w:hint="eastAsia" w:eastAsia="宋体"/>
          <w:b/>
          <w:bCs/>
          <w:spacing w:val="-3"/>
          <w:sz w:val="22"/>
          <w:szCs w:val="22"/>
          <w:lang w:val="en-US" w:eastAsia="zh-CN"/>
        </w:rPr>
        <w:t>1.经营</w:t>
      </w:r>
      <w:r>
        <w:rPr>
          <w:b/>
          <w:bCs/>
          <w:spacing w:val="-3"/>
          <w:sz w:val="22"/>
          <w:szCs w:val="22"/>
        </w:rPr>
        <w:t>状况</w:t>
      </w:r>
    </w:p>
    <w:p w14:paraId="55B2AA1B">
      <w:pPr>
        <w:pStyle w:val="2"/>
        <w:pageBreakBefore w:val="0"/>
        <w:kinsoku/>
        <w:wordWrap/>
        <w:overflowPunct/>
        <w:topLinePunct w:val="0"/>
        <w:bidi w:val="0"/>
        <w:spacing w:before="0" w:beforeAutospacing="0" w:after="0" w:afterAutospacing="0" w:line="400" w:lineRule="exact"/>
        <w:jc w:val="left"/>
        <w:rPr>
          <w:color w:val="auto"/>
          <w:spacing w:val="-3"/>
          <w:sz w:val="22"/>
          <w:szCs w:val="22"/>
        </w:rPr>
      </w:pPr>
      <w:r>
        <w:rPr>
          <w:rFonts w:hint="eastAsia" w:eastAsia="宋体" w:cs="Times New Roman"/>
          <w:color w:val="auto"/>
          <w:spacing w:val="-3"/>
          <w:sz w:val="22"/>
          <w:szCs w:val="22"/>
          <w:lang w:val="en-US" w:eastAsia="zh-CN"/>
        </w:rPr>
        <w:t>2.类似业绩</w:t>
      </w:r>
    </w:p>
    <w:p w14:paraId="4FF9F522">
      <w:pPr>
        <w:pStyle w:val="2"/>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近三年的业绩表及相关证明</w:t>
      </w:r>
    </w:p>
    <w:p w14:paraId="2021FED9">
      <w:pPr>
        <w:pStyle w:val="2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  </w:t>
      </w:r>
    </w:p>
    <w:p w14:paraId="0B027185">
      <w:pPr>
        <w:pStyle w:val="2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编</w:t>
      </w:r>
      <w:r>
        <w:rPr>
          <w:rFonts w:hint="eastAsia" w:ascii="宋体" w:hAnsi="宋体" w:eastAsia="宋体" w:cs="宋体"/>
          <w:sz w:val="24"/>
          <w:szCs w:val="24"/>
          <w:highlight w:val="none"/>
        </w:rPr>
        <w:t xml:space="preserve">号 ：                      </w:t>
      </w:r>
    </w:p>
    <w:tbl>
      <w:tblPr>
        <w:tblStyle w:val="16"/>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14:paraId="706B9CA7">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E9340E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1456" w:type="dxa"/>
            <w:tcBorders>
              <w:top w:val="single" w:color="auto" w:sz="6" w:space="0"/>
              <w:left w:val="single" w:color="auto" w:sz="6" w:space="0"/>
              <w:bottom w:val="single" w:color="auto" w:sz="6" w:space="0"/>
              <w:right w:val="single" w:color="auto" w:sz="6" w:space="0"/>
            </w:tcBorders>
            <w:vAlign w:val="center"/>
          </w:tcPr>
          <w:p w14:paraId="6CE4CE6D">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14:paraId="64364CA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14:paraId="2BA2431E">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14:paraId="19FE7A4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14:paraId="614A9C6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72FB6512">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FF48D34">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08B7E77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6C8DA696">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0791FEB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5F3938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705FE9A">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0D566E52">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F09EB36">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D9518F7">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76E246B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D3FD37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42FDED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8B07FC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113BCF2">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EFA336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1A94AC71">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2D36DC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3A8E85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176BD3C">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ACE0D1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E25391E">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91751E4">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1DE730E1">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0E886C4A">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6B73D7D3">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A8A3A5D">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CABD883">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2E000D3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7850C2C">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622BA53">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46F7AAE">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100F989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4AE8F6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538C7A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1170666C">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4FCC97A">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1E8CC03">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2E17217D">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874FBA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CFE421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BCED6F4">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1A67BF47">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AD846A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5F989ADE">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0A6FC09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C79F693">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6D26A34">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862582F">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14D0C611">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78CB8EF8">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C2B8552">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13B2014">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5ECD7469">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9891C7C">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A7D5F06">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4F1CBC71">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74053E9F">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6BBD47B">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6BB5C425">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5E5AA9AF">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1333977">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5ABB73B">
            <w:pPr>
              <w:pStyle w:val="27"/>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bl>
    <w:p w14:paraId="324226A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6CB239B">
      <w:pPr>
        <w:pageBreakBefore w:val="0"/>
        <w:kinsoku/>
        <w:wordWrap/>
        <w:overflowPunct/>
        <w:topLinePunct w:val="0"/>
        <w:bidi w:val="0"/>
        <w:spacing w:beforeAutospacing="0" w:afterAutospacing="0" w:line="400" w:lineRule="exact"/>
        <w:rPr>
          <w:rFonts w:hint="eastAsia" w:ascii="宋体" w:hAnsi="宋体" w:eastAsia="宋体" w:cs="宋体"/>
          <w:kern w:val="0"/>
          <w:sz w:val="24"/>
          <w:szCs w:val="24"/>
          <w:lang w:val="en-US" w:eastAsia="zh-CN"/>
        </w:rPr>
      </w:pPr>
      <w:r>
        <w:rPr>
          <w:rFonts w:hint="eastAsia" w:ascii="宋体" w:hAnsi="宋体" w:eastAsia="宋体" w:cs="宋体"/>
          <w:color w:val="auto"/>
          <w:sz w:val="24"/>
          <w:szCs w:val="24"/>
          <w:highlight w:val="none"/>
        </w:rPr>
        <w:t>附</w:t>
      </w:r>
      <w:bookmarkStart w:id="17" w:name="_GoBack"/>
      <w:r>
        <w:rPr>
          <w:rFonts w:hint="eastAsia" w:ascii="宋体" w:hAnsi="宋体" w:eastAsia="宋体" w:cs="宋体"/>
          <w:color w:val="auto"/>
          <w:sz w:val="24"/>
          <w:szCs w:val="24"/>
          <w:highlight w:val="none"/>
        </w:rPr>
        <w:t>:</w:t>
      </w:r>
      <w:bookmarkEnd w:id="17"/>
      <w:r>
        <w:rPr>
          <w:rFonts w:hint="eastAsia" w:ascii="宋体" w:hAnsi="宋体" w:eastAsia="宋体" w:cs="宋体"/>
          <w:color w:val="auto"/>
          <w:sz w:val="24"/>
          <w:szCs w:val="24"/>
          <w:highlight w:val="none"/>
        </w:rPr>
        <w:t>近三年（</w:t>
      </w:r>
      <w:r>
        <w:rPr>
          <w:rFonts w:hint="eastAsia" w:ascii="宋体" w:hAnsi="宋体" w:cs="宋体"/>
          <w:kern w:val="0"/>
          <w:sz w:val="24"/>
          <w:szCs w:val="24"/>
          <w:lang w:val="en-US" w:eastAsia="zh-CN"/>
        </w:rPr>
        <w:t>2022年7月1日至</w:t>
      </w:r>
      <w:r>
        <w:rPr>
          <w:rFonts w:hint="eastAsia" w:ascii="宋体" w:hAnsi="宋体" w:eastAsia="宋体" w:cs="宋体"/>
          <w:kern w:val="0"/>
          <w:sz w:val="24"/>
          <w:szCs w:val="24"/>
          <w:lang w:val="en-US" w:eastAsia="zh-CN"/>
        </w:rPr>
        <w:t>今）附业绩证明材料（证明材料包括合同或中标通知书、相关业绩报告或培训方案复印件并加盖公章），如未提供视为无效业绩。</w:t>
      </w:r>
    </w:p>
    <w:p w14:paraId="616F7FB8">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E14B73A">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（单位公章）</w:t>
      </w:r>
    </w:p>
    <w:p w14:paraId="2C826907">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601D4902">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2235D9B9">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rPr>
      </w:pPr>
    </w:p>
    <w:p w14:paraId="074D839B">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12FA844">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3.项目负责人</w:t>
      </w:r>
    </w:p>
    <w:tbl>
      <w:tblPr>
        <w:tblStyle w:val="16"/>
        <w:tblpPr w:leftFromText="180" w:rightFromText="180" w:vertAnchor="text" w:horzAnchor="page" w:tblpX="1785" w:tblpY="332"/>
        <w:tblOverlap w:val="never"/>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330"/>
        <w:gridCol w:w="3309"/>
        <w:gridCol w:w="1736"/>
      </w:tblGrid>
      <w:tr w14:paraId="6CF3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80" w:type="dxa"/>
            <w:vAlign w:val="center"/>
          </w:tcPr>
          <w:p w14:paraId="630CABE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330" w:type="dxa"/>
            <w:vAlign w:val="center"/>
          </w:tcPr>
          <w:p w14:paraId="29F0643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14:paraId="69C97C8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本项目中拟担任职务</w:t>
            </w:r>
          </w:p>
        </w:tc>
        <w:tc>
          <w:tcPr>
            <w:tcW w:w="1736" w:type="dxa"/>
            <w:vAlign w:val="center"/>
          </w:tcPr>
          <w:p w14:paraId="263C7F5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职称</w:t>
            </w:r>
          </w:p>
        </w:tc>
      </w:tr>
      <w:tr w14:paraId="5C71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0" w:type="dxa"/>
            <w:vAlign w:val="center"/>
          </w:tcPr>
          <w:p w14:paraId="19EADE1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330" w:type="dxa"/>
            <w:vAlign w:val="center"/>
          </w:tcPr>
          <w:p w14:paraId="1BE2914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14:paraId="177B80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vAlign w:val="center"/>
          </w:tcPr>
          <w:p w14:paraId="46EA2CD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16AAF46D">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必须附上有效的身份证正反面扫描件、</w:t>
      </w:r>
      <w:r>
        <w:rPr>
          <w:rFonts w:hint="eastAsia" w:ascii="宋体" w:hAnsi="宋体" w:eastAsia="宋体" w:cs="宋体"/>
          <w:color w:val="auto"/>
          <w:sz w:val="24"/>
          <w:szCs w:val="24"/>
          <w:highlight w:val="none"/>
          <w:lang w:val="en-US" w:eastAsia="zh-CN"/>
        </w:rPr>
        <w:t>人员职称证书、合同等相关证明资料</w:t>
      </w:r>
      <w:r>
        <w:rPr>
          <w:rFonts w:hint="eastAsia" w:ascii="宋体" w:hAnsi="宋体" w:eastAsia="宋体" w:cs="宋体"/>
          <w:color w:val="auto"/>
          <w:sz w:val="24"/>
          <w:szCs w:val="24"/>
          <w:highlight w:val="none"/>
        </w:rPr>
        <w:t>，未提供的不得分。</w:t>
      </w:r>
    </w:p>
    <w:p w14:paraId="21B7B036">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775E6E6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73EF9F20">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14:paraId="1975BF2E">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default"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4专业能力  （依据评标办法提供）。</w:t>
      </w:r>
    </w:p>
    <w:p w14:paraId="69E6D92E">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 xml:space="preserve">4.1工作经验 </w:t>
      </w:r>
    </w:p>
    <w:p w14:paraId="0B54556D">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default"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4.2专家</w:t>
      </w:r>
    </w:p>
    <w:tbl>
      <w:tblPr>
        <w:tblStyle w:val="16"/>
        <w:tblpPr w:leftFromText="180" w:rightFromText="180" w:vertAnchor="text" w:horzAnchor="page" w:tblpX="1785" w:tblpY="332"/>
        <w:tblOverlap w:val="never"/>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45"/>
        <w:gridCol w:w="3309"/>
        <w:gridCol w:w="1736"/>
      </w:tblGrid>
      <w:tr w14:paraId="24FC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65" w:type="dxa"/>
            <w:vAlign w:val="center"/>
          </w:tcPr>
          <w:p w14:paraId="2D6D19D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345" w:type="dxa"/>
            <w:vAlign w:val="center"/>
          </w:tcPr>
          <w:p w14:paraId="58EC293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14:paraId="6005E0AD">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专家专业</w:t>
            </w:r>
          </w:p>
        </w:tc>
        <w:tc>
          <w:tcPr>
            <w:tcW w:w="1736" w:type="dxa"/>
            <w:vAlign w:val="center"/>
          </w:tcPr>
          <w:p w14:paraId="00CEC3D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4B20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372DF39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345" w:type="dxa"/>
            <w:vAlign w:val="center"/>
          </w:tcPr>
          <w:p w14:paraId="102B10E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14:paraId="120C9D3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vAlign w:val="center"/>
          </w:tcPr>
          <w:p w14:paraId="2CCA52D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513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40F792AB">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1DFBDE2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C170C5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6061D2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2F4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248904FF">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5D2719E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A4688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A975C9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091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08C338B2">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262D78C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1332891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1CD229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3AB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2C5BD04C">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3EC9B9D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00665FF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43E6601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4F6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6648B013">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10AB16F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024BC57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31591F5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F83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53EE6D00">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5902B3E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995540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3E9E351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82A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vAlign w:val="center"/>
          </w:tcPr>
          <w:p w14:paraId="2324B79E">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2345" w:type="dxa"/>
          </w:tcPr>
          <w:p w14:paraId="10A1423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962A87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932333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E13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tcPr>
          <w:p w14:paraId="3843093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345" w:type="dxa"/>
          </w:tcPr>
          <w:p w14:paraId="2FF444F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773EA86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01DE191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35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tcPr>
          <w:p w14:paraId="3340554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345" w:type="dxa"/>
          </w:tcPr>
          <w:p w14:paraId="39B412C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3837FE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08FA873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73AE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5" w:type="dxa"/>
          </w:tcPr>
          <w:p w14:paraId="7F7E97E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2345" w:type="dxa"/>
          </w:tcPr>
          <w:p w14:paraId="548A43C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416BB9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B074E0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005AF60D">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w:t>
      </w:r>
      <w:r>
        <w:rPr>
          <w:rFonts w:hint="eastAsia" w:ascii="宋体" w:hAnsi="宋体" w:eastAsia="宋体" w:cs="宋体"/>
          <w:color w:val="auto"/>
          <w:sz w:val="24"/>
          <w:szCs w:val="24"/>
          <w:highlight w:val="none"/>
          <w:lang w:val="en-US" w:eastAsia="zh-CN"/>
        </w:rPr>
        <w:t>相关证明资料</w:t>
      </w:r>
      <w:r>
        <w:rPr>
          <w:rFonts w:hint="eastAsia" w:ascii="宋体" w:hAnsi="宋体" w:eastAsia="宋体" w:cs="宋体"/>
          <w:color w:val="auto"/>
          <w:sz w:val="24"/>
          <w:szCs w:val="24"/>
          <w:highlight w:val="none"/>
        </w:rPr>
        <w:t>，未提供的不得分。</w:t>
      </w:r>
    </w:p>
    <w:p w14:paraId="10D7EC79">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658A8BD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131DDC93">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14:paraId="29E4A4C8">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default" w:ascii="Arial Black" w:hAnsi="Arial Black" w:eastAsia="宋体" w:cs="Times New Roman"/>
          <w:b/>
          <w:bCs/>
          <w:snapToGrid w:val="0"/>
          <w:color w:val="auto"/>
          <w:spacing w:val="-3"/>
          <w:kern w:val="2"/>
          <w:sz w:val="22"/>
          <w:szCs w:val="22"/>
          <w:lang w:val="en-US" w:eastAsia="zh-CN" w:bidi="ar-SA"/>
        </w:rPr>
      </w:pPr>
      <w:r>
        <w:rPr>
          <w:rFonts w:hint="eastAsia" w:ascii="Arial Black" w:hAnsi="Arial Black" w:eastAsia="宋体" w:cs="Times New Roman"/>
          <w:b/>
          <w:bCs/>
          <w:snapToGrid w:val="0"/>
          <w:color w:val="auto"/>
          <w:spacing w:val="-3"/>
          <w:kern w:val="2"/>
          <w:sz w:val="22"/>
          <w:szCs w:val="22"/>
          <w:lang w:val="en-US" w:eastAsia="zh-CN" w:bidi="ar-SA"/>
        </w:rPr>
        <w:t>5.节能审查完整性</w:t>
      </w:r>
      <w:r>
        <w:rPr>
          <w:rFonts w:hint="eastAsia" w:ascii="Arial Black" w:hAnsi="Arial Black" w:eastAsia="宋体" w:cs="Times New Roman"/>
          <w:b/>
          <w:bCs/>
          <w:color w:val="auto"/>
          <w:spacing w:val="-3"/>
          <w:kern w:val="2"/>
          <w:sz w:val="22"/>
          <w:szCs w:val="22"/>
          <w:lang w:val="en-US" w:eastAsia="zh-CN" w:bidi="ar-SA"/>
        </w:rPr>
        <w:t>（依据评标办法提供）</w:t>
      </w:r>
    </w:p>
    <w:p w14:paraId="16D36609">
      <w:pPr>
        <w:pageBreakBefore w:val="0"/>
        <w:kinsoku/>
        <w:wordWrap/>
        <w:overflowPunct/>
        <w:topLinePunct w:val="0"/>
        <w:bidi w:val="0"/>
        <w:spacing w:beforeAutospacing="0" w:afterAutospacing="0" w:line="400" w:lineRule="exact"/>
        <w:ind w:firstLine="215" w:firstLineChars="100"/>
        <w:jc w:val="both"/>
        <w:outlineLvl w:val="0"/>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6.工作方案及人力配置（依据评标办法提供）</w:t>
      </w:r>
    </w:p>
    <w:p w14:paraId="7C6F1810">
      <w:pPr>
        <w:pStyle w:val="15"/>
        <w:ind w:left="416" w:leftChars="100" w:hanging="206" w:hangingChars="96"/>
        <w:jc w:val="both"/>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7.服务承诺（依据评标办法提供）</w:t>
      </w:r>
    </w:p>
    <w:p w14:paraId="3371DC3D">
      <w:pPr>
        <w:pStyle w:val="15"/>
        <w:ind w:left="416" w:leftChars="100" w:hanging="206" w:hangingChars="96"/>
        <w:jc w:val="both"/>
        <w:rPr>
          <w:rFonts w:hint="default"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8.投标认为需要提供得其他资料</w:t>
      </w:r>
    </w:p>
    <w:sectPr>
      <w:footerReference r:id="rId17" w:type="default"/>
      <w:pgSz w:w="11906" w:h="16838"/>
      <w:pgMar w:top="1559" w:right="1416" w:bottom="1134" w:left="1560" w:header="851" w:footer="680" w:gutter="0"/>
      <w:pgNumType w:fmt="decimal"/>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我爱懒羊羊" w:date="2025-07-07T20:31:02Z" w:initials="">
    <w:p w14:paraId="440472CC">
      <w:pPr>
        <w:pStyle w:val="6"/>
        <w:rPr>
          <w:rFonts w:hint="default" w:eastAsia="宋体"/>
          <w:lang w:val="en-US" w:eastAsia="zh-CN"/>
        </w:rPr>
      </w:pPr>
      <w:r>
        <w:rPr>
          <w:rFonts w:hint="eastAsia" w:eastAsia="宋体"/>
          <w:lang w:val="en-US" w:eastAsia="zh-CN"/>
        </w:rPr>
        <w:t>2024年项目前期费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0472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7F95">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7315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A37315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1DAAB">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01DAAB">
                    <w:pPr>
                      <w:pStyle w:val="10"/>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41AA">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841AA">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676CE">
    <w:pPr>
      <w:pStyle w:val="10"/>
      <w:tabs>
        <w:tab w:val="left" w:pos="5201"/>
        <w:tab w:val="clear" w:pos="4153"/>
      </w:tabs>
      <w:ind w:firstLine="3960" w:firstLineChars="2200"/>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AD6F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DAD6FE">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D1E9">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BCD1E9">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37A7">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957E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D957E2">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6C91E">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76C91E">
                    <w:pPr>
                      <w:pStyle w:val="10"/>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3622A">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53622A">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31B4">
    <w:pPr>
      <w:spacing w:line="226" w:lineRule="exact"/>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6BB63">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D6BB63">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0B26">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49FC1">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3B49FC1">
                    <w:pPr>
                      <w:pStyle w:val="10"/>
                    </w:pPr>
                    <w:r>
                      <w:fldChar w:fldCharType="begin"/>
                    </w:r>
                    <w:r>
                      <w:instrText xml:space="preserve"> PAGE  \* MERGEFORMAT </w:instrText>
                    </w:r>
                    <w:r>
                      <w:fldChar w:fldCharType="separate"/>
                    </w:r>
                    <w:r>
                      <w:t>28</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C62E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1C62E5">
                    <w:pPr>
                      <w:pStyle w:val="10"/>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4F8B7">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A84F8B7">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3B80">
    <w:pPr>
      <w:spacing w:line="226" w:lineRule="exact"/>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7AD1B">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D7AD1B">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676B">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176AD">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2176AD">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30CE">
    <w:pPr>
      <w:pStyle w:val="10"/>
      <w:ind w:right="36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56F10">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156F10">
                    <w:pPr>
                      <w:pStyle w:val="10"/>
                    </w:pPr>
                    <w:r>
                      <w:fldChar w:fldCharType="begin"/>
                    </w:r>
                    <w:r>
                      <w:instrText xml:space="preserve"> PAGE  \* MERGEFORMAT </w:instrText>
                    </w:r>
                    <w:r>
                      <w:fldChar w:fldCharType="separate"/>
                    </w:r>
                    <w:r>
                      <w:t>37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1EA2B">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11EA2B">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9C44">
    <w:pPr>
      <w:pStyle w:val="11"/>
      <w:pBdr>
        <w:bottom w:val="none" w:color="auto" w:sz="0" w:space="1"/>
      </w:pBdr>
      <w:tabs>
        <w:tab w:val="left" w:pos="6039"/>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02B5">
    <w:pPr>
      <w:pStyle w:val="11"/>
      <w:pBdr>
        <w:bottom w:val="none" w:color="auto" w:sz="0" w:space="1"/>
      </w:pBdr>
      <w:tabs>
        <w:tab w:val="left" w:pos="6039"/>
      </w:tabs>
      <w:jc w:val="left"/>
      <w:rPr>
        <w:rFonts w:hint="eastAsia" w:eastAsia="宋体"/>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92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6D48F"/>
    <w:multiLevelType w:val="singleLevel"/>
    <w:tmpl w:val="2E16D48F"/>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爱懒羊羊">
    <w15:presenceInfo w15:providerId="WPS Office" w15:userId="3963869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DgyNjZlZGVlODMzZTkwYTU4NzcyNTkwYjE1ZmY0YTMifQ=="/>
  </w:docVars>
  <w:rsids>
    <w:rsidRoot w:val="00000000"/>
    <w:rsid w:val="006B133E"/>
    <w:rsid w:val="01553A76"/>
    <w:rsid w:val="07CA2993"/>
    <w:rsid w:val="099F5C8C"/>
    <w:rsid w:val="0A1234AF"/>
    <w:rsid w:val="0C0149DC"/>
    <w:rsid w:val="10C25EC9"/>
    <w:rsid w:val="110E05F8"/>
    <w:rsid w:val="147B1E3D"/>
    <w:rsid w:val="15842028"/>
    <w:rsid w:val="19B968F6"/>
    <w:rsid w:val="1E7A0BFA"/>
    <w:rsid w:val="1F77B980"/>
    <w:rsid w:val="20BD6CCC"/>
    <w:rsid w:val="236F2A21"/>
    <w:rsid w:val="249B3495"/>
    <w:rsid w:val="278504E6"/>
    <w:rsid w:val="29024E6A"/>
    <w:rsid w:val="291C47AB"/>
    <w:rsid w:val="2A004E42"/>
    <w:rsid w:val="2C863463"/>
    <w:rsid w:val="2E954C66"/>
    <w:rsid w:val="2F7A4B97"/>
    <w:rsid w:val="2F7C5FA4"/>
    <w:rsid w:val="30B4193F"/>
    <w:rsid w:val="3114099D"/>
    <w:rsid w:val="34B420D4"/>
    <w:rsid w:val="395D6BCA"/>
    <w:rsid w:val="39CE2671"/>
    <w:rsid w:val="406A4B38"/>
    <w:rsid w:val="40EE3293"/>
    <w:rsid w:val="41552D8D"/>
    <w:rsid w:val="4292190E"/>
    <w:rsid w:val="42E27F91"/>
    <w:rsid w:val="43860D47"/>
    <w:rsid w:val="4DA4725F"/>
    <w:rsid w:val="4DE13C01"/>
    <w:rsid w:val="535810EF"/>
    <w:rsid w:val="53DB2F02"/>
    <w:rsid w:val="54414F42"/>
    <w:rsid w:val="56C21F3F"/>
    <w:rsid w:val="59396B30"/>
    <w:rsid w:val="5A591028"/>
    <w:rsid w:val="5B7A6F8C"/>
    <w:rsid w:val="5C703789"/>
    <w:rsid w:val="5C725937"/>
    <w:rsid w:val="5F922DE4"/>
    <w:rsid w:val="5FBE38EB"/>
    <w:rsid w:val="64A137DB"/>
    <w:rsid w:val="65C47781"/>
    <w:rsid w:val="6824329E"/>
    <w:rsid w:val="69026F3E"/>
    <w:rsid w:val="69BA164C"/>
    <w:rsid w:val="6C382C77"/>
    <w:rsid w:val="6C9F6852"/>
    <w:rsid w:val="6CEC459B"/>
    <w:rsid w:val="71B20DD6"/>
    <w:rsid w:val="73612AB3"/>
    <w:rsid w:val="740B75A1"/>
    <w:rsid w:val="74392219"/>
    <w:rsid w:val="76995CC2"/>
    <w:rsid w:val="785954DD"/>
    <w:rsid w:val="7914177E"/>
    <w:rsid w:val="7B8E4662"/>
    <w:rsid w:val="7E7676CE"/>
    <w:rsid w:val="7EA71B29"/>
    <w:rsid w:val="7EC81C39"/>
    <w:rsid w:val="7FE02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tabs>
        <w:tab w:val="left" w:pos="1080"/>
      </w:tabs>
      <w:spacing w:before="260" w:after="260" w:line="416" w:lineRule="auto"/>
      <w:outlineLvl w:val="1"/>
    </w:pPr>
    <w:rPr>
      <w:rFonts w:ascii="Arial Black" w:hAnsi="Arial Black" w:eastAsia="黑体"/>
      <w:b/>
      <w:bCs/>
      <w:sz w:val="32"/>
      <w:szCs w:val="32"/>
    </w:rPr>
  </w:style>
  <w:style w:type="paragraph" w:styleId="3">
    <w:name w:val="heading 3"/>
    <w:basedOn w:val="1"/>
    <w:next w:val="1"/>
    <w:qFormat/>
    <w:uiPriority w:val="0"/>
    <w:pPr>
      <w:keepNext/>
      <w:keepLines/>
      <w:tabs>
        <w:tab w:val="left" w:pos="720"/>
      </w:tabs>
      <w:spacing w:line="360" w:lineRule="auto"/>
      <w:ind w:left="720" w:hanging="432"/>
      <w:outlineLvl w:val="2"/>
    </w:pPr>
    <w:rPr>
      <w:b/>
      <w:bCs/>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toa heading"/>
    <w:basedOn w:val="1"/>
    <w:next w:val="1"/>
    <w:qFormat/>
    <w:uiPriority w:val="0"/>
    <w:pPr>
      <w:spacing w:before="120"/>
    </w:pPr>
    <w:rPr>
      <w:rFonts w:ascii="Cambria" w:hAnsi="Cambria" w:cs="Times New Roman"/>
      <w:sz w:val="24"/>
      <w:szCs w:val="24"/>
    </w:rPr>
  </w:style>
  <w:style w:type="paragraph" w:styleId="6">
    <w:name w:val="annotation text"/>
    <w:basedOn w:val="1"/>
    <w:qFormat/>
    <w:uiPriority w:val="0"/>
    <w:pPr>
      <w:jc w:val="left"/>
    </w:pPr>
  </w:style>
  <w:style w:type="paragraph" w:styleId="7">
    <w:name w:val="Body Text"/>
    <w:basedOn w:val="1"/>
    <w:semiHidden/>
    <w:qFormat/>
    <w:uiPriority w:val="0"/>
    <w:rPr>
      <w:rFonts w:ascii="宋体" w:hAnsi="宋体" w:eastAsia="宋体" w:cs="宋体"/>
      <w:sz w:val="28"/>
      <w:szCs w:val="28"/>
      <w:lang w:val="en-US" w:eastAsia="en-US" w:bidi="ar-SA"/>
    </w:rPr>
  </w:style>
  <w:style w:type="paragraph" w:styleId="8">
    <w:name w:val="Body Text Indent"/>
    <w:basedOn w:val="1"/>
    <w:next w:val="1"/>
    <w:qFormat/>
    <w:uiPriority w:val="0"/>
    <w:pPr>
      <w:spacing w:line="360" w:lineRule="auto"/>
      <w:ind w:firstLine="560" w:firstLineChars="200"/>
    </w:pPr>
    <w:rPr>
      <w:sz w:val="28"/>
    </w:rPr>
  </w:style>
  <w:style w:type="paragraph" w:styleId="9">
    <w:name w:val="Plain Text"/>
    <w:basedOn w:val="1"/>
    <w:qFormat/>
    <w:uiPriority w:val="0"/>
    <w:rPr>
      <w:rFonts w:ascii="宋体" w:hAnsi="Courier New"/>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style>
  <w:style w:type="paragraph" w:styleId="1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4">
    <w:name w:val="Body Text First Indent"/>
    <w:basedOn w:val="7"/>
    <w:next w:val="1"/>
    <w:qFormat/>
    <w:uiPriority w:val="0"/>
    <w:pPr>
      <w:widowControl/>
      <w:ind w:firstLine="420"/>
      <w:jc w:val="left"/>
    </w:pPr>
    <w:rPr>
      <w:kern w:val="0"/>
      <w:sz w:val="20"/>
    </w:rPr>
  </w:style>
  <w:style w:type="paragraph" w:styleId="15">
    <w:name w:val="Body Text First Indent 2"/>
    <w:basedOn w:val="8"/>
    <w:unhideWhenUsed/>
    <w:qFormat/>
    <w:uiPriority w:val="0"/>
    <w:pPr>
      <w:spacing w:after="120" w:line="240" w:lineRule="auto"/>
      <w:ind w:left="420" w:leftChars="200" w:firstLine="420"/>
    </w:pPr>
    <w:rPr>
      <w:sz w:val="21"/>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8"/>
      <w:szCs w:val="28"/>
      <w:lang w:val="en-US" w:eastAsia="en-US" w:bidi="ar-SA"/>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正文1"/>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24">
    <w:name w:val="Table Paragraph"/>
    <w:basedOn w:val="1"/>
    <w:qFormat/>
    <w:uiPriority w:val="1"/>
    <w:pPr>
      <w:jc w:val="left"/>
    </w:pPr>
    <w:rPr>
      <w:rFonts w:ascii="宋体" w:hAnsi="宋体" w:cs="宋体"/>
      <w:kern w:val="0"/>
      <w:sz w:val="22"/>
      <w:szCs w:val="22"/>
      <w:lang w:eastAsia="en-US"/>
    </w:rPr>
  </w:style>
  <w:style w:type="paragraph" w:customStyle="1" w:styleId="25">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26">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标书正文"/>
    <w:basedOn w:val="1"/>
    <w:qFormat/>
    <w:uiPriority w:val="0"/>
    <w:pPr>
      <w:spacing w:line="560" w:lineRule="exact"/>
      <w:ind w:firstLine="723" w:firstLineChars="200"/>
      <w:jc w:val="center"/>
    </w:pPr>
    <w:rPr>
      <w:rFonts w:ascii="仿宋_GB2312" w:eastAsia="仿宋_GB2312"/>
      <w:b/>
      <w:sz w:val="36"/>
      <w:szCs w:val="24"/>
    </w:rPr>
  </w:style>
  <w:style w:type="character" w:customStyle="1" w:styleId="29">
    <w:name w:val="Body text|1_"/>
    <w:basedOn w:val="17"/>
    <w:link w:val="30"/>
    <w:unhideWhenUsed/>
    <w:qFormat/>
    <w:uiPriority w:val="99"/>
    <w:rPr>
      <w:rFonts w:ascii="MingLiU" w:hAnsi="MingLiU" w:eastAsia="MingLiU"/>
      <w:sz w:val="46"/>
      <w:lang w:val="zh-CN"/>
    </w:rPr>
  </w:style>
  <w:style w:type="paragraph" w:customStyle="1" w:styleId="30">
    <w:name w:val="Body text|1"/>
    <w:basedOn w:val="1"/>
    <w:link w:val="29"/>
    <w:unhideWhenUsed/>
    <w:qFormat/>
    <w:uiPriority w:val="99"/>
    <w:pPr>
      <w:shd w:val="clear" w:color="auto" w:fill="FFFFFF"/>
      <w:spacing w:line="329" w:lineRule="auto"/>
      <w:ind w:firstLine="400"/>
    </w:pPr>
    <w:rPr>
      <w:rFonts w:ascii="MingLiU" w:hAnsi="MingLiU" w:eastAsia="MingLiU"/>
      <w:sz w:val="46"/>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3.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2.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16161</Words>
  <Characters>17366</Characters>
  <TotalTime>5</TotalTime>
  <ScaleCrop>false</ScaleCrop>
  <LinksUpToDate>false</LinksUpToDate>
  <CharactersWithSpaces>17836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2023-07-18T09:45:00Z</dcterms:created>
  <dc:creator>Administrator.PC-20240515ZQQA</dc:creator>
  <cp:lastModifiedBy>Lenovo</cp:lastModifiedBy>
  <cp:lastPrinted>2024-07-16T18:31:00Z</cp:lastPrinted>
  <dcterms:modified xsi:type="dcterms:W3CDTF">2025-07-11T11:08:48Z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2024-07-04T11:39:33Z</vt:filetime>
  </property>
  <property fmtid="{D5CDD505-2E9C-101B-9397-08002B2CF9AE}" pid="4" name="KSOProductBuildVer">
    <vt:lpwstr>2052-12.1.0.21171</vt:lpwstr>
  </property>
  <property fmtid="{D5CDD505-2E9C-101B-9397-08002B2CF9AE}" pid="5" name="ICV">
    <vt:lpwstr>677F527508AE47C39606B4DF2B91F197_12</vt:lpwstr>
  </property>
  <property fmtid="{D5CDD505-2E9C-101B-9397-08002B2CF9AE}" pid="6" name="KSOTemplateDocerSaveRecord">
    <vt:lpwstr>eyJoZGlkIjoiMDljYzUzMWQ4OWI0YzBkYjYzMDRhZTY5ZjZkYmFmYTgiLCJ1c2VySWQiOiIxNTQ4NTc1Mzk2In0=</vt:lpwstr>
  </property>
</Properties>
</file>