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27D19">
      <w:pPr>
        <w:spacing w:line="420" w:lineRule="exact"/>
        <w:jc w:val="center"/>
        <w:rPr>
          <w:rFonts w:hint="eastAsia" w:ascii="宋体" w:hAnsi="宋体" w:cs="宋体"/>
          <w:b/>
          <w:color w:val="auto"/>
          <w:sz w:val="40"/>
          <w:szCs w:val="40"/>
          <w:highlight w:val="none"/>
        </w:rPr>
      </w:pPr>
    </w:p>
    <w:p w14:paraId="0EA34F17">
      <w:pPr>
        <w:pStyle w:val="12"/>
        <w:spacing w:line="360" w:lineRule="auto"/>
        <w:ind w:left="360"/>
        <w:rPr>
          <w:rFonts w:hint="eastAsia" w:ascii="宋体" w:hAnsi="宋体" w:cs="宋体"/>
          <w:color w:val="auto"/>
          <w:highlight w:val="none"/>
        </w:rPr>
      </w:pPr>
    </w:p>
    <w:p w14:paraId="20D43983">
      <w:pPr>
        <w:rPr>
          <w:rFonts w:hint="eastAsia" w:ascii="宋体" w:hAnsi="宋体" w:cs="宋体"/>
          <w:color w:val="auto"/>
          <w:highlight w:val="none"/>
        </w:rPr>
      </w:pPr>
    </w:p>
    <w:p w14:paraId="192B839A">
      <w:pPr>
        <w:jc w:val="center"/>
        <w:rPr>
          <w:rFonts w:hint="eastAsia" w:ascii="宋体" w:hAnsi="宋体" w:eastAsia="宋体" w:cs="宋体"/>
          <w:b/>
          <w:bCs/>
          <w:color w:val="auto"/>
          <w:sz w:val="24"/>
          <w:highlight w:val="none"/>
          <w:lang w:eastAsia="zh-CN"/>
        </w:rPr>
      </w:pPr>
      <w:r>
        <w:rPr>
          <w:rFonts w:hint="eastAsia" w:ascii="宋体" w:hAnsi="宋体" w:cs="宋体"/>
          <w:b/>
          <w:color w:val="auto"/>
          <w:sz w:val="56"/>
          <w:szCs w:val="56"/>
          <w:highlight w:val="none"/>
          <w:lang w:eastAsia="zh-CN"/>
        </w:rPr>
        <w:t>克拉玛依市独山子区农业和水务局2025年度独山子区兽医社会化服务采购项目</w:t>
      </w:r>
    </w:p>
    <w:p w14:paraId="4B35F287">
      <w:pPr>
        <w:pStyle w:val="12"/>
        <w:jc w:val="center"/>
        <w:rPr>
          <w:rFonts w:hint="eastAsia" w:ascii="宋体" w:hAnsi="宋体" w:eastAsia="宋体" w:cs="宋体"/>
          <w:b/>
          <w:bCs/>
          <w:color w:val="auto"/>
          <w:sz w:val="56"/>
          <w:szCs w:val="56"/>
          <w:highlight w:val="none"/>
          <w:lang w:eastAsia="zh-CN"/>
        </w:rPr>
      </w:pPr>
    </w:p>
    <w:p w14:paraId="589EEA7A">
      <w:pPr>
        <w:pStyle w:val="13"/>
        <w:ind w:left="0" w:leftChars="0" w:firstLine="0" w:firstLineChars="0"/>
        <w:rPr>
          <w:rFonts w:hint="eastAsia" w:ascii="宋体" w:hAnsi="宋体" w:eastAsia="宋体" w:cs="宋体"/>
          <w:color w:val="auto"/>
          <w:sz w:val="56"/>
          <w:szCs w:val="56"/>
          <w:highlight w:val="none"/>
        </w:rPr>
      </w:pPr>
    </w:p>
    <w:p w14:paraId="2268BF15">
      <w:pPr>
        <w:spacing w:line="360" w:lineRule="auto"/>
        <w:jc w:val="center"/>
        <w:rPr>
          <w:rFonts w:hint="eastAsia" w:ascii="宋体" w:hAnsi="宋体" w:cs="宋体"/>
          <w:b/>
          <w:color w:val="auto"/>
          <w:sz w:val="60"/>
          <w:szCs w:val="60"/>
          <w:highlight w:val="none"/>
        </w:rPr>
      </w:pPr>
      <w:r>
        <w:rPr>
          <w:rFonts w:hint="eastAsia" w:ascii="宋体" w:hAnsi="宋体" w:eastAsia="宋体" w:cs="宋体"/>
          <w:b/>
          <w:color w:val="auto"/>
          <w:sz w:val="56"/>
          <w:szCs w:val="56"/>
          <w:highlight w:val="none"/>
          <w:lang w:eastAsia="zh-CN"/>
        </w:rPr>
        <w:t>竞争性磋商文件</w:t>
      </w:r>
    </w:p>
    <w:p w14:paraId="26EE05EE">
      <w:pPr>
        <w:rPr>
          <w:rFonts w:hint="eastAsia" w:ascii="宋体" w:hAnsi="宋体" w:cs="宋体"/>
          <w:b/>
          <w:color w:val="auto"/>
          <w:sz w:val="52"/>
          <w:szCs w:val="52"/>
          <w:highlight w:val="none"/>
        </w:rPr>
      </w:pPr>
    </w:p>
    <w:p w14:paraId="4D80D75C">
      <w:pPr>
        <w:pStyle w:val="35"/>
        <w:ind w:firstLine="400"/>
        <w:rPr>
          <w:rFonts w:hint="eastAsia"/>
          <w:color w:val="auto"/>
          <w:highlight w:val="none"/>
        </w:rPr>
      </w:pPr>
    </w:p>
    <w:p w14:paraId="4DACBECD">
      <w:pPr>
        <w:spacing w:line="360" w:lineRule="auto"/>
        <w:jc w:val="center"/>
        <w:outlineLvl w:val="0"/>
        <w:rPr>
          <w:rFonts w:hint="eastAsia" w:ascii="宋体" w:hAnsi="宋体" w:eastAsia="宋体" w:cs="宋体"/>
          <w:color w:val="auto"/>
          <w:sz w:val="24"/>
          <w:highlight w:val="none"/>
          <w:lang w:eastAsia="zh-CN"/>
        </w:rPr>
      </w:pPr>
      <w:bookmarkStart w:id="0" w:name="_Toc31857"/>
      <w:bookmarkStart w:id="1" w:name="_Toc2890"/>
      <w:bookmarkStart w:id="2" w:name="_Toc10195"/>
      <w:bookmarkStart w:id="3" w:name="_Toc2446"/>
      <w:bookmarkStart w:id="4" w:name="_Toc20281"/>
      <w:bookmarkStart w:id="5" w:name="_Toc30944"/>
      <w:r>
        <w:rPr>
          <w:rFonts w:hint="eastAsia" w:ascii="宋体" w:hAnsi="宋体" w:cs="宋体"/>
          <w:b/>
          <w:color w:val="auto"/>
          <w:sz w:val="32"/>
          <w:szCs w:val="32"/>
          <w:highlight w:val="none"/>
        </w:rPr>
        <w:t>项目编号：</w:t>
      </w:r>
      <w:bookmarkEnd w:id="0"/>
      <w:bookmarkEnd w:id="1"/>
      <w:bookmarkEnd w:id="2"/>
      <w:bookmarkEnd w:id="3"/>
      <w:bookmarkEnd w:id="4"/>
      <w:bookmarkEnd w:id="5"/>
      <w:r>
        <w:rPr>
          <w:rFonts w:hint="eastAsia" w:ascii="宋体" w:hAnsi="宋体" w:cs="宋体"/>
          <w:b/>
          <w:color w:val="auto"/>
          <w:sz w:val="32"/>
          <w:szCs w:val="32"/>
          <w:highlight w:val="none"/>
          <w:lang w:eastAsia="zh-CN"/>
        </w:rPr>
        <w:t>XJYYZB-(DSNYSWJ)2025113</w:t>
      </w:r>
    </w:p>
    <w:p w14:paraId="4FCB6324">
      <w:pPr>
        <w:spacing w:line="360" w:lineRule="auto"/>
        <w:rPr>
          <w:rFonts w:hint="eastAsia" w:ascii="宋体" w:hAnsi="宋体" w:cs="宋体"/>
          <w:b/>
          <w:bCs/>
          <w:color w:val="auto"/>
          <w:sz w:val="30"/>
          <w:szCs w:val="30"/>
          <w:highlight w:val="none"/>
        </w:rPr>
      </w:pPr>
    </w:p>
    <w:p w14:paraId="106CC58C">
      <w:pPr>
        <w:pStyle w:val="35"/>
        <w:ind w:firstLine="602"/>
        <w:rPr>
          <w:rFonts w:hint="eastAsia" w:ascii="宋体" w:hAnsi="宋体" w:cs="宋体"/>
          <w:b/>
          <w:bCs/>
          <w:color w:val="auto"/>
          <w:sz w:val="30"/>
          <w:szCs w:val="30"/>
          <w:highlight w:val="none"/>
        </w:rPr>
      </w:pPr>
    </w:p>
    <w:p w14:paraId="14776729">
      <w:pPr>
        <w:spacing w:line="360" w:lineRule="auto"/>
        <w:ind w:firstLine="1205" w:firstLineChars="400"/>
        <w:outlineLvl w:val="0"/>
        <w:rPr>
          <w:rFonts w:hint="eastAsia" w:ascii="宋体" w:hAnsi="宋体" w:cs="宋体"/>
          <w:b/>
          <w:bCs/>
          <w:color w:val="auto"/>
          <w:sz w:val="30"/>
          <w:szCs w:val="30"/>
          <w:highlight w:val="none"/>
        </w:rPr>
      </w:pPr>
      <w:bookmarkStart w:id="6" w:name="_Toc28458"/>
      <w:bookmarkStart w:id="7" w:name="_Toc9026"/>
      <w:bookmarkStart w:id="8" w:name="_Toc27371"/>
      <w:bookmarkStart w:id="9" w:name="_Toc23724"/>
      <w:bookmarkStart w:id="10" w:name="_Toc25558"/>
      <w:bookmarkStart w:id="11" w:name="_Toc1758"/>
      <w:bookmarkStart w:id="12" w:name="_Toc18643"/>
      <w:bookmarkStart w:id="13" w:name="_Toc27428"/>
      <w:bookmarkStart w:id="14" w:name="_Toc8646"/>
      <w:bookmarkStart w:id="15" w:name="_Toc16717"/>
      <w:bookmarkStart w:id="16" w:name="_Toc25633"/>
      <w:bookmarkStart w:id="17" w:name="_Toc29006"/>
      <w:bookmarkStart w:id="18" w:name="_Toc15575"/>
      <w:r>
        <w:rPr>
          <w:rFonts w:hint="eastAsia" w:ascii="宋体" w:hAnsi="宋体" w:cs="宋体"/>
          <w:b/>
          <w:bCs/>
          <w:color w:val="auto"/>
          <w:sz w:val="30"/>
          <w:szCs w:val="30"/>
          <w:highlight w:val="none"/>
        </w:rPr>
        <w:t>采购人：</w:t>
      </w:r>
      <w:bookmarkEnd w:id="6"/>
      <w:bookmarkEnd w:id="7"/>
      <w:bookmarkEnd w:id="8"/>
      <w:bookmarkEnd w:id="9"/>
      <w:bookmarkEnd w:id="10"/>
      <w:bookmarkEnd w:id="11"/>
      <w:bookmarkEnd w:id="12"/>
      <w:bookmarkEnd w:id="13"/>
      <w:bookmarkEnd w:id="14"/>
      <w:bookmarkEnd w:id="15"/>
      <w:bookmarkEnd w:id="16"/>
      <w:bookmarkEnd w:id="17"/>
      <w:bookmarkEnd w:id="18"/>
      <w:r>
        <w:rPr>
          <w:rFonts w:hint="eastAsia" w:ascii="宋体" w:hAnsi="宋体" w:cs="宋体"/>
          <w:b/>
          <w:color w:val="auto"/>
          <w:sz w:val="30"/>
          <w:szCs w:val="30"/>
          <w:highlight w:val="none"/>
          <w:lang w:eastAsia="zh-CN"/>
        </w:rPr>
        <w:t>克拉玛依市独山子区农业和水务局</w:t>
      </w:r>
    </w:p>
    <w:p w14:paraId="320DB70C">
      <w:pPr>
        <w:spacing w:line="360" w:lineRule="auto"/>
        <w:ind w:firstLine="1205" w:firstLineChars="400"/>
        <w:rPr>
          <w:rFonts w:ascii="宋体" w:hAnsi="宋体" w:cs="宋体"/>
          <w:b/>
          <w:bCs/>
          <w:color w:val="auto"/>
          <w:sz w:val="30"/>
          <w:szCs w:val="30"/>
          <w:highlight w:val="none"/>
        </w:rPr>
      </w:pPr>
      <w:r>
        <w:rPr>
          <w:rFonts w:hint="eastAsia" w:ascii="宋体" w:hAnsi="宋体" w:cs="宋体"/>
          <w:b/>
          <w:bCs/>
          <w:color w:val="auto"/>
          <w:sz w:val="30"/>
          <w:szCs w:val="30"/>
          <w:highlight w:val="none"/>
        </w:rPr>
        <w:t>联系人：</w:t>
      </w:r>
      <w:r>
        <w:rPr>
          <w:rFonts w:hint="eastAsia" w:ascii="宋体" w:hAnsi="宋体" w:cs="宋体"/>
          <w:b/>
          <w:color w:val="auto"/>
          <w:sz w:val="30"/>
          <w:szCs w:val="30"/>
          <w:highlight w:val="none"/>
          <w:lang w:val="en-US" w:eastAsia="zh-CN"/>
        </w:rPr>
        <w:t>尹先生</w:t>
      </w:r>
      <w:r>
        <w:rPr>
          <w:rFonts w:hint="eastAsia" w:ascii="宋体" w:hAnsi="宋体" w:cs="宋体"/>
          <w:b/>
          <w:color w:val="auto"/>
          <w:sz w:val="30"/>
          <w:szCs w:val="30"/>
          <w:highlight w:val="none"/>
          <w:lang w:eastAsia="zh-CN"/>
        </w:rPr>
        <w:t xml:space="preserve"> </w:t>
      </w:r>
    </w:p>
    <w:p w14:paraId="446AF2F5">
      <w:pPr>
        <w:spacing w:line="360" w:lineRule="auto"/>
        <w:ind w:firstLine="1205" w:firstLineChars="400"/>
        <w:outlineLvl w:val="0"/>
        <w:rPr>
          <w:rFonts w:hint="default" w:ascii="宋体" w:hAnsi="宋体" w:cs="宋体"/>
          <w:b/>
          <w:color w:val="auto"/>
          <w:sz w:val="30"/>
          <w:szCs w:val="30"/>
          <w:highlight w:val="none"/>
          <w:lang w:val="en-US" w:eastAsia="zh-CN"/>
        </w:rPr>
      </w:pPr>
      <w:r>
        <w:rPr>
          <w:rFonts w:hint="eastAsia" w:ascii="宋体" w:hAnsi="宋体" w:cs="宋体"/>
          <w:b/>
          <w:color w:val="auto"/>
          <w:sz w:val="30"/>
          <w:szCs w:val="30"/>
          <w:highlight w:val="none"/>
          <w:lang w:eastAsia="zh-CN"/>
        </w:rPr>
        <w:t>联系电话：189</w:t>
      </w:r>
      <w:r>
        <w:rPr>
          <w:rFonts w:hint="eastAsia" w:ascii="宋体" w:hAnsi="宋体" w:cs="宋体"/>
          <w:b/>
          <w:color w:val="auto"/>
          <w:sz w:val="30"/>
          <w:szCs w:val="30"/>
          <w:highlight w:val="none"/>
          <w:lang w:val="en-US" w:eastAsia="zh-CN"/>
        </w:rPr>
        <w:t>97705214</w:t>
      </w:r>
    </w:p>
    <w:p w14:paraId="7717D977">
      <w:pPr>
        <w:pStyle w:val="35"/>
        <w:ind w:firstLine="400"/>
        <w:rPr>
          <w:rFonts w:hint="eastAsia" w:ascii="宋体" w:hAnsi="宋体" w:cs="宋体"/>
          <w:color w:val="auto"/>
          <w:highlight w:val="none"/>
        </w:rPr>
      </w:pPr>
    </w:p>
    <w:p w14:paraId="13747E25">
      <w:pPr>
        <w:pStyle w:val="35"/>
        <w:ind w:firstLine="400"/>
        <w:rPr>
          <w:rFonts w:hint="eastAsia" w:ascii="宋体" w:hAnsi="宋体" w:cs="宋体"/>
          <w:color w:val="auto"/>
          <w:highlight w:val="none"/>
        </w:rPr>
      </w:pPr>
    </w:p>
    <w:p w14:paraId="4859A10D">
      <w:pPr>
        <w:overflowPunct w:val="0"/>
        <w:spacing w:line="360" w:lineRule="auto"/>
        <w:ind w:firstLine="1205" w:firstLineChars="400"/>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采购代理机构：</w:t>
      </w:r>
      <w:r>
        <w:rPr>
          <w:rFonts w:hint="eastAsia" w:ascii="宋体" w:hAnsi="宋体" w:cs="宋体"/>
          <w:b/>
          <w:color w:val="auto"/>
          <w:sz w:val="30"/>
          <w:szCs w:val="30"/>
          <w:highlight w:val="none"/>
        </w:rPr>
        <w:t>新疆元誉工程项目管理有限公司</w:t>
      </w:r>
    </w:p>
    <w:p w14:paraId="52328B15">
      <w:pPr>
        <w:spacing w:line="360" w:lineRule="auto"/>
        <w:ind w:firstLine="1205" w:firstLineChars="400"/>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rPr>
        <w:t>联系人：</w:t>
      </w:r>
      <w:r>
        <w:rPr>
          <w:rFonts w:hint="eastAsia" w:ascii="宋体" w:hAnsi="宋体" w:cs="宋体"/>
          <w:b/>
          <w:bCs/>
          <w:color w:val="auto"/>
          <w:sz w:val="30"/>
          <w:szCs w:val="30"/>
          <w:highlight w:val="none"/>
          <w:lang w:eastAsia="zh-CN"/>
        </w:rPr>
        <w:t>程先生</w:t>
      </w:r>
    </w:p>
    <w:p w14:paraId="660A8672">
      <w:pPr>
        <w:spacing w:line="360" w:lineRule="auto"/>
        <w:ind w:firstLine="1205" w:firstLineChars="400"/>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rPr>
        <w:t>联系电话：</w:t>
      </w:r>
      <w:r>
        <w:rPr>
          <w:rFonts w:hint="eastAsia" w:ascii="宋体" w:hAnsi="宋体" w:cs="宋体"/>
          <w:b/>
          <w:bCs/>
          <w:color w:val="auto"/>
          <w:sz w:val="30"/>
          <w:szCs w:val="30"/>
          <w:highlight w:val="none"/>
          <w:lang w:eastAsia="zh-CN"/>
        </w:rPr>
        <w:t>18999507776</w:t>
      </w:r>
    </w:p>
    <w:p w14:paraId="4B59DEE5">
      <w:pPr>
        <w:pStyle w:val="25"/>
        <w:ind w:left="2520"/>
        <w:rPr>
          <w:rFonts w:hint="eastAsia" w:ascii="宋体" w:hAnsi="宋体" w:eastAsia="宋体" w:cs="宋体"/>
          <w:color w:val="auto"/>
          <w:highlight w:val="none"/>
        </w:rPr>
      </w:pPr>
    </w:p>
    <w:p w14:paraId="2AE69128">
      <w:pPr>
        <w:pStyle w:val="16"/>
        <w:spacing w:line="360" w:lineRule="auto"/>
        <w:jc w:val="center"/>
        <w:rPr>
          <w:rFonts w:hint="eastAsia" w:hAnsi="宋体" w:cs="宋体"/>
          <w:b/>
          <w:bCs/>
          <w:color w:val="auto"/>
          <w:sz w:val="30"/>
          <w:szCs w:val="30"/>
          <w:highlight w:val="none"/>
        </w:rPr>
      </w:pPr>
      <w:r>
        <w:rPr>
          <w:rFonts w:hint="eastAsia" w:hAnsi="宋体" w:cs="宋体"/>
          <w:b/>
          <w:bCs/>
          <w:color w:val="auto"/>
          <w:sz w:val="30"/>
          <w:szCs w:val="30"/>
          <w:highlight w:val="none"/>
        </w:rPr>
        <w:t>二○二五年</w:t>
      </w:r>
      <w:r>
        <w:rPr>
          <w:rFonts w:hint="eastAsia" w:hAnsi="宋体" w:cs="宋体"/>
          <w:b/>
          <w:bCs/>
          <w:color w:val="auto"/>
          <w:sz w:val="30"/>
          <w:szCs w:val="30"/>
          <w:highlight w:val="none"/>
          <w:lang w:val="en-US" w:eastAsia="zh-CN"/>
        </w:rPr>
        <w:t>七</w:t>
      </w:r>
      <w:r>
        <w:rPr>
          <w:rFonts w:hint="eastAsia" w:hAnsi="宋体" w:cs="宋体"/>
          <w:b/>
          <w:bCs/>
          <w:color w:val="auto"/>
          <w:sz w:val="30"/>
          <w:szCs w:val="30"/>
          <w:highlight w:val="none"/>
        </w:rPr>
        <w:t>月</w:t>
      </w:r>
    </w:p>
    <w:p w14:paraId="7AEED53B">
      <w:pPr>
        <w:pStyle w:val="110"/>
        <w:tabs>
          <w:tab w:val="center" w:pos="4596"/>
          <w:tab w:val="left" w:pos="8310"/>
          <w:tab w:val="right" w:leader="dot" w:pos="9895"/>
        </w:tabs>
        <w:spacing w:line="480" w:lineRule="auto"/>
        <w:jc w:val="center"/>
        <w:rPr>
          <w:rFonts w:hint="eastAsia" w:ascii="宋体" w:hAnsi="宋体" w:cs="宋体"/>
          <w:color w:val="auto"/>
          <w:highlight w:val="none"/>
        </w:rPr>
      </w:pPr>
      <w:r>
        <w:rPr>
          <w:rFonts w:hint="eastAsia" w:ascii="宋体" w:hAnsi="宋体" w:cs="宋体"/>
          <w:b/>
          <w:bCs/>
          <w:color w:val="auto"/>
          <w:sz w:val="24"/>
          <w:szCs w:val="24"/>
          <w:highlight w:val="none"/>
        </w:rPr>
        <w:br w:type="page"/>
      </w:r>
      <w:bookmarkStart w:id="19" w:name="_Toc9174"/>
      <w:r>
        <w:rPr>
          <w:rFonts w:hint="eastAsia" w:ascii="宋体" w:hAnsi="宋体" w:cs="宋体"/>
          <w:b/>
          <w:bCs/>
          <w:color w:val="auto"/>
          <w:sz w:val="40"/>
          <w:szCs w:val="44"/>
          <w:highlight w:val="none"/>
        </w:rPr>
        <w:t>目  录</w:t>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TOC \o "1-2" \h \u </w:instrText>
      </w:r>
      <w:r>
        <w:rPr>
          <w:rFonts w:hint="eastAsia" w:ascii="宋体" w:hAnsi="宋体" w:cs="宋体"/>
          <w:b/>
          <w:bCs/>
          <w:color w:val="auto"/>
          <w:sz w:val="28"/>
          <w:szCs w:val="28"/>
          <w:highlight w:val="none"/>
        </w:rPr>
        <w:fldChar w:fldCharType="separate"/>
      </w:r>
    </w:p>
    <w:p w14:paraId="3BABB250">
      <w:pPr>
        <w:pStyle w:val="22"/>
        <w:tabs>
          <w:tab w:val="right" w:leader="dot" w:pos="9072"/>
          <w:tab w:val="clear" w:pos="840"/>
          <w:tab w:val="clear" w:pos="8210"/>
        </w:tabs>
        <w:spacing w:line="360" w:lineRule="auto"/>
        <w:rPr>
          <w:rFonts w:hint="eastAsia" w:ascii="宋体" w:eastAsia="宋体" w:cs="宋体"/>
          <w:color w:val="auto"/>
          <w:sz w:val="28"/>
          <w:szCs w:val="28"/>
          <w:highlight w:val="none"/>
        </w:rPr>
      </w:pPr>
      <w:r>
        <w:rPr>
          <w:rFonts w:hint="eastAsia" w:ascii="宋体" w:eastAsia="宋体" w:cs="宋体"/>
          <w:color w:val="auto"/>
          <w:sz w:val="28"/>
          <w:szCs w:val="28"/>
          <w:highlight w:val="none"/>
        </w:rPr>
        <w:fldChar w:fldCharType="begin"/>
      </w:r>
      <w:r>
        <w:rPr>
          <w:rFonts w:hint="eastAsia" w:ascii="宋体" w:eastAsia="宋体" w:cs="宋体"/>
          <w:color w:val="auto"/>
          <w:sz w:val="28"/>
          <w:szCs w:val="28"/>
          <w:highlight w:val="none"/>
        </w:rPr>
        <w:instrText xml:space="preserve"> HYPERLINK \l _Toc26375 </w:instrText>
      </w:r>
      <w:r>
        <w:rPr>
          <w:rFonts w:hint="eastAsia" w:ascii="宋体" w:eastAsia="宋体" w:cs="宋体"/>
          <w:color w:val="auto"/>
          <w:sz w:val="28"/>
          <w:szCs w:val="28"/>
          <w:highlight w:val="none"/>
        </w:rPr>
        <w:fldChar w:fldCharType="separate"/>
      </w:r>
      <w:r>
        <w:rPr>
          <w:rFonts w:hint="eastAsia" w:ascii="宋体" w:eastAsia="宋体" w:cs="宋体"/>
          <w:bCs w:val="0"/>
          <w:color w:val="auto"/>
          <w:sz w:val="28"/>
          <w:szCs w:val="28"/>
          <w:highlight w:val="none"/>
        </w:rPr>
        <w:t>第一章  竞争性磋商采购公告</w:t>
      </w:r>
      <w:r>
        <w:rPr>
          <w:rFonts w:hint="eastAsia" w:ascii="宋体" w:eastAsia="宋体" w:cs="宋体"/>
          <w:color w:val="auto"/>
          <w:sz w:val="28"/>
          <w:szCs w:val="28"/>
          <w:highlight w:val="none"/>
        </w:rPr>
        <w:tab/>
      </w:r>
      <w:r>
        <w:rPr>
          <w:rFonts w:hint="eastAsia" w:ascii="宋体" w:eastAsia="宋体" w:cs="宋体"/>
          <w:color w:val="auto"/>
          <w:sz w:val="28"/>
          <w:szCs w:val="28"/>
          <w:highlight w:val="none"/>
        </w:rPr>
        <w:fldChar w:fldCharType="begin"/>
      </w:r>
      <w:r>
        <w:rPr>
          <w:rFonts w:hint="eastAsia" w:ascii="宋体" w:eastAsia="宋体" w:cs="宋体"/>
          <w:color w:val="auto"/>
          <w:sz w:val="28"/>
          <w:szCs w:val="28"/>
          <w:highlight w:val="none"/>
        </w:rPr>
        <w:instrText xml:space="preserve"> PAGEREF _Toc26375 \h </w:instrText>
      </w:r>
      <w:r>
        <w:rPr>
          <w:rFonts w:hint="eastAsia" w:ascii="宋体" w:eastAsia="宋体" w:cs="宋体"/>
          <w:color w:val="auto"/>
          <w:sz w:val="28"/>
          <w:szCs w:val="28"/>
          <w:highlight w:val="none"/>
        </w:rPr>
        <w:fldChar w:fldCharType="separate"/>
      </w:r>
      <w:r>
        <w:rPr>
          <w:rFonts w:hint="eastAsia" w:ascii="宋体" w:eastAsia="宋体" w:cs="宋体"/>
          <w:color w:val="auto"/>
          <w:sz w:val="28"/>
          <w:szCs w:val="28"/>
          <w:highlight w:val="none"/>
        </w:rPr>
        <w:t>1</w:t>
      </w:r>
      <w:r>
        <w:rPr>
          <w:rFonts w:hint="eastAsia" w:ascii="宋体" w:eastAsia="宋体" w:cs="宋体"/>
          <w:color w:val="auto"/>
          <w:sz w:val="28"/>
          <w:szCs w:val="28"/>
          <w:highlight w:val="none"/>
        </w:rPr>
        <w:fldChar w:fldCharType="end"/>
      </w:r>
      <w:r>
        <w:rPr>
          <w:rFonts w:hint="eastAsia" w:ascii="宋体" w:eastAsia="宋体" w:cs="宋体"/>
          <w:color w:val="auto"/>
          <w:sz w:val="28"/>
          <w:szCs w:val="28"/>
          <w:highlight w:val="none"/>
        </w:rPr>
        <w:fldChar w:fldCharType="end"/>
      </w:r>
    </w:p>
    <w:p w14:paraId="30CC96F2">
      <w:pPr>
        <w:pStyle w:val="22"/>
        <w:tabs>
          <w:tab w:val="right" w:leader="dot" w:pos="9072"/>
          <w:tab w:val="clear" w:pos="840"/>
          <w:tab w:val="clear" w:pos="8210"/>
        </w:tabs>
        <w:spacing w:line="360" w:lineRule="auto"/>
        <w:rPr>
          <w:rFonts w:hint="eastAsia" w:ascii="宋体" w:eastAsia="宋体" w:cs="宋体"/>
          <w:color w:val="auto"/>
          <w:sz w:val="28"/>
          <w:szCs w:val="28"/>
          <w:highlight w:val="none"/>
        </w:rPr>
      </w:pPr>
      <w:r>
        <w:rPr>
          <w:rFonts w:hint="eastAsia" w:ascii="宋体" w:eastAsia="宋体" w:cs="宋体"/>
          <w:color w:val="auto"/>
          <w:sz w:val="28"/>
          <w:szCs w:val="28"/>
          <w:highlight w:val="none"/>
        </w:rPr>
        <w:fldChar w:fldCharType="begin"/>
      </w:r>
      <w:r>
        <w:rPr>
          <w:rFonts w:hint="eastAsia" w:ascii="宋体" w:eastAsia="宋体" w:cs="宋体"/>
          <w:color w:val="auto"/>
          <w:sz w:val="28"/>
          <w:szCs w:val="28"/>
          <w:highlight w:val="none"/>
        </w:rPr>
        <w:instrText xml:space="preserve"> HYPERLINK \l _Toc23204 </w:instrText>
      </w:r>
      <w:r>
        <w:rPr>
          <w:rFonts w:hint="eastAsia" w:ascii="宋体" w:eastAsia="宋体" w:cs="宋体"/>
          <w:color w:val="auto"/>
          <w:sz w:val="28"/>
          <w:szCs w:val="28"/>
          <w:highlight w:val="none"/>
        </w:rPr>
        <w:fldChar w:fldCharType="separate"/>
      </w:r>
      <w:r>
        <w:rPr>
          <w:rFonts w:hint="eastAsia" w:ascii="宋体" w:eastAsia="宋体" w:cs="宋体"/>
          <w:bCs w:val="0"/>
          <w:color w:val="auto"/>
          <w:sz w:val="28"/>
          <w:szCs w:val="28"/>
          <w:highlight w:val="none"/>
        </w:rPr>
        <w:t>第二章  供应商须知</w:t>
      </w:r>
      <w:r>
        <w:rPr>
          <w:rFonts w:hint="eastAsia" w:ascii="宋体" w:eastAsia="宋体" w:cs="宋体"/>
          <w:color w:val="auto"/>
          <w:sz w:val="28"/>
          <w:szCs w:val="28"/>
          <w:highlight w:val="none"/>
        </w:rPr>
        <w:tab/>
      </w:r>
      <w:r>
        <w:rPr>
          <w:rFonts w:hint="eastAsia" w:ascii="宋体" w:eastAsia="宋体" w:cs="宋体"/>
          <w:color w:val="auto"/>
          <w:sz w:val="28"/>
          <w:szCs w:val="28"/>
          <w:highlight w:val="none"/>
        </w:rPr>
        <w:fldChar w:fldCharType="begin"/>
      </w:r>
      <w:r>
        <w:rPr>
          <w:rFonts w:hint="eastAsia" w:ascii="宋体" w:eastAsia="宋体" w:cs="宋体"/>
          <w:color w:val="auto"/>
          <w:sz w:val="28"/>
          <w:szCs w:val="28"/>
          <w:highlight w:val="none"/>
        </w:rPr>
        <w:instrText xml:space="preserve"> PAGEREF _Toc23204 \h </w:instrText>
      </w:r>
      <w:r>
        <w:rPr>
          <w:rFonts w:hint="eastAsia" w:ascii="宋体" w:eastAsia="宋体" w:cs="宋体"/>
          <w:color w:val="auto"/>
          <w:sz w:val="28"/>
          <w:szCs w:val="28"/>
          <w:highlight w:val="none"/>
        </w:rPr>
        <w:fldChar w:fldCharType="separate"/>
      </w:r>
      <w:r>
        <w:rPr>
          <w:rFonts w:hint="eastAsia" w:ascii="宋体" w:eastAsia="宋体" w:cs="宋体"/>
          <w:color w:val="auto"/>
          <w:sz w:val="28"/>
          <w:szCs w:val="28"/>
          <w:highlight w:val="none"/>
        </w:rPr>
        <w:t>5</w:t>
      </w:r>
      <w:r>
        <w:rPr>
          <w:rFonts w:hint="eastAsia" w:ascii="宋体" w:eastAsia="宋体" w:cs="宋体"/>
          <w:color w:val="auto"/>
          <w:sz w:val="28"/>
          <w:szCs w:val="28"/>
          <w:highlight w:val="none"/>
        </w:rPr>
        <w:fldChar w:fldCharType="end"/>
      </w:r>
      <w:r>
        <w:rPr>
          <w:rFonts w:hint="eastAsia" w:ascii="宋体" w:eastAsia="宋体" w:cs="宋体"/>
          <w:color w:val="auto"/>
          <w:sz w:val="28"/>
          <w:szCs w:val="28"/>
          <w:highlight w:val="none"/>
        </w:rPr>
        <w:fldChar w:fldCharType="end"/>
      </w:r>
    </w:p>
    <w:p w14:paraId="02EF9196">
      <w:pPr>
        <w:pStyle w:val="27"/>
        <w:tabs>
          <w:tab w:val="right" w:leader="dot" w:pos="9072"/>
        </w:tabs>
        <w:spacing w:line="360" w:lineRule="auto"/>
        <w:ind w:left="42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_Toc7152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一、总则</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_Toc7152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10</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46845471">
      <w:pPr>
        <w:pStyle w:val="27"/>
        <w:tabs>
          <w:tab w:val="right" w:leader="dot" w:pos="9072"/>
        </w:tabs>
        <w:spacing w:line="360" w:lineRule="auto"/>
        <w:ind w:left="42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_Toc13928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bCs/>
          <w:color w:val="auto"/>
          <w:sz w:val="28"/>
          <w:szCs w:val="28"/>
          <w:highlight w:val="none"/>
        </w:rPr>
        <w:t>二、磋 商 文 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_Toc13928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13</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2C543384">
      <w:pPr>
        <w:pStyle w:val="27"/>
        <w:tabs>
          <w:tab w:val="right" w:leader="dot" w:pos="9072"/>
        </w:tabs>
        <w:spacing w:line="360" w:lineRule="auto"/>
        <w:ind w:left="42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_Toc9529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bCs/>
          <w:color w:val="auto"/>
          <w:sz w:val="28"/>
          <w:szCs w:val="28"/>
          <w:highlight w:val="none"/>
        </w:rPr>
        <w:t>三、响应文件的编写</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_Toc9529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14</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3C5E324D">
      <w:pPr>
        <w:pStyle w:val="27"/>
        <w:tabs>
          <w:tab w:val="right" w:leader="dot" w:pos="9072"/>
        </w:tabs>
        <w:spacing w:line="360" w:lineRule="auto"/>
        <w:ind w:left="42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_Toc10250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bCs/>
          <w:color w:val="auto"/>
          <w:sz w:val="28"/>
          <w:szCs w:val="28"/>
          <w:highlight w:val="none"/>
        </w:rPr>
        <w:t>四、响应文件的递交、修改和撤回</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_Toc10250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18</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1579A2C8">
      <w:pPr>
        <w:pStyle w:val="27"/>
        <w:tabs>
          <w:tab w:val="right" w:leader="dot" w:pos="9072"/>
        </w:tabs>
        <w:spacing w:line="360" w:lineRule="auto"/>
        <w:ind w:left="42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_Toc21502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bCs/>
          <w:color w:val="auto"/>
          <w:sz w:val="28"/>
          <w:szCs w:val="28"/>
          <w:highlight w:val="none"/>
        </w:rPr>
        <w:t>五、磋商、评审、确定成交供应商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_Toc21502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19</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63C7421D">
      <w:pPr>
        <w:pStyle w:val="27"/>
        <w:tabs>
          <w:tab w:val="right" w:leader="dot" w:pos="9072"/>
        </w:tabs>
        <w:spacing w:line="360" w:lineRule="auto"/>
        <w:ind w:left="42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_Toc3164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bCs/>
          <w:color w:val="auto"/>
          <w:sz w:val="28"/>
          <w:szCs w:val="28"/>
          <w:highlight w:val="none"/>
        </w:rPr>
        <w:t>六、授予合同</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_Toc3164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25</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00D9B1E9">
      <w:pPr>
        <w:pStyle w:val="27"/>
        <w:tabs>
          <w:tab w:val="right" w:leader="dot" w:pos="9072"/>
        </w:tabs>
        <w:spacing w:line="360" w:lineRule="auto"/>
        <w:ind w:left="42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_Toc25157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bCs/>
          <w:color w:val="auto"/>
          <w:kern w:val="0"/>
          <w:sz w:val="28"/>
          <w:szCs w:val="28"/>
          <w:highlight w:val="none"/>
        </w:rPr>
        <w:t>七、询问、质疑、投诉</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_Toc25157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26</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4A432DFA">
      <w:pPr>
        <w:pStyle w:val="27"/>
        <w:tabs>
          <w:tab w:val="right" w:leader="dot" w:pos="9072"/>
        </w:tabs>
        <w:spacing w:line="360" w:lineRule="auto"/>
        <w:ind w:left="42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_Toc2157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bCs/>
          <w:color w:val="auto"/>
          <w:kern w:val="0"/>
          <w:sz w:val="28"/>
          <w:szCs w:val="28"/>
          <w:highlight w:val="none"/>
        </w:rPr>
        <w:t>八、义务、工作纪律</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_Toc2157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27</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0A737DBD">
      <w:pPr>
        <w:pStyle w:val="22"/>
        <w:tabs>
          <w:tab w:val="right" w:leader="dot" w:pos="9072"/>
          <w:tab w:val="clear" w:pos="840"/>
          <w:tab w:val="clear" w:pos="8210"/>
        </w:tabs>
        <w:spacing w:line="360" w:lineRule="auto"/>
        <w:rPr>
          <w:rFonts w:hint="eastAsia" w:ascii="宋体" w:eastAsia="宋体" w:cs="宋体"/>
          <w:color w:val="auto"/>
          <w:sz w:val="28"/>
          <w:szCs w:val="28"/>
          <w:highlight w:val="none"/>
        </w:rPr>
      </w:pPr>
      <w:r>
        <w:rPr>
          <w:rFonts w:hint="eastAsia" w:ascii="宋体" w:eastAsia="宋体" w:cs="宋体"/>
          <w:color w:val="auto"/>
          <w:sz w:val="28"/>
          <w:szCs w:val="28"/>
          <w:highlight w:val="none"/>
        </w:rPr>
        <w:fldChar w:fldCharType="begin"/>
      </w:r>
      <w:r>
        <w:rPr>
          <w:rFonts w:hint="eastAsia" w:ascii="宋体" w:eastAsia="宋体" w:cs="宋体"/>
          <w:color w:val="auto"/>
          <w:sz w:val="28"/>
          <w:szCs w:val="28"/>
          <w:highlight w:val="none"/>
        </w:rPr>
        <w:instrText xml:space="preserve"> HYPERLINK \l _Toc28540 </w:instrText>
      </w:r>
      <w:r>
        <w:rPr>
          <w:rFonts w:hint="eastAsia" w:ascii="宋体" w:eastAsia="宋体" w:cs="宋体"/>
          <w:color w:val="auto"/>
          <w:sz w:val="28"/>
          <w:szCs w:val="28"/>
          <w:highlight w:val="none"/>
        </w:rPr>
        <w:fldChar w:fldCharType="separate"/>
      </w:r>
      <w:r>
        <w:rPr>
          <w:rFonts w:hint="eastAsia" w:ascii="宋体" w:eastAsia="宋体" w:cs="宋体"/>
          <w:color w:val="auto"/>
          <w:sz w:val="28"/>
          <w:szCs w:val="28"/>
          <w:highlight w:val="none"/>
        </w:rPr>
        <w:t>第三章  项目采购需求</w:t>
      </w:r>
      <w:r>
        <w:rPr>
          <w:rFonts w:hint="eastAsia" w:ascii="宋体" w:eastAsia="宋体" w:cs="宋体"/>
          <w:color w:val="auto"/>
          <w:sz w:val="28"/>
          <w:szCs w:val="28"/>
          <w:highlight w:val="none"/>
        </w:rPr>
        <w:tab/>
      </w:r>
      <w:r>
        <w:rPr>
          <w:rFonts w:hint="eastAsia" w:ascii="宋体" w:eastAsia="宋体" w:cs="宋体"/>
          <w:color w:val="auto"/>
          <w:sz w:val="28"/>
          <w:szCs w:val="28"/>
          <w:highlight w:val="none"/>
        </w:rPr>
        <w:fldChar w:fldCharType="begin"/>
      </w:r>
      <w:r>
        <w:rPr>
          <w:rFonts w:hint="eastAsia" w:ascii="宋体" w:eastAsia="宋体" w:cs="宋体"/>
          <w:color w:val="auto"/>
          <w:sz w:val="28"/>
          <w:szCs w:val="28"/>
          <w:highlight w:val="none"/>
        </w:rPr>
        <w:instrText xml:space="preserve"> PAGEREF _Toc28540 \h </w:instrText>
      </w:r>
      <w:r>
        <w:rPr>
          <w:rFonts w:hint="eastAsia" w:ascii="宋体" w:eastAsia="宋体" w:cs="宋体"/>
          <w:color w:val="auto"/>
          <w:sz w:val="28"/>
          <w:szCs w:val="28"/>
          <w:highlight w:val="none"/>
        </w:rPr>
        <w:fldChar w:fldCharType="separate"/>
      </w:r>
      <w:r>
        <w:rPr>
          <w:rFonts w:hint="eastAsia" w:ascii="宋体" w:eastAsia="宋体" w:cs="宋体"/>
          <w:color w:val="auto"/>
          <w:sz w:val="28"/>
          <w:szCs w:val="28"/>
          <w:highlight w:val="none"/>
        </w:rPr>
        <w:t>30</w:t>
      </w:r>
      <w:r>
        <w:rPr>
          <w:rFonts w:hint="eastAsia" w:ascii="宋体" w:eastAsia="宋体" w:cs="宋体"/>
          <w:color w:val="auto"/>
          <w:sz w:val="28"/>
          <w:szCs w:val="28"/>
          <w:highlight w:val="none"/>
        </w:rPr>
        <w:fldChar w:fldCharType="end"/>
      </w:r>
      <w:r>
        <w:rPr>
          <w:rFonts w:hint="eastAsia" w:ascii="宋体" w:eastAsia="宋体" w:cs="宋体"/>
          <w:color w:val="auto"/>
          <w:sz w:val="28"/>
          <w:szCs w:val="28"/>
          <w:highlight w:val="none"/>
        </w:rPr>
        <w:fldChar w:fldCharType="end"/>
      </w:r>
    </w:p>
    <w:p w14:paraId="00B4701C">
      <w:pPr>
        <w:pStyle w:val="22"/>
        <w:tabs>
          <w:tab w:val="right" w:leader="dot" w:pos="9072"/>
          <w:tab w:val="clear" w:pos="840"/>
          <w:tab w:val="clear" w:pos="8210"/>
        </w:tabs>
        <w:spacing w:line="360" w:lineRule="auto"/>
        <w:rPr>
          <w:rFonts w:hint="eastAsia" w:ascii="宋体" w:eastAsia="宋体" w:cs="宋体"/>
          <w:color w:val="auto"/>
          <w:sz w:val="28"/>
          <w:szCs w:val="28"/>
          <w:highlight w:val="none"/>
        </w:rPr>
      </w:pPr>
      <w:r>
        <w:rPr>
          <w:rFonts w:hint="eastAsia" w:ascii="宋体" w:eastAsia="宋体" w:cs="宋体"/>
          <w:color w:val="auto"/>
          <w:sz w:val="28"/>
          <w:szCs w:val="28"/>
          <w:highlight w:val="none"/>
        </w:rPr>
        <w:fldChar w:fldCharType="begin"/>
      </w:r>
      <w:r>
        <w:rPr>
          <w:rFonts w:hint="eastAsia" w:ascii="宋体" w:eastAsia="宋体" w:cs="宋体"/>
          <w:color w:val="auto"/>
          <w:sz w:val="28"/>
          <w:szCs w:val="28"/>
          <w:highlight w:val="none"/>
        </w:rPr>
        <w:instrText xml:space="preserve"> HYPERLINK \l _Toc25159 </w:instrText>
      </w:r>
      <w:r>
        <w:rPr>
          <w:rFonts w:hint="eastAsia" w:ascii="宋体" w:eastAsia="宋体" w:cs="宋体"/>
          <w:color w:val="auto"/>
          <w:sz w:val="28"/>
          <w:szCs w:val="28"/>
          <w:highlight w:val="none"/>
        </w:rPr>
        <w:fldChar w:fldCharType="separate"/>
      </w:r>
      <w:r>
        <w:rPr>
          <w:rFonts w:hint="eastAsia" w:ascii="宋体" w:eastAsia="宋体" w:cs="宋体"/>
          <w:color w:val="auto"/>
          <w:sz w:val="28"/>
          <w:szCs w:val="28"/>
          <w:highlight w:val="none"/>
        </w:rPr>
        <w:t>第四章  合同主要条款</w:t>
      </w:r>
      <w:r>
        <w:rPr>
          <w:rFonts w:hint="eastAsia" w:ascii="宋体" w:eastAsia="宋体" w:cs="宋体"/>
          <w:color w:val="auto"/>
          <w:sz w:val="28"/>
          <w:szCs w:val="28"/>
          <w:highlight w:val="none"/>
        </w:rPr>
        <w:tab/>
      </w:r>
      <w:r>
        <w:rPr>
          <w:rFonts w:hint="eastAsia" w:ascii="宋体" w:eastAsia="宋体" w:cs="宋体"/>
          <w:color w:val="auto"/>
          <w:sz w:val="28"/>
          <w:szCs w:val="28"/>
          <w:highlight w:val="none"/>
        </w:rPr>
        <w:fldChar w:fldCharType="begin"/>
      </w:r>
      <w:r>
        <w:rPr>
          <w:rFonts w:hint="eastAsia" w:ascii="宋体" w:eastAsia="宋体" w:cs="宋体"/>
          <w:color w:val="auto"/>
          <w:sz w:val="28"/>
          <w:szCs w:val="28"/>
          <w:highlight w:val="none"/>
        </w:rPr>
        <w:instrText xml:space="preserve"> PAGEREF _Toc25159 \h </w:instrText>
      </w:r>
      <w:r>
        <w:rPr>
          <w:rFonts w:hint="eastAsia" w:ascii="宋体" w:eastAsia="宋体" w:cs="宋体"/>
          <w:color w:val="auto"/>
          <w:sz w:val="28"/>
          <w:szCs w:val="28"/>
          <w:highlight w:val="none"/>
        </w:rPr>
        <w:fldChar w:fldCharType="separate"/>
      </w:r>
      <w:r>
        <w:rPr>
          <w:rFonts w:hint="eastAsia" w:ascii="宋体" w:eastAsia="宋体" w:cs="宋体"/>
          <w:color w:val="auto"/>
          <w:sz w:val="28"/>
          <w:szCs w:val="28"/>
          <w:highlight w:val="none"/>
        </w:rPr>
        <w:t>35</w:t>
      </w:r>
      <w:r>
        <w:rPr>
          <w:rFonts w:hint="eastAsia" w:ascii="宋体" w:eastAsia="宋体" w:cs="宋体"/>
          <w:color w:val="auto"/>
          <w:sz w:val="28"/>
          <w:szCs w:val="28"/>
          <w:highlight w:val="none"/>
        </w:rPr>
        <w:fldChar w:fldCharType="end"/>
      </w:r>
      <w:r>
        <w:rPr>
          <w:rFonts w:hint="eastAsia" w:ascii="宋体" w:eastAsia="宋体" w:cs="宋体"/>
          <w:color w:val="auto"/>
          <w:sz w:val="28"/>
          <w:szCs w:val="28"/>
          <w:highlight w:val="none"/>
        </w:rPr>
        <w:fldChar w:fldCharType="end"/>
      </w:r>
    </w:p>
    <w:p w14:paraId="72C46803">
      <w:pPr>
        <w:pStyle w:val="22"/>
        <w:tabs>
          <w:tab w:val="right" w:leader="dot" w:pos="9072"/>
          <w:tab w:val="clear" w:pos="840"/>
          <w:tab w:val="clear" w:pos="8210"/>
        </w:tabs>
        <w:spacing w:line="360" w:lineRule="auto"/>
        <w:rPr>
          <w:rFonts w:hint="eastAsia" w:ascii="宋体" w:eastAsia="宋体" w:cs="宋体"/>
          <w:color w:val="auto"/>
          <w:sz w:val="28"/>
          <w:szCs w:val="28"/>
          <w:highlight w:val="none"/>
        </w:rPr>
      </w:pPr>
      <w:r>
        <w:rPr>
          <w:rFonts w:hint="eastAsia" w:ascii="宋体" w:eastAsia="宋体" w:cs="宋体"/>
          <w:color w:val="auto"/>
          <w:sz w:val="28"/>
          <w:szCs w:val="28"/>
          <w:highlight w:val="none"/>
        </w:rPr>
        <w:fldChar w:fldCharType="begin"/>
      </w:r>
      <w:r>
        <w:rPr>
          <w:rFonts w:hint="eastAsia" w:ascii="宋体" w:eastAsia="宋体" w:cs="宋体"/>
          <w:color w:val="auto"/>
          <w:sz w:val="28"/>
          <w:szCs w:val="28"/>
          <w:highlight w:val="none"/>
        </w:rPr>
        <w:instrText xml:space="preserve"> HYPERLINK \l _Toc12889 </w:instrText>
      </w:r>
      <w:r>
        <w:rPr>
          <w:rFonts w:hint="eastAsia" w:ascii="宋体" w:eastAsia="宋体" w:cs="宋体"/>
          <w:color w:val="auto"/>
          <w:sz w:val="28"/>
          <w:szCs w:val="28"/>
          <w:highlight w:val="none"/>
        </w:rPr>
        <w:fldChar w:fldCharType="separate"/>
      </w:r>
      <w:r>
        <w:rPr>
          <w:rFonts w:hint="eastAsia" w:ascii="宋体" w:eastAsia="宋体" w:cs="宋体"/>
          <w:color w:val="auto"/>
          <w:sz w:val="28"/>
          <w:szCs w:val="28"/>
          <w:highlight w:val="none"/>
        </w:rPr>
        <w:t>第五章  响应文件格式</w:t>
      </w:r>
      <w:r>
        <w:rPr>
          <w:rFonts w:hint="eastAsia" w:ascii="宋体" w:eastAsia="宋体" w:cs="宋体"/>
          <w:color w:val="auto"/>
          <w:sz w:val="28"/>
          <w:szCs w:val="28"/>
          <w:highlight w:val="none"/>
        </w:rPr>
        <w:tab/>
      </w:r>
      <w:r>
        <w:rPr>
          <w:rFonts w:hint="eastAsia" w:ascii="宋体" w:eastAsia="宋体" w:cs="宋体"/>
          <w:color w:val="auto"/>
          <w:sz w:val="28"/>
          <w:szCs w:val="28"/>
          <w:highlight w:val="none"/>
        </w:rPr>
        <w:fldChar w:fldCharType="begin"/>
      </w:r>
      <w:r>
        <w:rPr>
          <w:rFonts w:hint="eastAsia" w:ascii="宋体" w:eastAsia="宋体" w:cs="宋体"/>
          <w:color w:val="auto"/>
          <w:sz w:val="28"/>
          <w:szCs w:val="28"/>
          <w:highlight w:val="none"/>
        </w:rPr>
        <w:instrText xml:space="preserve"> PAGEREF _Toc12889 \h </w:instrText>
      </w:r>
      <w:r>
        <w:rPr>
          <w:rFonts w:hint="eastAsia" w:ascii="宋体" w:eastAsia="宋体" w:cs="宋体"/>
          <w:color w:val="auto"/>
          <w:sz w:val="28"/>
          <w:szCs w:val="28"/>
          <w:highlight w:val="none"/>
        </w:rPr>
        <w:fldChar w:fldCharType="separate"/>
      </w:r>
      <w:r>
        <w:rPr>
          <w:rFonts w:hint="eastAsia" w:ascii="宋体" w:eastAsia="宋体" w:cs="宋体"/>
          <w:color w:val="auto"/>
          <w:sz w:val="28"/>
          <w:szCs w:val="28"/>
          <w:highlight w:val="none"/>
        </w:rPr>
        <w:t>35</w:t>
      </w:r>
      <w:r>
        <w:rPr>
          <w:rFonts w:hint="eastAsia" w:ascii="宋体" w:eastAsia="宋体" w:cs="宋体"/>
          <w:color w:val="auto"/>
          <w:sz w:val="28"/>
          <w:szCs w:val="28"/>
          <w:highlight w:val="none"/>
        </w:rPr>
        <w:fldChar w:fldCharType="end"/>
      </w:r>
      <w:r>
        <w:rPr>
          <w:rFonts w:hint="eastAsia" w:ascii="宋体" w:eastAsia="宋体" w:cs="宋体"/>
          <w:color w:val="auto"/>
          <w:sz w:val="28"/>
          <w:szCs w:val="28"/>
          <w:highlight w:val="none"/>
        </w:rPr>
        <w:fldChar w:fldCharType="end"/>
      </w:r>
    </w:p>
    <w:p w14:paraId="6DBAC476">
      <w:pPr>
        <w:pStyle w:val="22"/>
        <w:tabs>
          <w:tab w:val="right" w:leader="dot" w:pos="9072"/>
          <w:tab w:val="clear" w:pos="840"/>
          <w:tab w:val="clear" w:pos="8210"/>
        </w:tabs>
        <w:spacing w:line="360" w:lineRule="auto"/>
        <w:rPr>
          <w:rFonts w:hint="eastAsia" w:ascii="宋体" w:eastAsia="宋体" w:cs="宋体"/>
          <w:color w:val="auto"/>
          <w:sz w:val="28"/>
          <w:szCs w:val="28"/>
          <w:highlight w:val="none"/>
        </w:rPr>
      </w:pPr>
      <w:r>
        <w:rPr>
          <w:rFonts w:hint="eastAsia" w:ascii="宋体" w:eastAsia="宋体" w:cs="宋体"/>
          <w:color w:val="auto"/>
          <w:sz w:val="28"/>
          <w:szCs w:val="28"/>
          <w:highlight w:val="none"/>
        </w:rPr>
        <w:fldChar w:fldCharType="begin"/>
      </w:r>
      <w:r>
        <w:rPr>
          <w:rFonts w:hint="eastAsia" w:ascii="宋体" w:eastAsia="宋体" w:cs="宋体"/>
          <w:color w:val="auto"/>
          <w:sz w:val="28"/>
          <w:szCs w:val="28"/>
          <w:highlight w:val="none"/>
        </w:rPr>
        <w:instrText xml:space="preserve"> HYPERLINK \l _Toc31889 </w:instrText>
      </w:r>
      <w:r>
        <w:rPr>
          <w:rFonts w:hint="eastAsia" w:ascii="宋体" w:eastAsia="宋体" w:cs="宋体"/>
          <w:color w:val="auto"/>
          <w:sz w:val="28"/>
          <w:szCs w:val="28"/>
          <w:highlight w:val="none"/>
        </w:rPr>
        <w:fldChar w:fldCharType="separate"/>
      </w:r>
      <w:r>
        <w:rPr>
          <w:rFonts w:hint="eastAsia" w:ascii="宋体" w:eastAsia="宋体" w:cs="宋体"/>
          <w:color w:val="auto"/>
          <w:sz w:val="28"/>
          <w:szCs w:val="28"/>
          <w:highlight w:val="none"/>
        </w:rPr>
        <w:t>第六章  评审标准（综合评分法）</w:t>
      </w:r>
      <w:r>
        <w:rPr>
          <w:rFonts w:hint="eastAsia" w:ascii="宋体" w:eastAsia="宋体" w:cs="宋体"/>
          <w:color w:val="auto"/>
          <w:sz w:val="28"/>
          <w:szCs w:val="28"/>
          <w:highlight w:val="none"/>
        </w:rPr>
        <w:tab/>
      </w:r>
      <w:r>
        <w:rPr>
          <w:rFonts w:hint="eastAsia" w:ascii="宋体" w:eastAsia="宋体" w:cs="宋体"/>
          <w:color w:val="auto"/>
          <w:sz w:val="28"/>
          <w:szCs w:val="28"/>
          <w:highlight w:val="none"/>
        </w:rPr>
        <w:fldChar w:fldCharType="begin"/>
      </w:r>
      <w:r>
        <w:rPr>
          <w:rFonts w:hint="eastAsia" w:ascii="宋体" w:eastAsia="宋体" w:cs="宋体"/>
          <w:color w:val="auto"/>
          <w:sz w:val="28"/>
          <w:szCs w:val="28"/>
          <w:highlight w:val="none"/>
        </w:rPr>
        <w:instrText xml:space="preserve"> PAGEREF _Toc31889 \h </w:instrText>
      </w:r>
      <w:r>
        <w:rPr>
          <w:rFonts w:hint="eastAsia" w:ascii="宋体" w:eastAsia="宋体" w:cs="宋体"/>
          <w:color w:val="auto"/>
          <w:sz w:val="28"/>
          <w:szCs w:val="28"/>
          <w:highlight w:val="none"/>
        </w:rPr>
        <w:fldChar w:fldCharType="separate"/>
      </w:r>
      <w:r>
        <w:rPr>
          <w:rFonts w:hint="eastAsia" w:ascii="宋体" w:eastAsia="宋体" w:cs="宋体"/>
          <w:color w:val="auto"/>
          <w:sz w:val="28"/>
          <w:szCs w:val="28"/>
          <w:highlight w:val="none"/>
        </w:rPr>
        <w:t>62</w:t>
      </w:r>
      <w:r>
        <w:rPr>
          <w:rFonts w:hint="eastAsia" w:ascii="宋体" w:eastAsia="宋体" w:cs="宋体"/>
          <w:color w:val="auto"/>
          <w:sz w:val="28"/>
          <w:szCs w:val="28"/>
          <w:highlight w:val="none"/>
        </w:rPr>
        <w:fldChar w:fldCharType="end"/>
      </w:r>
      <w:r>
        <w:rPr>
          <w:rFonts w:hint="eastAsia" w:ascii="宋体" w:eastAsia="宋体" w:cs="宋体"/>
          <w:color w:val="auto"/>
          <w:sz w:val="28"/>
          <w:szCs w:val="28"/>
          <w:highlight w:val="none"/>
        </w:rPr>
        <w:fldChar w:fldCharType="end"/>
      </w:r>
    </w:p>
    <w:p w14:paraId="1B10EC02">
      <w:pPr>
        <w:pStyle w:val="27"/>
        <w:tabs>
          <w:tab w:val="right" w:leader="dot" w:pos="9072"/>
        </w:tabs>
        <w:spacing w:line="360" w:lineRule="auto"/>
        <w:ind w:left="42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_Toc18956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bCs/>
          <w:color w:val="auto"/>
          <w:sz w:val="28"/>
          <w:szCs w:val="28"/>
          <w:highlight w:val="none"/>
        </w:rPr>
        <w:t>一、评标方法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_Toc18956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62</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51A708A5">
      <w:pPr>
        <w:pStyle w:val="27"/>
        <w:tabs>
          <w:tab w:val="right" w:leader="dot" w:pos="9072"/>
        </w:tabs>
        <w:spacing w:line="360" w:lineRule="auto"/>
        <w:ind w:left="42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_Toc9643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bCs/>
          <w:color w:val="auto"/>
          <w:sz w:val="28"/>
          <w:szCs w:val="28"/>
          <w:highlight w:val="none"/>
        </w:rPr>
        <w:t>二、信用查询</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_Toc9643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62</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06683BDC">
      <w:pPr>
        <w:pStyle w:val="27"/>
        <w:tabs>
          <w:tab w:val="right" w:leader="dot" w:pos="9072"/>
        </w:tabs>
        <w:spacing w:line="360" w:lineRule="auto"/>
        <w:ind w:left="42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_Toc8396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bCs/>
          <w:color w:val="auto"/>
          <w:sz w:val="28"/>
          <w:szCs w:val="28"/>
          <w:highlight w:val="none"/>
        </w:rPr>
        <w:t>三、初步评审</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_Toc8396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62</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309C2DCA">
      <w:pPr>
        <w:pStyle w:val="27"/>
        <w:tabs>
          <w:tab w:val="right" w:leader="dot" w:pos="9072"/>
        </w:tabs>
        <w:spacing w:line="360" w:lineRule="auto"/>
        <w:ind w:left="420"/>
        <w:rPr>
          <w:rFonts w:hint="eastAsia" w:ascii="宋体" w:hAnsi="宋体" w:eastAsia="宋体" w:cs="宋体"/>
          <w:bCs/>
          <w:color w:val="auto"/>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_Toc14047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bCs/>
          <w:color w:val="auto"/>
          <w:sz w:val="28"/>
          <w:szCs w:val="28"/>
          <w:highlight w:val="none"/>
        </w:rPr>
        <w:t>四、详细评审</w:t>
      </w:r>
      <w:r>
        <w:rPr>
          <w:rFonts w:hint="eastAsia" w:ascii="宋体" w:hAnsi="宋体" w:eastAsia="宋体" w:cs="宋体"/>
          <w:bCs/>
          <w:color w:val="auto"/>
          <w:sz w:val="28"/>
          <w:szCs w:val="28"/>
          <w:highlight w:val="none"/>
        </w:rPr>
        <w:tab/>
      </w: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PAGEREF _Toc14047 \h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bCs/>
          <w:color w:val="auto"/>
          <w:sz w:val="28"/>
          <w:szCs w:val="28"/>
          <w:highlight w:val="none"/>
        </w:rPr>
        <w:t>63</w:t>
      </w:r>
      <w:r>
        <w:rPr>
          <w:rFonts w:hint="eastAsia" w:ascii="宋体" w:hAnsi="宋体" w:eastAsia="宋体" w:cs="宋体"/>
          <w:bCs/>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3457579B">
      <w:pPr>
        <w:pStyle w:val="16"/>
        <w:tabs>
          <w:tab w:val="center" w:pos="4596"/>
          <w:tab w:val="left" w:pos="8310"/>
          <w:tab w:val="right" w:leader="dot" w:pos="9895"/>
        </w:tabs>
        <w:spacing w:line="360" w:lineRule="auto"/>
        <w:jc w:val="center"/>
        <w:rPr>
          <w:rFonts w:hint="eastAsia" w:hAnsi="宋体" w:cs="宋体"/>
          <w:b/>
          <w:bCs/>
          <w:color w:val="auto"/>
          <w:sz w:val="28"/>
          <w:szCs w:val="28"/>
          <w:highlight w:val="none"/>
        </w:rPr>
      </w:pPr>
      <w:r>
        <w:rPr>
          <w:rFonts w:hint="eastAsia" w:hAnsi="宋体" w:cs="宋体"/>
          <w:b/>
          <w:bCs/>
          <w:color w:val="auto"/>
          <w:sz w:val="28"/>
          <w:szCs w:val="28"/>
          <w:highlight w:val="none"/>
        </w:rPr>
        <w:fldChar w:fldCharType="end"/>
      </w:r>
      <w:bookmarkStart w:id="20" w:name="_Toc7431"/>
      <w:bookmarkStart w:id="21" w:name="_Toc17483"/>
      <w:r>
        <w:rPr>
          <w:rFonts w:hint="eastAsia" w:hAnsi="宋体" w:cs="宋体"/>
          <w:b/>
          <w:bCs/>
          <w:color w:val="auto"/>
          <w:sz w:val="28"/>
          <w:szCs w:val="28"/>
          <w:highlight w:val="none"/>
        </w:rPr>
        <w:tab/>
      </w:r>
      <w:r>
        <w:rPr>
          <w:rFonts w:hint="eastAsia" w:hAnsi="宋体" w:cs="宋体"/>
          <w:b/>
          <w:bCs/>
          <w:color w:val="auto"/>
          <w:sz w:val="28"/>
          <w:szCs w:val="28"/>
          <w:highlight w:val="none"/>
        </w:rPr>
        <w:tab/>
      </w:r>
    </w:p>
    <w:p w14:paraId="6AC37073">
      <w:pPr>
        <w:pStyle w:val="110"/>
        <w:tabs>
          <w:tab w:val="right" w:leader="dot" w:pos="9895"/>
        </w:tabs>
        <w:spacing w:line="480" w:lineRule="auto"/>
        <w:jc w:val="center"/>
        <w:rPr>
          <w:rFonts w:hint="eastAsia" w:ascii="宋体" w:hAnsi="宋体" w:cs="宋体"/>
          <w:b/>
          <w:bCs/>
          <w:color w:val="auto"/>
          <w:sz w:val="28"/>
          <w:szCs w:val="28"/>
          <w:highlight w:val="none"/>
        </w:rPr>
      </w:pPr>
    </w:p>
    <w:p w14:paraId="19ADCD06">
      <w:pPr>
        <w:pStyle w:val="110"/>
        <w:tabs>
          <w:tab w:val="right" w:leader="dot" w:pos="9895"/>
        </w:tabs>
        <w:spacing w:line="480" w:lineRule="auto"/>
        <w:jc w:val="center"/>
        <w:rPr>
          <w:rFonts w:hint="eastAsia" w:ascii="宋体" w:hAnsi="宋体" w:cs="宋体"/>
          <w:b/>
          <w:bCs/>
          <w:color w:val="auto"/>
          <w:sz w:val="28"/>
          <w:szCs w:val="28"/>
          <w:highlight w:val="none"/>
        </w:rPr>
      </w:pPr>
    </w:p>
    <w:p w14:paraId="5588148F">
      <w:pPr>
        <w:pStyle w:val="110"/>
        <w:tabs>
          <w:tab w:val="right" w:leader="dot" w:pos="9895"/>
        </w:tabs>
        <w:spacing w:line="480" w:lineRule="auto"/>
        <w:jc w:val="center"/>
        <w:rPr>
          <w:rFonts w:hint="eastAsia" w:ascii="宋体" w:hAnsi="宋体" w:cs="宋体"/>
          <w:b/>
          <w:bCs/>
          <w:color w:val="auto"/>
          <w:sz w:val="28"/>
          <w:szCs w:val="28"/>
          <w:highlight w:val="none"/>
        </w:rPr>
      </w:pPr>
    </w:p>
    <w:p w14:paraId="2DD4200B">
      <w:pPr>
        <w:pStyle w:val="110"/>
        <w:tabs>
          <w:tab w:val="right" w:leader="dot" w:pos="9895"/>
        </w:tabs>
        <w:spacing w:line="480" w:lineRule="auto"/>
        <w:jc w:val="center"/>
        <w:rPr>
          <w:rFonts w:hint="eastAsia" w:ascii="宋体" w:hAnsi="宋体" w:cs="宋体"/>
          <w:b/>
          <w:bCs/>
          <w:color w:val="auto"/>
          <w:sz w:val="28"/>
          <w:szCs w:val="28"/>
          <w:highlight w:val="none"/>
        </w:rPr>
      </w:pPr>
    </w:p>
    <w:p w14:paraId="4A2329F0">
      <w:pPr>
        <w:pStyle w:val="110"/>
        <w:tabs>
          <w:tab w:val="right" w:leader="dot" w:pos="9895"/>
        </w:tabs>
        <w:spacing w:line="480" w:lineRule="auto"/>
        <w:jc w:val="center"/>
        <w:rPr>
          <w:rFonts w:hint="eastAsia" w:ascii="宋体" w:hAnsi="宋体" w:cs="宋体"/>
          <w:b/>
          <w:color w:val="auto"/>
          <w:kern w:val="2"/>
          <w:sz w:val="30"/>
          <w:szCs w:val="30"/>
          <w:highlight w:val="none"/>
        </w:rPr>
        <w:sectPr>
          <w:headerReference r:id="rId3" w:type="default"/>
          <w:footerReference r:id="rId4" w:type="default"/>
          <w:pgSz w:w="11906" w:h="16838"/>
          <w:pgMar w:top="1417" w:right="1417" w:bottom="1417" w:left="1417" w:header="680" w:footer="680" w:gutter="0"/>
          <w:pgNumType w:fmt="numberInDash" w:start="1"/>
          <w:cols w:space="720" w:num="1"/>
          <w:docGrid w:linePitch="312" w:charSpace="0"/>
        </w:sectPr>
      </w:pPr>
      <w:bookmarkStart w:id="22" w:name="_Toc23467"/>
    </w:p>
    <w:p w14:paraId="134669C7">
      <w:pPr>
        <w:pStyle w:val="110"/>
        <w:tabs>
          <w:tab w:val="right" w:leader="dot" w:pos="9895"/>
        </w:tabs>
        <w:spacing w:line="480" w:lineRule="auto"/>
        <w:jc w:val="center"/>
        <w:outlineLvl w:val="0"/>
        <w:rPr>
          <w:rFonts w:hint="eastAsia" w:ascii="宋体" w:hAnsi="宋体" w:cs="宋体"/>
          <w:b/>
          <w:color w:val="auto"/>
          <w:kern w:val="2"/>
          <w:sz w:val="32"/>
          <w:szCs w:val="32"/>
          <w:highlight w:val="none"/>
        </w:rPr>
      </w:pPr>
      <w:bookmarkStart w:id="23" w:name="_Toc26375"/>
      <w:bookmarkStart w:id="24" w:name="_Toc2826"/>
      <w:bookmarkStart w:id="25" w:name="_Toc21325"/>
      <w:r>
        <w:rPr>
          <w:rFonts w:hint="eastAsia" w:ascii="宋体" w:hAnsi="宋体" w:cs="宋体"/>
          <w:b/>
          <w:color w:val="auto"/>
          <w:kern w:val="2"/>
          <w:sz w:val="32"/>
          <w:szCs w:val="32"/>
          <w:highlight w:val="none"/>
        </w:rPr>
        <w:t xml:space="preserve">第一章  </w:t>
      </w:r>
      <w:bookmarkEnd w:id="19"/>
      <w:bookmarkEnd w:id="20"/>
      <w:bookmarkEnd w:id="21"/>
      <w:r>
        <w:rPr>
          <w:rFonts w:hint="eastAsia" w:ascii="宋体" w:hAnsi="宋体" w:cs="宋体"/>
          <w:b/>
          <w:color w:val="auto"/>
          <w:kern w:val="2"/>
          <w:sz w:val="32"/>
          <w:szCs w:val="32"/>
          <w:highlight w:val="none"/>
        </w:rPr>
        <w:t>竞争性磋商采购公告</w:t>
      </w:r>
      <w:bookmarkEnd w:id="22"/>
      <w:bookmarkEnd w:id="23"/>
      <w:bookmarkEnd w:id="24"/>
      <w:bookmarkEnd w:id="25"/>
    </w:p>
    <w:tbl>
      <w:tblPr>
        <w:tblStyle w:val="36"/>
        <w:tblW w:w="0" w:type="auto"/>
        <w:tblInd w:w="0" w:type="dxa"/>
        <w:tblLayout w:type="autofit"/>
        <w:tblCellMar>
          <w:top w:w="15" w:type="dxa"/>
          <w:left w:w="15" w:type="dxa"/>
          <w:bottom w:w="15" w:type="dxa"/>
          <w:right w:w="15" w:type="dxa"/>
        </w:tblCellMar>
      </w:tblPr>
      <w:tblGrid>
        <w:gridCol w:w="9282"/>
      </w:tblGrid>
      <w:tr w14:paraId="5F34059E">
        <w:trPr>
          <w:trHeight w:val="1320" w:hRule="atLeast"/>
        </w:trPr>
        <w:tc>
          <w:tcPr>
            <w:tcW w:w="940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6E87AE80">
            <w:pPr>
              <w:pStyle w:val="31"/>
              <w:spacing w:before="0" w:beforeAutospacing="0" w:after="0" w:afterAutospacing="0" w:line="360" w:lineRule="auto"/>
              <w:rPr>
                <w:rStyle w:val="40"/>
                <w:rFonts w:hint="eastAsia"/>
                <w:color w:val="auto"/>
                <w:highlight w:val="none"/>
              </w:rPr>
            </w:pPr>
            <w:bookmarkStart w:id="26" w:name="_Toc3639"/>
            <w:bookmarkStart w:id="27" w:name="_Toc17602"/>
            <w:bookmarkStart w:id="28" w:name="_Toc21239"/>
            <w:bookmarkStart w:id="29" w:name="_Toc31491"/>
            <w:bookmarkStart w:id="30" w:name="_Toc8122"/>
            <w:r>
              <w:rPr>
                <w:rStyle w:val="40"/>
                <w:rFonts w:hint="eastAsia"/>
                <w:color w:val="auto"/>
                <w:highlight w:val="none"/>
              </w:rPr>
              <w:t xml:space="preserve">项目概况 </w:t>
            </w:r>
          </w:p>
          <w:p w14:paraId="556EE1B1">
            <w:pPr>
              <w:pStyle w:val="31"/>
              <w:spacing w:before="0" w:beforeAutospacing="0" w:line="360" w:lineRule="auto"/>
              <w:ind w:firstLine="482" w:firstLineChars="200"/>
              <w:rPr>
                <w:rFonts w:hint="eastAsia"/>
                <w:color w:val="auto"/>
                <w:highlight w:val="none"/>
              </w:rPr>
            </w:pPr>
            <w:r>
              <w:rPr>
                <w:rFonts w:hint="eastAsia" w:ascii="宋体" w:hAnsi="宋体" w:eastAsia="宋体" w:cs="宋体"/>
                <w:b/>
                <w:bCs/>
                <w:color w:val="auto"/>
                <w:sz w:val="24"/>
                <w:szCs w:val="24"/>
                <w:highlight w:val="none"/>
                <w:u w:val="single"/>
                <w:lang w:val="en-US" w:eastAsia="zh-CN"/>
              </w:rPr>
              <w:t>克拉玛依市独山子区农业和水务局2025年度独山子区兽医社会化服务采购项目</w:t>
            </w:r>
            <w:r>
              <w:rPr>
                <w:rFonts w:hint="eastAsia"/>
                <w:b/>
                <w:bCs/>
                <w:color w:val="auto"/>
                <w:highlight w:val="none"/>
              </w:rPr>
              <w:t>的潜在供应商应在政采云平台线上获取采购文件，并于</w:t>
            </w:r>
            <w:r>
              <w:rPr>
                <w:rFonts w:hint="eastAsia"/>
                <w:b/>
                <w:bCs/>
                <w:color w:val="auto"/>
                <w:highlight w:val="none"/>
                <w:u w:val="single"/>
              </w:rPr>
              <w:t>2025年</w:t>
            </w:r>
            <w:r>
              <w:rPr>
                <w:rFonts w:hint="eastAsia"/>
                <w:b/>
                <w:bCs/>
                <w:color w:val="auto"/>
                <w:highlight w:val="none"/>
                <w:u w:val="single"/>
                <w:lang w:val="en-US" w:eastAsia="zh-CN"/>
              </w:rPr>
              <w:t>07</w:t>
            </w:r>
            <w:r>
              <w:rPr>
                <w:rFonts w:hint="eastAsia"/>
                <w:b/>
                <w:bCs/>
                <w:color w:val="auto"/>
                <w:highlight w:val="none"/>
                <w:u w:val="single"/>
              </w:rPr>
              <w:t>月</w:t>
            </w:r>
            <w:r>
              <w:rPr>
                <w:rFonts w:hint="eastAsia"/>
                <w:b/>
                <w:bCs/>
                <w:color w:val="auto"/>
                <w:highlight w:val="none"/>
                <w:u w:val="single"/>
                <w:lang w:val="en-US" w:eastAsia="zh-CN"/>
              </w:rPr>
              <w:t>21</w:t>
            </w:r>
            <w:r>
              <w:rPr>
                <w:rFonts w:hint="eastAsia"/>
                <w:b/>
                <w:bCs/>
                <w:color w:val="auto"/>
                <w:highlight w:val="none"/>
                <w:u w:val="single"/>
              </w:rPr>
              <w:t xml:space="preserve">日 </w:t>
            </w:r>
            <w:r>
              <w:rPr>
                <w:rFonts w:hint="eastAsia"/>
                <w:b/>
                <w:bCs/>
                <w:color w:val="auto"/>
                <w:highlight w:val="none"/>
                <w:u w:val="single"/>
                <w:lang w:val="en-US" w:eastAsia="zh-CN"/>
              </w:rPr>
              <w:t>16:30</w:t>
            </w:r>
            <w:r>
              <w:rPr>
                <w:rFonts w:hint="eastAsia"/>
                <w:b/>
                <w:bCs/>
                <w:color w:val="auto"/>
                <w:highlight w:val="none"/>
              </w:rPr>
              <w:t>（北京时间）前提交响应文件。</w:t>
            </w:r>
          </w:p>
        </w:tc>
      </w:tr>
    </w:tbl>
    <w:p w14:paraId="496D9D9D">
      <w:pPr>
        <w:pStyle w:val="31"/>
        <w:spacing w:before="93" w:beforeLines="39" w:beforeAutospacing="0" w:after="74" w:afterLines="31" w:afterAutospacing="0" w:line="360" w:lineRule="auto"/>
        <w:outlineLvl w:val="1"/>
        <w:rPr>
          <w:rStyle w:val="40"/>
          <w:rFonts w:hint="eastAsia"/>
          <w:color w:val="auto"/>
          <w:highlight w:val="none"/>
        </w:rPr>
      </w:pPr>
      <w:bookmarkStart w:id="31" w:name="_Toc4905"/>
      <w:bookmarkStart w:id="32" w:name="_Toc21568"/>
      <w:bookmarkStart w:id="33" w:name="_Toc30085"/>
      <w:bookmarkStart w:id="34" w:name="_Toc27567"/>
      <w:r>
        <w:rPr>
          <w:rStyle w:val="40"/>
          <w:rFonts w:hint="eastAsia"/>
          <w:color w:val="auto"/>
          <w:highlight w:val="none"/>
        </w:rPr>
        <w:t>一、项目基本情况</w:t>
      </w:r>
      <w:bookmarkEnd w:id="31"/>
      <w:bookmarkEnd w:id="32"/>
      <w:bookmarkEnd w:id="33"/>
      <w:bookmarkEnd w:id="34"/>
    </w:p>
    <w:p w14:paraId="289AE7BE">
      <w:pPr>
        <w:pStyle w:val="31"/>
        <w:spacing w:before="93" w:beforeLines="39" w:beforeAutospacing="0" w:after="74" w:afterLines="31" w:afterAutospacing="0" w:line="360" w:lineRule="auto"/>
        <w:ind w:firstLine="480" w:firstLineChars="200"/>
        <w:outlineLvl w:val="2"/>
        <w:rPr>
          <w:rStyle w:val="40"/>
          <w:rFonts w:hint="eastAsia" w:eastAsia="宋体"/>
          <w:b w:val="0"/>
          <w:bCs/>
          <w:color w:val="auto"/>
          <w:highlight w:val="none"/>
          <w:lang w:eastAsia="zh-CN"/>
        </w:rPr>
      </w:pPr>
      <w:bookmarkStart w:id="35" w:name="_Toc27553"/>
      <w:bookmarkStart w:id="36" w:name="_Toc18690"/>
      <w:bookmarkStart w:id="37" w:name="_Toc27344"/>
      <w:r>
        <w:rPr>
          <w:rStyle w:val="40"/>
          <w:rFonts w:hint="eastAsia"/>
          <w:b w:val="0"/>
          <w:bCs/>
          <w:color w:val="auto"/>
          <w:highlight w:val="none"/>
        </w:rPr>
        <w:t>项目编号：</w:t>
      </w:r>
      <w:bookmarkEnd w:id="35"/>
      <w:bookmarkEnd w:id="36"/>
      <w:bookmarkEnd w:id="37"/>
      <w:r>
        <w:rPr>
          <w:rStyle w:val="40"/>
          <w:rFonts w:hint="eastAsia"/>
          <w:b w:val="0"/>
          <w:bCs/>
          <w:color w:val="auto"/>
          <w:highlight w:val="none"/>
          <w:lang w:eastAsia="zh-CN"/>
        </w:rPr>
        <w:t>XJYYZB-(DSNYSWJ)2025113</w:t>
      </w:r>
    </w:p>
    <w:p w14:paraId="7CF5408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4"/>
          <w:szCs w:val="24"/>
          <w:highlight w:val="none"/>
          <w:u w:val="none"/>
          <w:lang w:eastAsia="zh-CN"/>
        </w:rPr>
      </w:pPr>
      <w:bookmarkStart w:id="38" w:name="_Toc7963"/>
      <w:bookmarkStart w:id="39" w:name="_Toc14927"/>
      <w:bookmarkStart w:id="40" w:name="_Toc12145"/>
      <w:bookmarkStart w:id="41" w:name="_Toc26054"/>
      <w:r>
        <w:rPr>
          <w:rStyle w:val="40"/>
          <w:rFonts w:hint="eastAsia"/>
          <w:b w:val="0"/>
          <w:bCs/>
          <w:color w:val="auto"/>
          <w:highlight w:val="none"/>
        </w:rPr>
        <w:t>项目名称：</w:t>
      </w:r>
      <w:bookmarkEnd w:id="38"/>
      <w:bookmarkEnd w:id="39"/>
      <w:bookmarkEnd w:id="40"/>
      <w:bookmarkEnd w:id="41"/>
      <w:bookmarkStart w:id="42" w:name="_Toc31264"/>
      <w:bookmarkStart w:id="43" w:name="_Toc6589"/>
      <w:bookmarkStart w:id="44" w:name="_Toc31815"/>
      <w:bookmarkStart w:id="45" w:name="_Toc19946"/>
      <w:r>
        <w:rPr>
          <w:rFonts w:hint="eastAsia" w:ascii="宋体" w:hAnsi="宋体" w:eastAsia="宋体" w:cs="宋体"/>
          <w:color w:val="auto"/>
          <w:sz w:val="24"/>
          <w:szCs w:val="24"/>
          <w:highlight w:val="none"/>
          <w:u w:val="none"/>
          <w:lang w:val="en-US" w:eastAsia="zh-CN"/>
        </w:rPr>
        <w:t>克拉玛依市独山子区农业和水务局2025年度独山子区兽医社会化服务采购项目</w:t>
      </w:r>
    </w:p>
    <w:p w14:paraId="74855352">
      <w:pPr>
        <w:pStyle w:val="31"/>
        <w:spacing w:before="93" w:beforeLines="39" w:beforeAutospacing="0" w:after="74" w:afterLines="31" w:afterAutospacing="0" w:line="360" w:lineRule="auto"/>
        <w:ind w:firstLine="480" w:firstLineChars="200"/>
        <w:outlineLvl w:val="1"/>
        <w:rPr>
          <w:rStyle w:val="40"/>
          <w:rFonts w:hint="eastAsia"/>
          <w:b w:val="0"/>
          <w:bCs/>
          <w:color w:val="auto"/>
          <w:highlight w:val="none"/>
        </w:rPr>
      </w:pPr>
      <w:r>
        <w:rPr>
          <w:rStyle w:val="40"/>
          <w:rFonts w:hint="eastAsia"/>
          <w:b w:val="0"/>
          <w:bCs/>
          <w:color w:val="auto"/>
          <w:highlight w:val="none"/>
        </w:rPr>
        <w:t>采购方式：竞争性磋商</w:t>
      </w:r>
      <w:bookmarkEnd w:id="42"/>
      <w:bookmarkEnd w:id="43"/>
      <w:bookmarkEnd w:id="44"/>
      <w:bookmarkEnd w:id="45"/>
    </w:p>
    <w:p w14:paraId="07BFA70A">
      <w:pPr>
        <w:pStyle w:val="31"/>
        <w:spacing w:before="93" w:beforeLines="39" w:beforeAutospacing="0" w:after="74" w:afterLines="31" w:afterAutospacing="0" w:line="360" w:lineRule="auto"/>
        <w:ind w:firstLine="480" w:firstLineChars="200"/>
        <w:outlineLvl w:val="1"/>
        <w:rPr>
          <w:rStyle w:val="40"/>
          <w:b w:val="0"/>
          <w:bCs/>
          <w:color w:val="auto"/>
          <w:highlight w:val="none"/>
        </w:rPr>
      </w:pPr>
      <w:bookmarkStart w:id="46" w:name="_Toc27873"/>
      <w:bookmarkStart w:id="47" w:name="_Toc20356"/>
      <w:bookmarkStart w:id="48" w:name="_Toc32394"/>
      <w:bookmarkStart w:id="49" w:name="_Toc12530"/>
      <w:r>
        <w:rPr>
          <w:rStyle w:val="40"/>
          <w:rFonts w:hint="eastAsia"/>
          <w:b w:val="0"/>
          <w:bCs/>
          <w:color w:val="auto"/>
          <w:highlight w:val="none"/>
        </w:rPr>
        <w:t>预算金额（元）：</w:t>
      </w:r>
      <w:bookmarkEnd w:id="46"/>
      <w:bookmarkEnd w:id="47"/>
      <w:bookmarkEnd w:id="48"/>
      <w:bookmarkEnd w:id="49"/>
      <w:r>
        <w:rPr>
          <w:rStyle w:val="40"/>
          <w:rFonts w:hint="eastAsia"/>
          <w:b w:val="0"/>
          <w:bCs/>
          <w:color w:val="auto"/>
          <w:highlight w:val="none"/>
          <w:lang w:val="en-US" w:eastAsia="zh-CN"/>
        </w:rPr>
        <w:t>29.555</w:t>
      </w:r>
      <w:r>
        <w:rPr>
          <w:rStyle w:val="40"/>
          <w:rFonts w:hint="eastAsia"/>
          <w:b w:val="0"/>
          <w:bCs/>
          <w:color w:val="auto"/>
          <w:highlight w:val="none"/>
        </w:rPr>
        <w:t>万元/年</w:t>
      </w:r>
    </w:p>
    <w:p w14:paraId="6E37EC51">
      <w:pPr>
        <w:pStyle w:val="31"/>
        <w:spacing w:before="93" w:beforeLines="39" w:beforeAutospacing="0" w:after="74" w:afterLines="31" w:afterAutospacing="0" w:line="360" w:lineRule="auto"/>
        <w:ind w:firstLine="480" w:firstLineChars="200"/>
        <w:outlineLvl w:val="1"/>
        <w:rPr>
          <w:rStyle w:val="40"/>
          <w:b w:val="0"/>
          <w:bCs/>
          <w:color w:val="auto"/>
          <w:sz w:val="21"/>
          <w:szCs w:val="21"/>
          <w:highlight w:val="none"/>
        </w:rPr>
      </w:pPr>
      <w:bookmarkStart w:id="50" w:name="_Toc26142"/>
      <w:bookmarkStart w:id="51" w:name="_Toc10202"/>
      <w:bookmarkStart w:id="52" w:name="_Toc30197"/>
      <w:bookmarkStart w:id="53" w:name="_Toc13298"/>
      <w:r>
        <w:rPr>
          <w:rStyle w:val="40"/>
          <w:rFonts w:hint="eastAsia"/>
          <w:b w:val="0"/>
          <w:bCs/>
          <w:color w:val="auto"/>
          <w:highlight w:val="none"/>
        </w:rPr>
        <w:t>最高限价（元）：</w:t>
      </w:r>
      <w:bookmarkEnd w:id="50"/>
      <w:bookmarkEnd w:id="51"/>
      <w:bookmarkEnd w:id="52"/>
      <w:bookmarkEnd w:id="53"/>
      <w:r>
        <w:rPr>
          <w:rStyle w:val="40"/>
          <w:rFonts w:hint="eastAsia"/>
          <w:b w:val="0"/>
          <w:bCs/>
          <w:color w:val="auto"/>
          <w:highlight w:val="none"/>
          <w:lang w:val="en-US" w:eastAsia="zh-CN"/>
        </w:rPr>
        <w:t>26</w:t>
      </w:r>
      <w:r>
        <w:rPr>
          <w:rStyle w:val="40"/>
          <w:rFonts w:hint="eastAsia"/>
          <w:b w:val="0"/>
          <w:bCs/>
          <w:color w:val="auto"/>
          <w:highlight w:val="none"/>
        </w:rPr>
        <w:t>万元/年</w:t>
      </w:r>
    </w:p>
    <w:p w14:paraId="2FDFBE56">
      <w:pPr>
        <w:pStyle w:val="31"/>
        <w:spacing w:before="93" w:beforeLines="39" w:beforeAutospacing="0" w:after="74" w:afterLines="31" w:afterAutospacing="0" w:line="360" w:lineRule="auto"/>
        <w:ind w:firstLine="480" w:firstLineChars="200"/>
        <w:outlineLvl w:val="1"/>
        <w:rPr>
          <w:rStyle w:val="40"/>
          <w:b w:val="0"/>
          <w:bCs/>
          <w:color w:val="auto"/>
          <w:highlight w:val="none"/>
        </w:rPr>
      </w:pPr>
      <w:bookmarkStart w:id="54" w:name="_Toc654"/>
      <w:bookmarkStart w:id="55" w:name="_Toc17505"/>
      <w:bookmarkStart w:id="56" w:name="_Toc27013"/>
      <w:bookmarkStart w:id="57" w:name="_Toc9669"/>
      <w:r>
        <w:rPr>
          <w:rStyle w:val="40"/>
          <w:rFonts w:hint="eastAsia"/>
          <w:b w:val="0"/>
          <w:bCs/>
          <w:color w:val="auto"/>
          <w:highlight w:val="none"/>
        </w:rPr>
        <w:t>采购需求：</w:t>
      </w:r>
      <w:bookmarkEnd w:id="54"/>
      <w:bookmarkEnd w:id="55"/>
      <w:bookmarkEnd w:id="56"/>
      <w:bookmarkEnd w:id="57"/>
      <w:r>
        <w:rPr>
          <w:rStyle w:val="40"/>
          <w:rFonts w:hint="eastAsia"/>
          <w:b w:val="0"/>
          <w:bCs/>
          <w:color w:val="auto"/>
          <w:highlight w:val="none"/>
        </w:rPr>
        <w:t>详见采购文件</w:t>
      </w:r>
    </w:p>
    <w:p w14:paraId="19648A52">
      <w:pPr>
        <w:pStyle w:val="31"/>
        <w:spacing w:before="93" w:beforeLines="39" w:beforeAutospacing="0" w:after="74" w:afterLines="31" w:afterAutospacing="0" w:line="360" w:lineRule="auto"/>
        <w:ind w:firstLine="480" w:firstLineChars="200"/>
        <w:outlineLvl w:val="1"/>
        <w:rPr>
          <w:rStyle w:val="40"/>
          <w:rFonts w:hint="eastAsia"/>
          <w:b w:val="0"/>
          <w:bCs/>
          <w:color w:val="auto"/>
          <w:highlight w:val="none"/>
        </w:rPr>
      </w:pPr>
      <w:bookmarkStart w:id="58" w:name="_Toc31601"/>
      <w:bookmarkStart w:id="59" w:name="_Toc15406"/>
      <w:bookmarkStart w:id="60" w:name="_Toc20529"/>
      <w:bookmarkStart w:id="61" w:name="_Toc17438"/>
      <w:r>
        <w:rPr>
          <w:rStyle w:val="40"/>
          <w:rFonts w:hint="eastAsia"/>
          <w:b w:val="0"/>
          <w:bCs/>
          <w:color w:val="auto"/>
          <w:highlight w:val="none"/>
        </w:rPr>
        <w:t>标项1：</w:t>
      </w:r>
      <w:bookmarkEnd w:id="58"/>
      <w:bookmarkEnd w:id="59"/>
      <w:bookmarkEnd w:id="60"/>
      <w:bookmarkEnd w:id="61"/>
    </w:p>
    <w:p w14:paraId="57A263BF">
      <w:pPr>
        <w:pStyle w:val="31"/>
        <w:spacing w:before="93" w:beforeLines="39" w:beforeAutospacing="0" w:after="74" w:afterLines="31" w:afterAutospacing="0" w:line="360" w:lineRule="auto"/>
        <w:ind w:firstLine="480" w:firstLineChars="200"/>
        <w:outlineLvl w:val="1"/>
        <w:rPr>
          <w:rStyle w:val="40"/>
          <w:rFonts w:hint="eastAsia"/>
          <w:b w:val="0"/>
          <w:bCs/>
          <w:color w:val="auto"/>
          <w:highlight w:val="none"/>
        </w:rPr>
      </w:pPr>
      <w:bookmarkStart w:id="62" w:name="_Toc6434"/>
      <w:bookmarkStart w:id="63" w:name="_Toc2337"/>
      <w:bookmarkStart w:id="64" w:name="_Toc8083"/>
      <w:bookmarkStart w:id="65" w:name="_Toc12134"/>
      <w:r>
        <w:rPr>
          <w:rStyle w:val="40"/>
          <w:rFonts w:hint="eastAsia"/>
          <w:b w:val="0"/>
          <w:bCs/>
          <w:color w:val="auto"/>
          <w:highlight w:val="none"/>
        </w:rPr>
        <w:t>标项名称：</w:t>
      </w:r>
      <w:bookmarkEnd w:id="62"/>
      <w:bookmarkEnd w:id="63"/>
      <w:bookmarkEnd w:id="64"/>
      <w:bookmarkEnd w:id="65"/>
      <w:bookmarkStart w:id="66" w:name="_Toc27527"/>
      <w:bookmarkStart w:id="67" w:name="_Toc6300"/>
      <w:bookmarkStart w:id="68" w:name="_Toc13892"/>
      <w:bookmarkStart w:id="69" w:name="_Toc18796"/>
      <w:r>
        <w:rPr>
          <w:rFonts w:hint="eastAsia" w:ascii="宋体" w:hAnsi="宋体" w:eastAsia="宋体" w:cs="宋体"/>
          <w:color w:val="auto"/>
          <w:sz w:val="24"/>
          <w:szCs w:val="24"/>
          <w:highlight w:val="none"/>
          <w:u w:val="single"/>
          <w:lang w:val="en-US" w:eastAsia="zh-CN"/>
        </w:rPr>
        <w:t>克拉玛依市独山子区农业和水务局2025年度独山子区兽医社会化服务采购项目</w:t>
      </w:r>
      <w:r>
        <w:rPr>
          <w:rStyle w:val="40"/>
          <w:rFonts w:hint="eastAsia"/>
          <w:b w:val="0"/>
          <w:bCs/>
          <w:color w:val="auto"/>
          <w:highlight w:val="none"/>
        </w:rPr>
        <w:t>数量：</w:t>
      </w:r>
      <w:bookmarkEnd w:id="66"/>
      <w:bookmarkEnd w:id="67"/>
      <w:bookmarkEnd w:id="68"/>
      <w:bookmarkEnd w:id="69"/>
      <w:r>
        <w:rPr>
          <w:rStyle w:val="40"/>
          <w:rFonts w:hint="eastAsia"/>
          <w:b w:val="0"/>
          <w:bCs/>
          <w:color w:val="auto"/>
          <w:highlight w:val="none"/>
        </w:rPr>
        <w:t>1</w:t>
      </w:r>
    </w:p>
    <w:p w14:paraId="6A8E5756">
      <w:pPr>
        <w:pStyle w:val="31"/>
        <w:spacing w:before="93" w:beforeLines="39" w:beforeAutospacing="0" w:after="74" w:afterLines="31" w:afterAutospacing="0" w:line="360" w:lineRule="auto"/>
        <w:ind w:firstLine="480" w:firstLineChars="200"/>
        <w:outlineLvl w:val="1"/>
        <w:rPr>
          <w:rStyle w:val="40"/>
          <w:rFonts w:hint="eastAsia"/>
          <w:b w:val="0"/>
          <w:bCs/>
          <w:color w:val="auto"/>
          <w:highlight w:val="none"/>
        </w:rPr>
      </w:pPr>
      <w:bookmarkStart w:id="70" w:name="_Toc4725"/>
      <w:bookmarkStart w:id="71" w:name="_Toc23215"/>
      <w:bookmarkStart w:id="72" w:name="_Toc25204"/>
      <w:bookmarkStart w:id="73" w:name="_Toc21329"/>
      <w:r>
        <w:rPr>
          <w:rStyle w:val="40"/>
          <w:rFonts w:hint="eastAsia"/>
          <w:b w:val="0"/>
          <w:bCs/>
          <w:color w:val="auto"/>
          <w:highlight w:val="none"/>
        </w:rPr>
        <w:t>单位：</w:t>
      </w:r>
      <w:bookmarkEnd w:id="70"/>
      <w:bookmarkEnd w:id="71"/>
      <w:bookmarkEnd w:id="72"/>
      <w:bookmarkEnd w:id="73"/>
      <w:r>
        <w:rPr>
          <w:rStyle w:val="40"/>
          <w:rFonts w:hint="eastAsia"/>
          <w:b w:val="0"/>
          <w:bCs/>
          <w:color w:val="auto"/>
          <w:highlight w:val="none"/>
        </w:rPr>
        <w:t>项</w:t>
      </w:r>
    </w:p>
    <w:p w14:paraId="2C86A70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Style w:val="40"/>
          <w:rFonts w:hint="eastAsia" w:eastAsia="宋体"/>
          <w:b w:val="0"/>
          <w:bCs/>
          <w:color w:val="auto"/>
          <w:sz w:val="24"/>
          <w:szCs w:val="32"/>
          <w:highlight w:val="none"/>
          <w:lang w:val="en-US" w:eastAsia="zh-CN"/>
        </w:rPr>
      </w:pPr>
      <w:bookmarkStart w:id="74" w:name="_Toc21117"/>
      <w:bookmarkStart w:id="75" w:name="_Toc10618"/>
      <w:bookmarkStart w:id="76" w:name="_Toc21817"/>
      <w:bookmarkStart w:id="77" w:name="_Toc19853"/>
      <w:r>
        <w:rPr>
          <w:rStyle w:val="40"/>
          <w:rFonts w:hint="eastAsia"/>
          <w:b w:val="0"/>
          <w:bCs/>
          <w:color w:val="auto"/>
          <w:sz w:val="24"/>
          <w:szCs w:val="32"/>
          <w:highlight w:val="none"/>
        </w:rPr>
        <w:t>简要规格描述：</w:t>
      </w:r>
      <w:bookmarkEnd w:id="74"/>
      <w:bookmarkEnd w:id="75"/>
      <w:bookmarkEnd w:id="76"/>
      <w:bookmarkEnd w:id="77"/>
      <w:bookmarkStart w:id="78" w:name="_Toc12706"/>
      <w:bookmarkStart w:id="79" w:name="_Toc29626"/>
      <w:bookmarkStart w:id="80" w:name="_Toc5938"/>
      <w:bookmarkStart w:id="81" w:name="_Toc16495"/>
      <w:r>
        <w:rPr>
          <w:rStyle w:val="40"/>
          <w:rFonts w:hint="eastAsia"/>
          <w:b w:val="0"/>
          <w:bCs/>
          <w:color w:val="auto"/>
          <w:sz w:val="24"/>
          <w:szCs w:val="32"/>
          <w:highlight w:val="none"/>
          <w:lang w:val="en-US" w:eastAsia="zh-CN"/>
        </w:rPr>
        <w:t>为进一步加强独山子区兽医社会化服务</w:t>
      </w:r>
      <w:r>
        <w:rPr>
          <w:rStyle w:val="40"/>
          <w:rFonts w:hint="eastAsia" w:eastAsia="宋体"/>
          <w:b w:val="0"/>
          <w:bCs/>
          <w:color w:val="auto"/>
          <w:sz w:val="24"/>
          <w:szCs w:val="32"/>
          <w:highlight w:val="none"/>
          <w:lang w:val="en-US" w:eastAsia="zh-CN"/>
        </w:rPr>
        <w:t>及相关工作，切实保障畜牧业健康发展及相关服务，现委托供应商完成克拉玛依市独山子区农业和水务局2025年度独山子区兽医社会化服务采购项目。具体详见采购文件。</w:t>
      </w:r>
    </w:p>
    <w:p w14:paraId="6CB4536A">
      <w:pPr>
        <w:pStyle w:val="31"/>
        <w:spacing w:before="93" w:beforeLines="39" w:beforeAutospacing="0" w:after="74" w:afterLines="31" w:afterAutospacing="0" w:line="360" w:lineRule="auto"/>
        <w:ind w:firstLine="480" w:firstLineChars="200"/>
        <w:outlineLvl w:val="1"/>
        <w:rPr>
          <w:rStyle w:val="40"/>
          <w:rFonts w:hint="eastAsia"/>
          <w:b w:val="0"/>
          <w:bCs/>
          <w:color w:val="auto"/>
          <w:highlight w:val="none"/>
        </w:rPr>
      </w:pPr>
      <w:r>
        <w:rPr>
          <w:rStyle w:val="40"/>
          <w:rFonts w:hint="eastAsia"/>
          <w:b w:val="0"/>
          <w:bCs/>
          <w:color w:val="auto"/>
          <w:highlight w:val="none"/>
        </w:rPr>
        <w:t>备注：无</w:t>
      </w:r>
      <w:bookmarkEnd w:id="78"/>
      <w:bookmarkEnd w:id="79"/>
      <w:bookmarkEnd w:id="80"/>
      <w:bookmarkEnd w:id="81"/>
    </w:p>
    <w:p w14:paraId="7F9D21E8">
      <w:pPr>
        <w:pStyle w:val="31"/>
        <w:spacing w:before="93" w:beforeLines="39" w:beforeAutospacing="0" w:after="74" w:afterLines="31" w:afterAutospacing="0" w:line="360" w:lineRule="auto"/>
        <w:ind w:firstLine="480" w:firstLineChars="200"/>
        <w:outlineLvl w:val="1"/>
        <w:rPr>
          <w:rStyle w:val="40"/>
          <w:rFonts w:hint="eastAsia"/>
          <w:b w:val="0"/>
          <w:bCs/>
          <w:color w:val="auto"/>
          <w:highlight w:val="none"/>
        </w:rPr>
      </w:pPr>
      <w:bookmarkStart w:id="82" w:name="_Toc10569"/>
      <w:bookmarkStart w:id="83" w:name="_Toc16405"/>
      <w:bookmarkStart w:id="84" w:name="_Toc3644"/>
      <w:bookmarkStart w:id="85" w:name="_Toc20536"/>
      <w:r>
        <w:rPr>
          <w:rStyle w:val="40"/>
          <w:rFonts w:hint="eastAsia"/>
          <w:b w:val="0"/>
          <w:bCs/>
          <w:color w:val="auto"/>
          <w:highlight w:val="none"/>
        </w:rPr>
        <w:t>合同履约期限：标项1，</w:t>
      </w:r>
      <w:bookmarkEnd w:id="82"/>
      <w:bookmarkEnd w:id="83"/>
      <w:bookmarkEnd w:id="84"/>
      <w:bookmarkEnd w:id="85"/>
      <w:bookmarkStart w:id="86" w:name="_Toc2256"/>
      <w:bookmarkStart w:id="87" w:name="_Toc29845"/>
      <w:bookmarkStart w:id="88" w:name="_Toc16"/>
      <w:bookmarkStart w:id="89" w:name="_Toc10451"/>
      <w:r>
        <w:rPr>
          <w:rStyle w:val="40"/>
          <w:rFonts w:hint="eastAsia"/>
          <w:b w:val="0"/>
          <w:bCs/>
          <w:color w:val="auto"/>
          <w:highlight w:val="none"/>
          <w:lang w:val="en-US" w:eastAsia="zh-CN"/>
        </w:rPr>
        <w:t>一年，合同每半年签订一次。</w:t>
      </w:r>
    </w:p>
    <w:p w14:paraId="29FAFBE2">
      <w:pPr>
        <w:pStyle w:val="31"/>
        <w:spacing w:before="93" w:beforeLines="39" w:beforeAutospacing="0" w:after="74" w:afterLines="31" w:afterAutospacing="0" w:line="360" w:lineRule="auto"/>
        <w:ind w:firstLine="480" w:firstLineChars="200"/>
        <w:outlineLvl w:val="1"/>
        <w:rPr>
          <w:rStyle w:val="40"/>
          <w:rFonts w:hint="eastAsia"/>
          <w:b w:val="0"/>
          <w:bCs/>
          <w:color w:val="auto"/>
          <w:highlight w:val="none"/>
        </w:rPr>
      </w:pPr>
      <w:r>
        <w:rPr>
          <w:rStyle w:val="40"/>
          <w:rFonts w:hint="eastAsia"/>
          <w:b w:val="0"/>
          <w:bCs/>
          <w:color w:val="auto"/>
          <w:highlight w:val="none"/>
        </w:rPr>
        <w:t>本项目（否）接受联合体投标。</w:t>
      </w:r>
      <w:bookmarkEnd w:id="86"/>
      <w:bookmarkEnd w:id="87"/>
      <w:bookmarkEnd w:id="88"/>
      <w:bookmarkEnd w:id="89"/>
    </w:p>
    <w:p w14:paraId="7916AA7A">
      <w:pPr>
        <w:pStyle w:val="31"/>
        <w:spacing w:before="93" w:beforeLines="39" w:beforeAutospacing="0" w:after="74" w:afterLines="31" w:afterAutospacing="0" w:line="360" w:lineRule="auto"/>
        <w:outlineLvl w:val="1"/>
        <w:rPr>
          <w:rStyle w:val="40"/>
          <w:rFonts w:hint="eastAsia"/>
          <w:color w:val="auto"/>
          <w:highlight w:val="none"/>
        </w:rPr>
      </w:pPr>
      <w:bookmarkStart w:id="90" w:name="_Toc28966"/>
      <w:bookmarkStart w:id="91" w:name="_Toc16440"/>
      <w:bookmarkStart w:id="92" w:name="_Toc13649"/>
      <w:bookmarkStart w:id="93" w:name="_Toc6170"/>
      <w:r>
        <w:rPr>
          <w:rFonts w:hint="eastAsia"/>
          <w:b/>
          <w:color w:val="auto"/>
          <w:highlight w:val="none"/>
        </w:rPr>
        <w:t>二、</w:t>
      </w:r>
      <w:r>
        <w:rPr>
          <w:rStyle w:val="40"/>
          <w:rFonts w:hint="eastAsia"/>
          <w:color w:val="auto"/>
          <w:highlight w:val="none"/>
        </w:rPr>
        <w:t>申请人的资格要求：</w:t>
      </w:r>
      <w:bookmarkEnd w:id="90"/>
      <w:bookmarkEnd w:id="91"/>
      <w:bookmarkEnd w:id="92"/>
      <w:bookmarkEnd w:id="93"/>
    </w:p>
    <w:p w14:paraId="4F01C838">
      <w:pPr>
        <w:pStyle w:val="31"/>
        <w:spacing w:before="93" w:beforeLines="39" w:beforeAutospacing="0" w:after="74" w:afterLines="31" w:afterAutospacing="0" w:line="360" w:lineRule="auto"/>
        <w:ind w:firstLine="480" w:firstLineChars="200"/>
        <w:outlineLvl w:val="1"/>
        <w:rPr>
          <w:rStyle w:val="40"/>
          <w:rFonts w:hint="eastAsia" w:ascii="Times New Roman" w:hAnsi="Times New Roman" w:eastAsia="宋体" w:cs="Times New Roman"/>
          <w:b w:val="0"/>
          <w:bCs w:val="0"/>
          <w:color w:val="auto"/>
          <w:highlight w:val="none"/>
        </w:rPr>
      </w:pPr>
      <w:bookmarkStart w:id="94" w:name="_Toc334"/>
      <w:bookmarkStart w:id="95" w:name="_Toc4063"/>
      <w:r>
        <w:rPr>
          <w:rStyle w:val="40"/>
          <w:rFonts w:hint="eastAsia" w:ascii="Times New Roman" w:hAnsi="Times New Roman" w:eastAsia="宋体" w:cs="Times New Roman"/>
          <w:b w:val="0"/>
          <w:bCs w:val="0"/>
          <w:color w:val="auto"/>
          <w:highlight w:val="none"/>
        </w:rPr>
        <w:t xml:space="preserve">1.满足《中华人民共和国政府采购法》第二十二条规定； </w:t>
      </w:r>
    </w:p>
    <w:p w14:paraId="5C1049E1">
      <w:pPr>
        <w:pStyle w:val="31"/>
        <w:spacing w:before="93" w:beforeLines="39" w:beforeAutospacing="0" w:after="74" w:afterLines="31" w:afterAutospacing="0" w:line="360" w:lineRule="auto"/>
        <w:ind w:firstLine="480" w:firstLineChars="200"/>
        <w:outlineLvl w:val="1"/>
        <w:rPr>
          <w:rStyle w:val="40"/>
          <w:rFonts w:hint="eastAsia" w:ascii="Times New Roman" w:hAnsi="Times New Roman" w:eastAsia="宋体" w:cs="Times New Roman"/>
          <w:b w:val="0"/>
          <w:bCs w:val="0"/>
          <w:color w:val="auto"/>
          <w:highlight w:val="none"/>
        </w:rPr>
      </w:pPr>
      <w:r>
        <w:rPr>
          <w:rStyle w:val="40"/>
          <w:rFonts w:hint="eastAsia" w:ascii="Times New Roman" w:hAnsi="Times New Roman" w:eastAsia="宋体" w:cs="Times New Roman"/>
          <w:b w:val="0"/>
          <w:bCs w:val="0"/>
          <w:color w:val="auto"/>
          <w:highlight w:val="none"/>
        </w:rPr>
        <w:t>2.落实政府采购政策需满足的资格要求：本项目专门面向中小企业。</w:t>
      </w:r>
    </w:p>
    <w:p w14:paraId="605EC2DB">
      <w:pPr>
        <w:pStyle w:val="31"/>
        <w:spacing w:before="93" w:beforeLines="39" w:beforeAutospacing="0" w:after="74" w:afterLines="31" w:afterAutospacing="0" w:line="360" w:lineRule="auto"/>
        <w:ind w:firstLine="480" w:firstLineChars="200"/>
        <w:outlineLvl w:val="1"/>
        <w:rPr>
          <w:rStyle w:val="40"/>
          <w:rFonts w:hint="eastAsia" w:ascii="Times New Roman" w:hAnsi="Times New Roman" w:eastAsia="宋体" w:cs="Times New Roman"/>
          <w:b w:val="0"/>
          <w:bCs w:val="0"/>
          <w:color w:val="auto"/>
          <w:highlight w:val="none"/>
          <w:lang w:eastAsia="zh-CN"/>
        </w:rPr>
      </w:pPr>
      <w:r>
        <w:rPr>
          <w:rStyle w:val="40"/>
          <w:rFonts w:hint="eastAsia" w:ascii="Times New Roman" w:hAnsi="Times New Roman" w:eastAsia="宋体" w:cs="Times New Roman"/>
          <w:b w:val="0"/>
          <w:bCs w:val="0"/>
          <w:color w:val="auto"/>
          <w:highlight w:val="none"/>
        </w:rPr>
        <w:t>3.未被“信用中国”（www.creditchina.gov.cn）、中国政府采购网（www.ccgp.gov.cn）列入失信被执行人、重大税收违法失信主体、政府采购严重违法失信行为记录名单。</w:t>
      </w:r>
    </w:p>
    <w:p w14:paraId="05EC1417">
      <w:pPr>
        <w:widowControl/>
        <w:spacing w:line="360" w:lineRule="auto"/>
        <w:ind w:firstLine="482" w:firstLineChars="200"/>
        <w:jc w:val="left"/>
        <w:outlineLvl w:val="1"/>
        <w:rPr>
          <w:rStyle w:val="40"/>
          <w:rFonts w:hint="eastAsia" w:ascii="宋体" w:hAnsi="宋体" w:cs="宋体"/>
          <w:color w:val="auto"/>
          <w:sz w:val="24"/>
          <w:highlight w:val="none"/>
        </w:rPr>
      </w:pPr>
      <w:r>
        <w:rPr>
          <w:rStyle w:val="40"/>
          <w:rFonts w:hint="eastAsia" w:ascii="宋体" w:hAnsi="宋体" w:cs="宋体"/>
          <w:color w:val="auto"/>
          <w:sz w:val="24"/>
          <w:highlight w:val="none"/>
        </w:rPr>
        <w:t>三、获取采购文件</w:t>
      </w:r>
      <w:bookmarkEnd w:id="94"/>
      <w:bookmarkEnd w:id="95"/>
    </w:p>
    <w:p w14:paraId="3E884C0F">
      <w:pPr>
        <w:pStyle w:val="31"/>
        <w:spacing w:before="93" w:beforeLines="39" w:beforeAutospacing="0" w:after="74" w:afterLines="31" w:afterAutospacing="0" w:line="360" w:lineRule="auto"/>
        <w:ind w:firstLine="480" w:firstLineChars="200"/>
        <w:outlineLvl w:val="1"/>
        <w:rPr>
          <w:rStyle w:val="40"/>
          <w:rFonts w:hint="eastAsia" w:eastAsia="宋体"/>
          <w:b w:val="0"/>
          <w:bCs/>
          <w:color w:val="auto"/>
          <w:highlight w:val="none"/>
          <w:lang w:eastAsia="zh-CN"/>
        </w:rPr>
      </w:pPr>
      <w:bookmarkStart w:id="96" w:name="_Toc5521"/>
      <w:bookmarkStart w:id="97" w:name="_Toc27566"/>
      <w:bookmarkStart w:id="98" w:name="_Toc7223"/>
      <w:bookmarkStart w:id="99" w:name="_Toc1050"/>
      <w:r>
        <w:rPr>
          <w:rStyle w:val="40"/>
          <w:rFonts w:hint="eastAsia"/>
          <w:b w:val="0"/>
          <w:bCs/>
          <w:color w:val="auto"/>
          <w:highlight w:val="none"/>
        </w:rPr>
        <w:t>时间：</w:t>
      </w:r>
      <w:bookmarkEnd w:id="96"/>
      <w:bookmarkEnd w:id="97"/>
      <w:bookmarkEnd w:id="98"/>
      <w:bookmarkEnd w:id="99"/>
      <w:r>
        <w:rPr>
          <w:rStyle w:val="40"/>
          <w:rFonts w:hint="eastAsia"/>
          <w:b w:val="0"/>
          <w:bCs/>
          <w:color w:val="auto"/>
          <w:highlight w:val="none"/>
          <w:lang w:eastAsia="zh-CN"/>
        </w:rPr>
        <w:t>2025年</w:t>
      </w:r>
      <w:r>
        <w:rPr>
          <w:rStyle w:val="40"/>
          <w:rFonts w:hint="eastAsia"/>
          <w:b w:val="0"/>
          <w:bCs/>
          <w:color w:val="auto"/>
          <w:highlight w:val="none"/>
          <w:lang w:val="en-US" w:eastAsia="zh-CN"/>
        </w:rPr>
        <w:t>07</w:t>
      </w:r>
      <w:r>
        <w:rPr>
          <w:rStyle w:val="40"/>
          <w:rFonts w:hint="eastAsia"/>
          <w:b w:val="0"/>
          <w:bCs/>
          <w:color w:val="auto"/>
          <w:highlight w:val="none"/>
          <w:lang w:eastAsia="zh-CN"/>
        </w:rPr>
        <w:t>月</w:t>
      </w:r>
      <w:r>
        <w:rPr>
          <w:rStyle w:val="40"/>
          <w:rFonts w:hint="eastAsia"/>
          <w:b w:val="0"/>
          <w:bCs/>
          <w:color w:val="auto"/>
          <w:highlight w:val="none"/>
          <w:lang w:val="en-US" w:eastAsia="zh-CN"/>
        </w:rPr>
        <w:t>08</w:t>
      </w:r>
      <w:r>
        <w:rPr>
          <w:rStyle w:val="40"/>
          <w:rFonts w:hint="eastAsia"/>
          <w:b w:val="0"/>
          <w:bCs/>
          <w:color w:val="auto"/>
          <w:highlight w:val="none"/>
          <w:lang w:eastAsia="zh-CN"/>
        </w:rPr>
        <w:t>日至2025年</w:t>
      </w:r>
      <w:r>
        <w:rPr>
          <w:rStyle w:val="40"/>
          <w:rFonts w:hint="eastAsia"/>
          <w:b w:val="0"/>
          <w:bCs/>
          <w:color w:val="auto"/>
          <w:highlight w:val="none"/>
          <w:lang w:val="en-US" w:eastAsia="zh-CN"/>
        </w:rPr>
        <w:t>07</w:t>
      </w:r>
      <w:r>
        <w:rPr>
          <w:rStyle w:val="40"/>
          <w:rFonts w:hint="eastAsia"/>
          <w:b w:val="0"/>
          <w:bCs/>
          <w:color w:val="auto"/>
          <w:highlight w:val="none"/>
          <w:lang w:eastAsia="zh-CN"/>
        </w:rPr>
        <w:t>月</w:t>
      </w:r>
      <w:r>
        <w:rPr>
          <w:rStyle w:val="40"/>
          <w:rFonts w:hint="eastAsia"/>
          <w:b w:val="0"/>
          <w:bCs/>
          <w:color w:val="auto"/>
          <w:highlight w:val="none"/>
          <w:lang w:val="en-US" w:eastAsia="zh-CN"/>
        </w:rPr>
        <w:t>15</w:t>
      </w:r>
      <w:r>
        <w:rPr>
          <w:rStyle w:val="40"/>
          <w:rFonts w:hint="eastAsia"/>
          <w:b w:val="0"/>
          <w:bCs/>
          <w:color w:val="auto"/>
          <w:highlight w:val="none"/>
          <w:lang w:eastAsia="zh-CN"/>
        </w:rPr>
        <w:t>日，每天上午00:00至12:00，下午12:00至23:59（北京时间，法定节假日除外）</w:t>
      </w:r>
    </w:p>
    <w:p w14:paraId="03621F3E">
      <w:pPr>
        <w:pStyle w:val="31"/>
        <w:spacing w:before="93" w:beforeLines="39" w:beforeAutospacing="0" w:after="74" w:afterLines="31" w:afterAutospacing="0" w:line="360" w:lineRule="auto"/>
        <w:ind w:firstLine="480" w:firstLineChars="200"/>
        <w:outlineLvl w:val="1"/>
        <w:rPr>
          <w:rStyle w:val="40"/>
          <w:rFonts w:hint="eastAsia"/>
          <w:b w:val="0"/>
          <w:bCs/>
          <w:color w:val="auto"/>
          <w:highlight w:val="none"/>
        </w:rPr>
      </w:pPr>
      <w:bookmarkStart w:id="100" w:name="_Toc21359"/>
      <w:bookmarkStart w:id="101" w:name="_Toc8681"/>
      <w:bookmarkStart w:id="102" w:name="_Toc30707"/>
      <w:bookmarkStart w:id="103" w:name="_Toc32643"/>
      <w:r>
        <w:rPr>
          <w:rStyle w:val="40"/>
          <w:rFonts w:hint="eastAsia"/>
          <w:b w:val="0"/>
          <w:bCs/>
          <w:color w:val="auto"/>
          <w:highlight w:val="none"/>
        </w:rPr>
        <w:t>地点：新疆政府采购网政采云平台（https://www.zcygov.cn）</w:t>
      </w:r>
      <w:bookmarkEnd w:id="100"/>
      <w:bookmarkEnd w:id="101"/>
      <w:bookmarkEnd w:id="102"/>
      <w:bookmarkEnd w:id="103"/>
      <w:r>
        <w:rPr>
          <w:rStyle w:val="40"/>
          <w:rFonts w:hint="eastAsia"/>
          <w:b w:val="0"/>
          <w:bCs/>
          <w:color w:val="auto"/>
          <w:highlight w:val="none"/>
        </w:rPr>
        <w:t xml:space="preserve"> </w:t>
      </w:r>
    </w:p>
    <w:p w14:paraId="311DB5DB">
      <w:pPr>
        <w:pStyle w:val="31"/>
        <w:spacing w:before="93" w:beforeLines="39" w:beforeAutospacing="0" w:after="74" w:afterLines="31" w:afterAutospacing="0" w:line="360" w:lineRule="auto"/>
        <w:ind w:firstLine="481"/>
        <w:outlineLvl w:val="1"/>
        <w:rPr>
          <w:rStyle w:val="40"/>
          <w:rFonts w:hint="eastAsia"/>
          <w:b w:val="0"/>
          <w:bCs/>
          <w:color w:val="auto"/>
          <w:highlight w:val="none"/>
        </w:rPr>
      </w:pPr>
      <w:bookmarkStart w:id="104" w:name="_Toc28855"/>
      <w:bookmarkStart w:id="105" w:name="_Toc16973"/>
      <w:bookmarkStart w:id="106" w:name="_Toc17304"/>
      <w:bookmarkStart w:id="107" w:name="_Toc25975"/>
      <w:r>
        <w:rPr>
          <w:rStyle w:val="40"/>
          <w:rFonts w:hint="eastAsia"/>
          <w:b w:val="0"/>
          <w:bCs/>
          <w:color w:val="auto"/>
          <w:highlight w:val="none"/>
        </w:rPr>
        <w:t>方式：线上获取，供应商登录政采云账户，在线申请获取招标文件（登录政府采购云平台→采购项目→获取招标文件→申请，审核通过后可下载招标文件，如有操作性问题，可与政采云在线客服进行咨询，咨询电话95763）。</w:t>
      </w:r>
      <w:bookmarkEnd w:id="104"/>
      <w:bookmarkEnd w:id="105"/>
      <w:bookmarkEnd w:id="106"/>
      <w:bookmarkEnd w:id="107"/>
    </w:p>
    <w:p w14:paraId="1E3812A1">
      <w:pPr>
        <w:pStyle w:val="31"/>
        <w:spacing w:before="93" w:beforeLines="39" w:beforeAutospacing="0" w:after="74" w:afterLines="31" w:afterAutospacing="0" w:line="360" w:lineRule="auto"/>
        <w:ind w:firstLine="481"/>
        <w:outlineLvl w:val="2"/>
        <w:rPr>
          <w:rStyle w:val="40"/>
          <w:rFonts w:hint="eastAsia"/>
          <w:b w:val="0"/>
          <w:bCs/>
          <w:color w:val="auto"/>
          <w:highlight w:val="none"/>
        </w:rPr>
      </w:pPr>
      <w:bookmarkStart w:id="108" w:name="_Toc11840"/>
      <w:bookmarkStart w:id="109" w:name="_Toc28132"/>
      <w:bookmarkStart w:id="110" w:name="_Toc30665"/>
      <w:r>
        <w:rPr>
          <w:rStyle w:val="40"/>
          <w:rFonts w:hint="eastAsia"/>
          <w:b w:val="0"/>
          <w:bCs/>
          <w:color w:val="auto"/>
          <w:highlight w:val="none"/>
        </w:rPr>
        <w:t>售价（元）： 0</w:t>
      </w:r>
      <w:bookmarkEnd w:id="108"/>
      <w:bookmarkEnd w:id="109"/>
      <w:bookmarkEnd w:id="110"/>
      <w:r>
        <w:rPr>
          <w:rStyle w:val="40"/>
          <w:rFonts w:hint="eastAsia"/>
          <w:b w:val="0"/>
          <w:bCs/>
          <w:color w:val="auto"/>
          <w:highlight w:val="none"/>
        </w:rPr>
        <w:t xml:space="preserve"> </w:t>
      </w:r>
    </w:p>
    <w:p w14:paraId="70186134">
      <w:pPr>
        <w:pStyle w:val="31"/>
        <w:spacing w:before="93" w:beforeLines="39" w:beforeAutospacing="0" w:after="74" w:afterLines="31" w:afterAutospacing="0" w:line="360" w:lineRule="auto"/>
        <w:outlineLvl w:val="1"/>
        <w:rPr>
          <w:rStyle w:val="40"/>
          <w:rFonts w:hint="eastAsia"/>
          <w:color w:val="auto"/>
          <w:highlight w:val="none"/>
        </w:rPr>
      </w:pPr>
      <w:bookmarkStart w:id="111" w:name="_Toc7820"/>
      <w:bookmarkStart w:id="112" w:name="_Toc16225"/>
      <w:bookmarkStart w:id="113" w:name="_Toc30842"/>
      <w:bookmarkStart w:id="114" w:name="_Toc22967"/>
      <w:r>
        <w:rPr>
          <w:rStyle w:val="40"/>
          <w:rFonts w:hint="eastAsia"/>
          <w:color w:val="auto"/>
          <w:highlight w:val="none"/>
        </w:rPr>
        <w:t>四、响应文件提交</w:t>
      </w:r>
      <w:bookmarkEnd w:id="111"/>
      <w:bookmarkEnd w:id="112"/>
      <w:bookmarkEnd w:id="113"/>
      <w:bookmarkEnd w:id="114"/>
      <w:r>
        <w:rPr>
          <w:rStyle w:val="40"/>
          <w:rFonts w:hint="eastAsia"/>
          <w:color w:val="auto"/>
          <w:highlight w:val="none"/>
        </w:rPr>
        <w:t xml:space="preserve"> </w:t>
      </w:r>
    </w:p>
    <w:p w14:paraId="032FB884">
      <w:pPr>
        <w:pStyle w:val="31"/>
        <w:spacing w:before="93" w:beforeLines="39" w:beforeAutospacing="0" w:after="74" w:afterLines="31" w:afterAutospacing="0" w:line="360" w:lineRule="auto"/>
        <w:ind w:firstLine="480" w:firstLineChars="200"/>
        <w:outlineLvl w:val="2"/>
        <w:rPr>
          <w:rStyle w:val="40"/>
          <w:rFonts w:hint="eastAsia" w:eastAsia="宋体"/>
          <w:b w:val="0"/>
          <w:bCs/>
          <w:color w:val="auto"/>
          <w:highlight w:val="none"/>
          <w:lang w:eastAsia="zh-CN"/>
        </w:rPr>
      </w:pPr>
      <w:bookmarkStart w:id="115" w:name="_Toc29459"/>
      <w:bookmarkStart w:id="116" w:name="_Toc12684"/>
      <w:bookmarkStart w:id="117" w:name="_Toc23738"/>
      <w:r>
        <w:rPr>
          <w:rStyle w:val="40"/>
          <w:rFonts w:hint="eastAsia"/>
          <w:b w:val="0"/>
          <w:bCs/>
          <w:color w:val="auto"/>
          <w:highlight w:val="none"/>
        </w:rPr>
        <w:t>截止时间：</w:t>
      </w:r>
      <w:bookmarkEnd w:id="115"/>
      <w:bookmarkEnd w:id="116"/>
      <w:bookmarkEnd w:id="117"/>
      <w:r>
        <w:rPr>
          <w:rStyle w:val="40"/>
          <w:rFonts w:hint="eastAsia" w:ascii="Times New Roman" w:hAnsi="Times New Roman"/>
          <w:b w:val="0"/>
          <w:bCs/>
          <w:color w:val="auto"/>
          <w:highlight w:val="none"/>
          <w:lang w:eastAsia="zh-CN"/>
        </w:rPr>
        <w:t>2025年</w:t>
      </w:r>
      <w:r>
        <w:rPr>
          <w:rStyle w:val="40"/>
          <w:rFonts w:hint="eastAsia" w:ascii="Times New Roman" w:hAnsi="Times New Roman"/>
          <w:b w:val="0"/>
          <w:bCs/>
          <w:color w:val="auto"/>
          <w:highlight w:val="none"/>
          <w:lang w:val="en-US" w:eastAsia="zh-CN"/>
        </w:rPr>
        <w:t>07</w:t>
      </w:r>
      <w:r>
        <w:rPr>
          <w:rStyle w:val="40"/>
          <w:rFonts w:hint="eastAsia" w:ascii="Times New Roman" w:hAnsi="Times New Roman"/>
          <w:b w:val="0"/>
          <w:bCs/>
          <w:color w:val="auto"/>
          <w:highlight w:val="none"/>
          <w:lang w:eastAsia="zh-CN"/>
        </w:rPr>
        <w:t>月</w:t>
      </w:r>
      <w:r>
        <w:rPr>
          <w:rStyle w:val="40"/>
          <w:rFonts w:hint="eastAsia" w:ascii="Times New Roman" w:hAnsi="Times New Roman"/>
          <w:b w:val="0"/>
          <w:bCs/>
          <w:color w:val="auto"/>
          <w:highlight w:val="none"/>
          <w:lang w:val="en-US" w:eastAsia="zh-CN"/>
        </w:rPr>
        <w:t>18</w:t>
      </w:r>
      <w:r>
        <w:rPr>
          <w:rStyle w:val="40"/>
          <w:rFonts w:hint="eastAsia" w:ascii="Times New Roman" w:hAnsi="Times New Roman"/>
          <w:b w:val="0"/>
          <w:bCs/>
          <w:color w:val="auto"/>
          <w:highlight w:val="none"/>
          <w:lang w:eastAsia="zh-CN"/>
        </w:rPr>
        <w:t>日16:30（北京时间）</w:t>
      </w:r>
    </w:p>
    <w:p w14:paraId="0326F9D1">
      <w:pPr>
        <w:pStyle w:val="31"/>
        <w:spacing w:before="93" w:beforeLines="39" w:beforeAutospacing="0" w:after="74" w:afterLines="31" w:afterAutospacing="0" w:line="360" w:lineRule="auto"/>
        <w:ind w:firstLine="480" w:firstLineChars="200"/>
        <w:outlineLvl w:val="1"/>
        <w:rPr>
          <w:rStyle w:val="40"/>
          <w:rFonts w:hint="eastAsia"/>
          <w:b w:val="0"/>
          <w:bCs/>
          <w:color w:val="auto"/>
          <w:highlight w:val="none"/>
        </w:rPr>
      </w:pPr>
      <w:bookmarkStart w:id="118" w:name="_Toc16029"/>
      <w:bookmarkStart w:id="119" w:name="_Toc8725"/>
      <w:bookmarkStart w:id="120" w:name="_Toc20002"/>
      <w:bookmarkStart w:id="121" w:name="_Toc32697"/>
      <w:r>
        <w:rPr>
          <w:rStyle w:val="40"/>
          <w:rFonts w:hint="eastAsia"/>
          <w:b w:val="0"/>
          <w:bCs/>
          <w:color w:val="auto"/>
          <w:highlight w:val="none"/>
        </w:rPr>
        <w:t>地点：请登录“政采云电子投标客户端”投标。</w:t>
      </w:r>
      <w:bookmarkEnd w:id="118"/>
      <w:bookmarkEnd w:id="119"/>
      <w:bookmarkEnd w:id="120"/>
      <w:bookmarkEnd w:id="121"/>
    </w:p>
    <w:p w14:paraId="1FB5C3AD">
      <w:pPr>
        <w:pStyle w:val="31"/>
        <w:spacing w:before="93" w:beforeLines="39" w:beforeAutospacing="0" w:after="74" w:afterLines="31" w:afterAutospacing="0" w:line="360" w:lineRule="auto"/>
        <w:outlineLvl w:val="1"/>
        <w:rPr>
          <w:rStyle w:val="40"/>
          <w:rFonts w:hint="eastAsia"/>
          <w:color w:val="auto"/>
          <w:highlight w:val="none"/>
        </w:rPr>
      </w:pPr>
      <w:bookmarkStart w:id="122" w:name="_Toc18664"/>
      <w:bookmarkStart w:id="123" w:name="_Toc19718"/>
      <w:bookmarkStart w:id="124" w:name="_Toc19086"/>
      <w:bookmarkStart w:id="125" w:name="_Toc10912"/>
      <w:r>
        <w:rPr>
          <w:rStyle w:val="40"/>
          <w:rFonts w:hint="eastAsia"/>
          <w:color w:val="auto"/>
          <w:highlight w:val="none"/>
        </w:rPr>
        <w:t>五、响应文件开启</w:t>
      </w:r>
      <w:bookmarkEnd w:id="122"/>
      <w:bookmarkEnd w:id="123"/>
      <w:bookmarkEnd w:id="124"/>
      <w:bookmarkEnd w:id="125"/>
      <w:r>
        <w:rPr>
          <w:rStyle w:val="40"/>
          <w:rFonts w:hint="eastAsia"/>
          <w:color w:val="auto"/>
          <w:highlight w:val="none"/>
        </w:rPr>
        <w:t xml:space="preserve"> </w:t>
      </w:r>
    </w:p>
    <w:p w14:paraId="686FDAE3">
      <w:pPr>
        <w:pStyle w:val="31"/>
        <w:spacing w:before="93" w:beforeLines="39" w:beforeAutospacing="0" w:after="74" w:afterLines="31" w:afterAutospacing="0" w:line="360" w:lineRule="auto"/>
        <w:ind w:firstLine="480" w:firstLineChars="200"/>
        <w:outlineLvl w:val="2"/>
        <w:rPr>
          <w:rStyle w:val="40"/>
          <w:rFonts w:hint="eastAsia" w:eastAsia="宋体"/>
          <w:b w:val="0"/>
          <w:bCs/>
          <w:color w:val="auto"/>
          <w:highlight w:val="none"/>
          <w:lang w:eastAsia="zh-CN"/>
        </w:rPr>
      </w:pPr>
      <w:bookmarkStart w:id="126" w:name="_Toc5528"/>
      <w:bookmarkStart w:id="127" w:name="_Toc13661"/>
      <w:bookmarkStart w:id="128" w:name="_Toc8567"/>
      <w:r>
        <w:rPr>
          <w:rStyle w:val="40"/>
          <w:rFonts w:hint="eastAsia"/>
          <w:b w:val="0"/>
          <w:bCs/>
          <w:color w:val="auto"/>
          <w:highlight w:val="none"/>
        </w:rPr>
        <w:t>开启时间：</w:t>
      </w:r>
      <w:bookmarkEnd w:id="126"/>
      <w:bookmarkEnd w:id="127"/>
      <w:bookmarkEnd w:id="128"/>
      <w:r>
        <w:rPr>
          <w:rStyle w:val="40"/>
          <w:rFonts w:hint="eastAsia" w:ascii="Times New Roman" w:hAnsi="Times New Roman"/>
          <w:b w:val="0"/>
          <w:bCs/>
          <w:color w:val="auto"/>
          <w:highlight w:val="none"/>
          <w:lang w:eastAsia="zh-CN"/>
        </w:rPr>
        <w:t>2025年</w:t>
      </w:r>
      <w:r>
        <w:rPr>
          <w:rStyle w:val="40"/>
          <w:rFonts w:hint="eastAsia" w:ascii="Times New Roman" w:hAnsi="Times New Roman"/>
          <w:b w:val="0"/>
          <w:bCs/>
          <w:color w:val="auto"/>
          <w:highlight w:val="none"/>
          <w:lang w:val="en-US" w:eastAsia="zh-CN"/>
        </w:rPr>
        <w:t>07</w:t>
      </w:r>
      <w:r>
        <w:rPr>
          <w:rStyle w:val="40"/>
          <w:rFonts w:hint="eastAsia" w:ascii="Times New Roman" w:hAnsi="Times New Roman"/>
          <w:b w:val="0"/>
          <w:bCs/>
          <w:color w:val="auto"/>
          <w:highlight w:val="none"/>
          <w:lang w:eastAsia="zh-CN"/>
        </w:rPr>
        <w:t>月</w:t>
      </w:r>
      <w:r>
        <w:rPr>
          <w:rStyle w:val="40"/>
          <w:rFonts w:hint="eastAsia" w:ascii="Times New Roman" w:hAnsi="Times New Roman"/>
          <w:b w:val="0"/>
          <w:bCs/>
          <w:color w:val="auto"/>
          <w:highlight w:val="none"/>
          <w:lang w:val="en-US" w:eastAsia="zh-CN"/>
        </w:rPr>
        <w:t>18</w:t>
      </w:r>
      <w:r>
        <w:rPr>
          <w:rStyle w:val="40"/>
          <w:rFonts w:hint="eastAsia" w:ascii="Times New Roman" w:hAnsi="Times New Roman"/>
          <w:b w:val="0"/>
          <w:bCs/>
          <w:color w:val="auto"/>
          <w:highlight w:val="none"/>
          <w:lang w:eastAsia="zh-CN"/>
        </w:rPr>
        <w:t>日</w:t>
      </w:r>
      <w:r>
        <w:rPr>
          <w:rStyle w:val="40"/>
          <w:rFonts w:hint="eastAsia" w:ascii="Times New Roman" w:hAnsi="Times New Roman"/>
          <w:b w:val="0"/>
          <w:bCs/>
          <w:color w:val="auto"/>
          <w:highlight w:val="none"/>
          <w:lang w:val="en-US" w:eastAsia="zh-CN"/>
        </w:rPr>
        <w:t>16</w:t>
      </w:r>
      <w:r>
        <w:rPr>
          <w:rStyle w:val="40"/>
          <w:rFonts w:hint="eastAsia" w:ascii="Times New Roman" w:hAnsi="Times New Roman"/>
          <w:b w:val="0"/>
          <w:bCs/>
          <w:color w:val="auto"/>
          <w:highlight w:val="none"/>
          <w:lang w:eastAsia="zh-CN"/>
        </w:rPr>
        <w:t>:</w:t>
      </w:r>
      <w:r>
        <w:rPr>
          <w:rStyle w:val="40"/>
          <w:rFonts w:hint="eastAsia" w:ascii="Times New Roman" w:hAnsi="Times New Roman"/>
          <w:b w:val="0"/>
          <w:bCs/>
          <w:color w:val="auto"/>
          <w:highlight w:val="none"/>
          <w:lang w:val="en-US" w:eastAsia="zh-CN"/>
        </w:rPr>
        <w:t>30</w:t>
      </w:r>
      <w:r>
        <w:rPr>
          <w:rStyle w:val="40"/>
          <w:rFonts w:hint="eastAsia" w:ascii="Times New Roman" w:hAnsi="Times New Roman"/>
          <w:b w:val="0"/>
          <w:bCs/>
          <w:color w:val="auto"/>
          <w:highlight w:val="none"/>
          <w:lang w:eastAsia="zh-CN"/>
        </w:rPr>
        <w:t>（北京时间）</w:t>
      </w:r>
    </w:p>
    <w:p w14:paraId="2EF1189A">
      <w:pPr>
        <w:pStyle w:val="31"/>
        <w:spacing w:before="93" w:beforeLines="39" w:beforeAutospacing="0" w:after="74" w:afterLines="31" w:afterAutospacing="0" w:line="360" w:lineRule="auto"/>
        <w:ind w:firstLine="480" w:firstLineChars="200"/>
        <w:outlineLvl w:val="1"/>
        <w:rPr>
          <w:rStyle w:val="40"/>
          <w:rFonts w:hint="eastAsia"/>
          <w:b w:val="0"/>
          <w:bCs/>
          <w:color w:val="auto"/>
          <w:highlight w:val="none"/>
        </w:rPr>
      </w:pPr>
      <w:bookmarkStart w:id="129" w:name="_Toc31918"/>
      <w:bookmarkStart w:id="130" w:name="_Toc17731"/>
      <w:bookmarkStart w:id="131" w:name="_Toc4336"/>
      <w:bookmarkStart w:id="132" w:name="_Toc19429"/>
      <w:r>
        <w:rPr>
          <w:rStyle w:val="40"/>
          <w:rFonts w:hint="eastAsia"/>
          <w:b w:val="0"/>
          <w:bCs/>
          <w:color w:val="auto"/>
          <w:highlight w:val="none"/>
        </w:rPr>
        <w:t>地点：供应商登录政采云平台https://www.zcygov.cn/进入项目采购“开标评标”右边选择对应项目点击“进入项目”进入开标大厅。</w:t>
      </w:r>
      <w:bookmarkEnd w:id="129"/>
      <w:bookmarkEnd w:id="130"/>
      <w:bookmarkEnd w:id="131"/>
      <w:bookmarkEnd w:id="132"/>
      <w:r>
        <w:rPr>
          <w:rStyle w:val="40"/>
          <w:rFonts w:hint="eastAsia"/>
          <w:b w:val="0"/>
          <w:bCs/>
          <w:color w:val="auto"/>
          <w:highlight w:val="none"/>
        </w:rPr>
        <w:t xml:space="preserve"> </w:t>
      </w:r>
    </w:p>
    <w:p w14:paraId="288AD53B">
      <w:pPr>
        <w:pStyle w:val="31"/>
        <w:spacing w:before="93" w:beforeLines="39" w:beforeAutospacing="0" w:after="74" w:afterLines="31" w:afterAutospacing="0" w:line="360" w:lineRule="auto"/>
        <w:outlineLvl w:val="1"/>
        <w:rPr>
          <w:rStyle w:val="40"/>
          <w:rFonts w:hint="eastAsia"/>
          <w:color w:val="auto"/>
          <w:highlight w:val="none"/>
        </w:rPr>
      </w:pPr>
      <w:bookmarkStart w:id="133" w:name="_Toc4132"/>
      <w:bookmarkStart w:id="134" w:name="_Toc15814"/>
      <w:bookmarkStart w:id="135" w:name="_Toc27627"/>
      <w:bookmarkStart w:id="136" w:name="_Toc21667"/>
      <w:r>
        <w:rPr>
          <w:rStyle w:val="40"/>
          <w:rFonts w:hint="eastAsia"/>
          <w:color w:val="auto"/>
          <w:highlight w:val="none"/>
        </w:rPr>
        <w:t>六、公告期限</w:t>
      </w:r>
      <w:bookmarkEnd w:id="133"/>
      <w:bookmarkEnd w:id="134"/>
      <w:bookmarkEnd w:id="135"/>
      <w:bookmarkEnd w:id="136"/>
    </w:p>
    <w:p w14:paraId="52D94E55">
      <w:pPr>
        <w:pStyle w:val="31"/>
        <w:spacing w:before="93" w:beforeLines="39" w:beforeAutospacing="0" w:after="74" w:afterLines="31" w:afterAutospacing="0" w:line="360" w:lineRule="auto"/>
        <w:ind w:firstLine="480" w:firstLineChars="200"/>
        <w:outlineLvl w:val="2"/>
        <w:rPr>
          <w:rStyle w:val="40"/>
          <w:rFonts w:hint="eastAsia"/>
          <w:b w:val="0"/>
          <w:bCs/>
          <w:color w:val="auto"/>
          <w:highlight w:val="none"/>
        </w:rPr>
      </w:pPr>
      <w:bookmarkStart w:id="137" w:name="_Toc27374"/>
      <w:bookmarkStart w:id="138" w:name="_Toc3192"/>
      <w:bookmarkStart w:id="139" w:name="_Toc25701"/>
      <w:r>
        <w:rPr>
          <w:rStyle w:val="40"/>
          <w:rFonts w:hint="eastAsia"/>
          <w:b w:val="0"/>
          <w:bCs/>
          <w:color w:val="auto"/>
          <w:highlight w:val="none"/>
        </w:rPr>
        <w:t>自本公告发布之日起</w:t>
      </w:r>
      <w:r>
        <w:rPr>
          <w:rStyle w:val="40"/>
          <w:rFonts w:hint="eastAsia"/>
          <w:b w:val="0"/>
          <w:bCs/>
          <w:color w:val="auto"/>
          <w:highlight w:val="none"/>
          <w:u w:val="single"/>
        </w:rPr>
        <w:t>5</w:t>
      </w:r>
      <w:r>
        <w:rPr>
          <w:rStyle w:val="40"/>
          <w:rFonts w:hint="eastAsia"/>
          <w:b w:val="0"/>
          <w:bCs/>
          <w:color w:val="auto"/>
          <w:highlight w:val="none"/>
        </w:rPr>
        <w:t>个工作日。</w:t>
      </w:r>
      <w:bookmarkEnd w:id="137"/>
      <w:bookmarkEnd w:id="138"/>
      <w:bookmarkEnd w:id="139"/>
    </w:p>
    <w:p w14:paraId="44A25926">
      <w:pPr>
        <w:pStyle w:val="31"/>
        <w:spacing w:before="93" w:beforeLines="39" w:beforeAutospacing="0" w:after="74" w:afterLines="31" w:afterAutospacing="0" w:line="360" w:lineRule="auto"/>
        <w:outlineLvl w:val="1"/>
        <w:rPr>
          <w:rStyle w:val="40"/>
          <w:rFonts w:hint="eastAsia"/>
          <w:color w:val="auto"/>
          <w:highlight w:val="none"/>
        </w:rPr>
      </w:pPr>
      <w:bookmarkStart w:id="140" w:name="_Toc3043"/>
      <w:bookmarkStart w:id="141" w:name="_Toc28763"/>
      <w:bookmarkStart w:id="142" w:name="_Toc26317"/>
      <w:bookmarkStart w:id="143" w:name="_Toc7285"/>
      <w:r>
        <w:rPr>
          <w:rStyle w:val="40"/>
          <w:rFonts w:hint="eastAsia"/>
          <w:color w:val="auto"/>
          <w:highlight w:val="none"/>
        </w:rPr>
        <w:t>七、其他补充事宜</w:t>
      </w:r>
      <w:bookmarkEnd w:id="140"/>
      <w:bookmarkEnd w:id="141"/>
      <w:bookmarkEnd w:id="142"/>
      <w:bookmarkEnd w:id="143"/>
      <w:r>
        <w:rPr>
          <w:rStyle w:val="40"/>
          <w:rFonts w:hint="eastAsia"/>
          <w:color w:val="auto"/>
          <w:highlight w:val="none"/>
        </w:rPr>
        <w:t xml:space="preserve"> </w:t>
      </w:r>
    </w:p>
    <w:p w14:paraId="2AA2CB68">
      <w:pPr>
        <w:pStyle w:val="31"/>
        <w:spacing w:before="0" w:beforeAutospacing="0" w:after="0" w:afterAutospacing="0" w:line="360" w:lineRule="auto"/>
        <w:ind w:firstLine="480" w:firstLineChars="200"/>
        <w:rPr>
          <w:rStyle w:val="40"/>
          <w:rFonts w:hint="eastAsia"/>
          <w:b w:val="0"/>
          <w:bCs/>
          <w:color w:val="auto"/>
          <w:highlight w:val="none"/>
        </w:rPr>
      </w:pPr>
      <w:r>
        <w:rPr>
          <w:rStyle w:val="40"/>
          <w:rFonts w:hint="eastAsia"/>
          <w:b w:val="0"/>
          <w:bCs/>
          <w:color w:val="auto"/>
          <w:highlight w:val="none"/>
        </w:rPr>
        <w:t>（1）本项目为电子招投标项目，供应商需要使用CA加密设备，凡参加本项目供应商可通过新疆数字证书认证中心官网（https://www.xjca.com.cn）或下载“新疆政务通”APP自行进行线上申领，或前往新疆克拉玛依市克拉玛依区迎宾路75号（中国银行大厦10楼营业部）或新疆克拉玛依市独山子区大庆东路34-3号（美美影城四楼）进行线下办理。如有操作性问题可与政采云在线客服进行咨询，咨询电话：95763。</w:t>
      </w:r>
    </w:p>
    <w:p w14:paraId="7050C6DF">
      <w:pPr>
        <w:pStyle w:val="31"/>
        <w:spacing w:before="0" w:beforeAutospacing="0" w:after="0" w:afterAutospacing="0" w:line="360" w:lineRule="auto"/>
        <w:ind w:firstLine="480" w:firstLineChars="200"/>
        <w:rPr>
          <w:rStyle w:val="40"/>
          <w:rFonts w:hint="eastAsia"/>
          <w:b w:val="0"/>
          <w:bCs/>
          <w:color w:val="auto"/>
          <w:highlight w:val="none"/>
        </w:rPr>
      </w:pPr>
      <w:r>
        <w:rPr>
          <w:rStyle w:val="40"/>
          <w:rFonts w:hint="eastAsia"/>
          <w:b w:val="0"/>
          <w:bCs/>
          <w:color w:val="auto"/>
          <w:highlight w:val="none"/>
        </w:rPr>
        <w:t>（2）本项目实行网上投标，采用电子投标文件，若供应商参与投标，应自行承担投标一切费用。</w:t>
      </w:r>
    </w:p>
    <w:p w14:paraId="6CBE23AC">
      <w:pPr>
        <w:pStyle w:val="31"/>
        <w:spacing w:before="0" w:beforeAutospacing="0" w:after="0" w:afterAutospacing="0" w:line="360" w:lineRule="auto"/>
        <w:ind w:firstLine="480" w:firstLineChars="200"/>
        <w:rPr>
          <w:rStyle w:val="40"/>
          <w:rFonts w:hint="eastAsia"/>
          <w:b w:val="0"/>
          <w:bCs/>
          <w:color w:val="auto"/>
          <w:highlight w:val="none"/>
        </w:rPr>
      </w:pPr>
      <w:r>
        <w:rPr>
          <w:rStyle w:val="40"/>
          <w:rFonts w:hint="eastAsia"/>
          <w:b w:val="0"/>
          <w:bCs/>
          <w:color w:val="auto"/>
          <w:highlight w:val="none"/>
        </w:rPr>
        <w:t>（3）供应商应在开标前确保成为新疆政府采购网正式注册入库供应商，并完成CA数字证书申领。因未注册入库、未办理CA数字证书等原因造成无法投标或投标失败等后果由供应商自行承担。</w:t>
      </w:r>
    </w:p>
    <w:p w14:paraId="49B94E64">
      <w:pPr>
        <w:pStyle w:val="31"/>
        <w:spacing w:before="0" w:beforeAutospacing="0" w:after="0" w:afterAutospacing="0" w:line="360" w:lineRule="auto"/>
        <w:ind w:firstLine="480" w:firstLineChars="200"/>
        <w:rPr>
          <w:rStyle w:val="40"/>
          <w:rFonts w:hint="eastAsia"/>
          <w:b w:val="0"/>
          <w:bCs/>
          <w:color w:val="auto"/>
          <w:highlight w:val="none"/>
        </w:rPr>
      </w:pPr>
      <w:r>
        <w:rPr>
          <w:rStyle w:val="40"/>
          <w:rFonts w:hint="eastAsia"/>
          <w:b w:val="0"/>
          <w:bCs/>
          <w:color w:val="auto"/>
          <w:highlight w:val="none"/>
        </w:rPr>
        <w:t>（4）供应商应使用最新版本的CA驱动和政采云投标客户端，客户端下载、安装完成后，可通过账号密码或CA登录客户端进行响应文件制作。在使用政采云投标客户端时，建议使用谷歌浏览器，电脑配置满足win7+64位以上操作系统（不能用mac或者linux系统）。客户端请至新疆政府采购网（www.ccgp-xinjiang.gov.cn）下载专区查看，如有问题可拨打政采云客户服务热线95763进行咨询。</w:t>
      </w:r>
    </w:p>
    <w:p w14:paraId="7E746929">
      <w:pPr>
        <w:pStyle w:val="31"/>
        <w:spacing w:before="0" w:beforeAutospacing="0" w:after="0" w:afterAutospacing="0" w:line="360" w:lineRule="auto"/>
        <w:ind w:firstLine="480" w:firstLineChars="200"/>
        <w:rPr>
          <w:rStyle w:val="40"/>
          <w:rFonts w:hint="eastAsia"/>
          <w:b w:val="0"/>
          <w:bCs/>
          <w:color w:val="auto"/>
          <w:highlight w:val="none"/>
        </w:rPr>
      </w:pPr>
      <w:r>
        <w:rPr>
          <w:rStyle w:val="40"/>
          <w:rFonts w:hint="eastAsia"/>
          <w:b w:val="0"/>
          <w:bCs/>
          <w:color w:val="auto"/>
          <w:highlight w:val="none"/>
        </w:rPr>
        <w:t>（5）供应商应当在投标截止时间前，将生成的“电子加密投标文件”上传递交至“政府采购云平台”，投标截止时间以后上传递交的投标文件将被“政府采购云平台”拒收。</w:t>
      </w:r>
    </w:p>
    <w:p w14:paraId="7E9DBA75">
      <w:pPr>
        <w:pStyle w:val="31"/>
        <w:spacing w:before="0" w:beforeAutospacing="0" w:after="0" w:afterAutospacing="0" w:line="360" w:lineRule="auto"/>
        <w:ind w:firstLine="480" w:firstLineChars="200"/>
        <w:rPr>
          <w:rStyle w:val="40"/>
          <w:rFonts w:hint="eastAsia"/>
          <w:b w:val="0"/>
          <w:bCs/>
          <w:color w:val="auto"/>
          <w:highlight w:val="none"/>
        </w:rPr>
      </w:pPr>
      <w:r>
        <w:rPr>
          <w:rStyle w:val="40"/>
          <w:rFonts w:hint="eastAsia"/>
          <w:b w:val="0"/>
          <w:bCs/>
          <w:color w:val="auto"/>
          <w:highlight w:val="none"/>
        </w:rPr>
        <w:t>（6）供应商登录政采云平台，在开标时间后30分钟内用“项目采购－开标评标”功能进行解密投标文件。若供应商在规定时间内未按时解密的，视为无效投标。解密与加密投标文件须使用同一个CA。</w:t>
      </w:r>
    </w:p>
    <w:p w14:paraId="2D91ED32">
      <w:pPr>
        <w:pStyle w:val="31"/>
        <w:spacing w:before="0" w:beforeAutospacing="0" w:after="0" w:afterAutospacing="0" w:line="360" w:lineRule="auto"/>
        <w:ind w:firstLine="480" w:firstLineChars="200"/>
        <w:rPr>
          <w:rFonts w:hint="eastAsia"/>
          <w:color w:val="auto"/>
          <w:highlight w:val="none"/>
        </w:rPr>
      </w:pPr>
      <w:r>
        <w:rPr>
          <w:rFonts w:hint="eastAsia"/>
          <w:color w:val="auto"/>
          <w:highlight w:val="none"/>
        </w:rPr>
        <w:t>特别提示：</w:t>
      </w:r>
    </w:p>
    <w:p w14:paraId="0AAE0C61">
      <w:pPr>
        <w:pStyle w:val="31"/>
        <w:spacing w:before="0" w:beforeAutospacing="0" w:after="0" w:afterAutospacing="0" w:line="360" w:lineRule="auto"/>
        <w:ind w:firstLine="480" w:firstLineChars="200"/>
        <w:rPr>
          <w:rFonts w:hint="eastAsia"/>
          <w:color w:val="auto"/>
          <w:highlight w:val="none"/>
        </w:rPr>
      </w:pPr>
      <w:r>
        <w:rPr>
          <w:rFonts w:hint="eastAsia"/>
          <w:color w:val="auto"/>
          <w:highlight w:val="none"/>
        </w:rPr>
        <w:t>1、采购限额标准以上，200万元以下的货物和服务采购项目、400万元以下的工程采购项目，适宜由中小企业提供的，采购人应当专门面向中小企业采购。</w:t>
      </w:r>
    </w:p>
    <w:p w14:paraId="4B4FA263">
      <w:pPr>
        <w:pStyle w:val="31"/>
        <w:spacing w:before="0" w:beforeAutospacing="0" w:after="0" w:afterAutospacing="0" w:line="360" w:lineRule="auto"/>
        <w:ind w:firstLine="480" w:firstLineChars="200"/>
        <w:rPr>
          <w:rFonts w:hint="eastAsia"/>
          <w:color w:val="auto"/>
          <w:highlight w:val="none"/>
        </w:rPr>
      </w:pPr>
      <w:r>
        <w:rPr>
          <w:rFonts w:hint="eastAsia"/>
          <w:color w:val="auto"/>
          <w:highlight w:val="none"/>
        </w:rPr>
        <w:t>2、超过200万元的货物和服务采购项目，预留该部分采购项目预算总额的30%以上专门面向中小企业采购，其中预留给小微企业的比例不低于60%。</w:t>
      </w:r>
    </w:p>
    <w:p w14:paraId="477F7DD5">
      <w:pPr>
        <w:pStyle w:val="31"/>
        <w:spacing w:before="0" w:beforeAutospacing="0" w:after="0" w:afterAutospacing="0" w:line="360" w:lineRule="auto"/>
        <w:ind w:firstLine="480" w:firstLineChars="200"/>
        <w:rPr>
          <w:rFonts w:hint="eastAsia"/>
          <w:color w:val="auto"/>
          <w:highlight w:val="none"/>
        </w:rPr>
      </w:pPr>
      <w:r>
        <w:rPr>
          <w:rFonts w:hint="eastAsia"/>
          <w:color w:val="auto"/>
          <w:highlight w:val="none"/>
        </w:rPr>
        <w:t>3、超过400万元的工程采购项目中适宜由中小企业提供的，预留该部分采购项目预算总额的40%以上专门面向中小企业采购，其中预留给小微企业的比例不低于60%。</w:t>
      </w:r>
    </w:p>
    <w:p w14:paraId="1E521048">
      <w:pPr>
        <w:pStyle w:val="31"/>
        <w:spacing w:before="0" w:beforeAutospacing="0" w:after="0" w:afterAutospacing="0" w:line="360" w:lineRule="auto"/>
        <w:ind w:firstLine="480" w:firstLineChars="200"/>
        <w:rPr>
          <w:rFonts w:hint="eastAsia"/>
          <w:color w:val="auto"/>
          <w:highlight w:val="none"/>
        </w:rPr>
      </w:pPr>
      <w:r>
        <w:rPr>
          <w:rFonts w:hint="eastAsia"/>
          <w:color w:val="auto"/>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4EF2308">
      <w:pPr>
        <w:pStyle w:val="31"/>
        <w:spacing w:before="0" w:beforeAutospacing="0" w:after="0" w:afterAutospacing="0" w:line="360" w:lineRule="auto"/>
        <w:ind w:firstLine="480" w:firstLineChars="200"/>
        <w:rPr>
          <w:rStyle w:val="40"/>
          <w:rFonts w:hint="eastAsia"/>
          <w:color w:val="auto"/>
          <w:highlight w:val="none"/>
        </w:rPr>
      </w:pPr>
      <w:r>
        <w:rPr>
          <w:rFonts w:hint="eastAsia"/>
          <w:color w:val="auto"/>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0EBAA1A">
      <w:pPr>
        <w:pStyle w:val="31"/>
        <w:spacing w:before="93" w:beforeLines="39" w:beforeAutospacing="0" w:after="74" w:afterLines="31" w:afterAutospacing="0"/>
        <w:rPr>
          <w:rStyle w:val="40"/>
          <w:rFonts w:hint="eastAsia"/>
          <w:color w:val="auto"/>
          <w:highlight w:val="none"/>
        </w:rPr>
      </w:pPr>
    </w:p>
    <w:p w14:paraId="486718B5">
      <w:pPr>
        <w:pStyle w:val="31"/>
        <w:spacing w:before="93" w:beforeLines="39" w:beforeAutospacing="0" w:after="74" w:afterLines="31" w:afterAutospacing="0" w:line="360" w:lineRule="auto"/>
        <w:outlineLvl w:val="1"/>
        <w:rPr>
          <w:rStyle w:val="40"/>
          <w:rFonts w:hint="eastAsia"/>
          <w:color w:val="auto"/>
          <w:highlight w:val="none"/>
        </w:rPr>
      </w:pPr>
      <w:bookmarkStart w:id="144" w:name="_Toc9929"/>
      <w:bookmarkStart w:id="145" w:name="_Toc12090"/>
      <w:bookmarkStart w:id="146" w:name="_Toc30275"/>
      <w:bookmarkStart w:id="147" w:name="_Toc20011"/>
      <w:r>
        <w:rPr>
          <w:rStyle w:val="40"/>
          <w:rFonts w:hint="eastAsia"/>
          <w:color w:val="auto"/>
          <w:highlight w:val="none"/>
        </w:rPr>
        <w:t>八、凡对本次招标提出询问，请按以下方式联系</w:t>
      </w:r>
      <w:bookmarkEnd w:id="144"/>
      <w:bookmarkEnd w:id="145"/>
      <w:bookmarkEnd w:id="146"/>
      <w:bookmarkEnd w:id="147"/>
    </w:p>
    <w:p w14:paraId="32BE6E77">
      <w:pPr>
        <w:pStyle w:val="31"/>
        <w:spacing w:before="93" w:beforeLines="39" w:beforeAutospacing="0" w:after="74" w:afterLines="31" w:afterAutospacing="0" w:line="360" w:lineRule="auto"/>
        <w:ind w:firstLine="480" w:firstLineChars="200"/>
        <w:outlineLvl w:val="2"/>
        <w:rPr>
          <w:rStyle w:val="40"/>
          <w:rFonts w:hint="eastAsia"/>
          <w:b w:val="0"/>
          <w:bCs/>
          <w:color w:val="auto"/>
          <w:highlight w:val="none"/>
        </w:rPr>
      </w:pPr>
      <w:bookmarkStart w:id="148" w:name="_Toc18447"/>
      <w:bookmarkStart w:id="149" w:name="_Toc14227"/>
      <w:bookmarkStart w:id="150" w:name="_Toc19722"/>
      <w:r>
        <w:rPr>
          <w:rStyle w:val="40"/>
          <w:rFonts w:hint="eastAsia"/>
          <w:b w:val="0"/>
          <w:bCs/>
          <w:color w:val="auto"/>
          <w:highlight w:val="none"/>
        </w:rPr>
        <w:t>1.采购人信息</w:t>
      </w:r>
      <w:bookmarkEnd w:id="148"/>
      <w:bookmarkEnd w:id="149"/>
      <w:bookmarkEnd w:id="150"/>
    </w:p>
    <w:p w14:paraId="346B2BBF">
      <w:pPr>
        <w:pStyle w:val="31"/>
        <w:spacing w:before="93" w:beforeLines="39" w:beforeAutospacing="0" w:after="74" w:afterLines="31" w:afterAutospacing="0" w:line="360" w:lineRule="auto"/>
        <w:ind w:firstLine="480" w:firstLineChars="200"/>
        <w:outlineLvl w:val="3"/>
        <w:rPr>
          <w:rStyle w:val="40"/>
          <w:rFonts w:hint="eastAsia"/>
          <w:b w:val="0"/>
          <w:bCs/>
          <w:color w:val="auto"/>
          <w:sz w:val="22"/>
          <w:szCs w:val="22"/>
          <w:highlight w:val="none"/>
        </w:rPr>
      </w:pPr>
      <w:bookmarkStart w:id="151" w:name="_Toc7233"/>
      <w:bookmarkStart w:id="152" w:name="_Toc18331"/>
      <w:bookmarkStart w:id="153" w:name="_Toc6640"/>
      <w:r>
        <w:rPr>
          <w:rStyle w:val="40"/>
          <w:rFonts w:hint="eastAsia"/>
          <w:b w:val="0"/>
          <w:bCs/>
          <w:color w:val="auto"/>
          <w:highlight w:val="none"/>
        </w:rPr>
        <w:t>名 称：</w:t>
      </w:r>
      <w:bookmarkEnd w:id="151"/>
      <w:bookmarkEnd w:id="152"/>
      <w:bookmarkEnd w:id="153"/>
      <w:r>
        <w:rPr>
          <w:rFonts w:hint="eastAsia" w:ascii="宋体" w:hAnsi="宋体" w:eastAsia="宋体" w:cs="宋体"/>
          <w:color w:val="auto"/>
          <w:sz w:val="24"/>
          <w:szCs w:val="24"/>
          <w:highlight w:val="none"/>
          <w:lang w:eastAsia="zh-CN"/>
        </w:rPr>
        <w:t>克拉玛依市独山子区农业和水务局</w:t>
      </w:r>
    </w:p>
    <w:p w14:paraId="0B314F75">
      <w:pPr>
        <w:pStyle w:val="31"/>
        <w:spacing w:before="93" w:beforeLines="39" w:beforeAutospacing="0" w:after="74" w:afterLines="31" w:afterAutospacing="0" w:line="360" w:lineRule="auto"/>
        <w:ind w:firstLine="480" w:firstLineChars="200"/>
        <w:outlineLvl w:val="1"/>
        <w:rPr>
          <w:rFonts w:hint="eastAsia" w:cs="宋体"/>
          <w:b w:val="0"/>
          <w:bCs w:val="0"/>
          <w:color w:val="auto"/>
          <w:kern w:val="2"/>
          <w:sz w:val="24"/>
          <w:szCs w:val="24"/>
          <w:highlight w:val="none"/>
          <w:lang w:val="en-US" w:eastAsia="zh-CN" w:bidi="ar-SA"/>
        </w:rPr>
      </w:pPr>
      <w:bookmarkStart w:id="154" w:name="_Toc19668"/>
      <w:bookmarkStart w:id="155" w:name="_Toc18881"/>
      <w:bookmarkStart w:id="156" w:name="_Toc18714"/>
      <w:bookmarkStart w:id="157" w:name="_Toc23495"/>
      <w:r>
        <w:rPr>
          <w:rStyle w:val="40"/>
          <w:rFonts w:hint="eastAsia"/>
          <w:b w:val="0"/>
          <w:bCs/>
          <w:color w:val="auto"/>
          <w:highlight w:val="none"/>
        </w:rPr>
        <w:t>地 址：</w:t>
      </w:r>
      <w:bookmarkEnd w:id="154"/>
      <w:bookmarkEnd w:id="155"/>
      <w:bookmarkEnd w:id="156"/>
      <w:bookmarkEnd w:id="157"/>
      <w:bookmarkStart w:id="158" w:name="_Toc29411"/>
      <w:bookmarkStart w:id="159" w:name="_Toc15241"/>
      <w:bookmarkStart w:id="160" w:name="_Toc10145"/>
      <w:bookmarkStart w:id="161" w:name="_Toc22501"/>
      <w:r>
        <w:rPr>
          <w:rFonts w:hint="eastAsia" w:cs="宋体"/>
          <w:b w:val="0"/>
          <w:bCs w:val="0"/>
          <w:color w:val="auto"/>
          <w:kern w:val="2"/>
          <w:sz w:val="24"/>
          <w:szCs w:val="24"/>
          <w:highlight w:val="none"/>
          <w:lang w:val="en-US" w:eastAsia="zh-CN" w:bidi="ar-SA"/>
        </w:rPr>
        <w:t>克拉玛依市独山子区和田路1号</w:t>
      </w:r>
    </w:p>
    <w:p w14:paraId="470820A9">
      <w:pPr>
        <w:pStyle w:val="31"/>
        <w:spacing w:before="93" w:beforeLines="39" w:beforeAutospacing="0" w:after="74" w:afterLines="31" w:afterAutospacing="0" w:line="360" w:lineRule="auto"/>
        <w:ind w:firstLine="480" w:firstLineChars="200"/>
        <w:outlineLvl w:val="1"/>
        <w:rPr>
          <w:rStyle w:val="40"/>
          <w:rFonts w:hint="default" w:ascii="Times New Roman" w:hAnsi="Times New Roman" w:eastAsia="宋体" w:cs="Times New Roman"/>
          <w:b w:val="0"/>
          <w:bCs w:val="0"/>
          <w:color w:val="auto"/>
          <w:highlight w:val="none"/>
          <w:lang w:val="en-US" w:eastAsia="zh-CN"/>
        </w:rPr>
      </w:pPr>
      <w:r>
        <w:rPr>
          <w:rStyle w:val="40"/>
          <w:rFonts w:hint="eastAsia" w:ascii="Times New Roman" w:hAnsi="Times New Roman" w:eastAsia="宋体" w:cs="Times New Roman"/>
          <w:b w:val="0"/>
          <w:bCs w:val="0"/>
          <w:color w:val="auto"/>
          <w:highlight w:val="none"/>
        </w:rPr>
        <w:t>联系方式：</w:t>
      </w:r>
      <w:bookmarkEnd w:id="158"/>
      <w:bookmarkEnd w:id="159"/>
      <w:bookmarkEnd w:id="160"/>
      <w:bookmarkEnd w:id="161"/>
      <w:r>
        <w:rPr>
          <w:rStyle w:val="40"/>
          <w:rFonts w:hint="eastAsia" w:ascii="Times New Roman" w:hAnsi="Times New Roman" w:cs="Times New Roman"/>
          <w:b w:val="0"/>
          <w:bCs w:val="0"/>
          <w:color w:val="auto"/>
          <w:highlight w:val="none"/>
          <w:lang w:val="en-US" w:eastAsia="zh-CN"/>
        </w:rPr>
        <w:t>尹先生</w:t>
      </w:r>
      <w:r>
        <w:rPr>
          <w:rStyle w:val="40"/>
          <w:rFonts w:hint="eastAsia" w:ascii="Times New Roman" w:hAnsi="Times New Roman" w:eastAsia="宋体" w:cs="Times New Roman"/>
          <w:b w:val="0"/>
          <w:bCs w:val="0"/>
          <w:color w:val="auto"/>
          <w:highlight w:val="none"/>
        </w:rPr>
        <w:t xml:space="preserve"> </w:t>
      </w:r>
      <w:r>
        <w:rPr>
          <w:rStyle w:val="40"/>
          <w:rFonts w:hint="eastAsia" w:ascii="Times New Roman" w:hAnsi="Times New Roman" w:eastAsia="宋体" w:cs="Times New Roman"/>
          <w:b w:val="0"/>
          <w:bCs w:val="0"/>
          <w:color w:val="auto"/>
          <w:highlight w:val="none"/>
          <w:lang w:eastAsia="zh-CN"/>
        </w:rPr>
        <w:t>189</w:t>
      </w:r>
      <w:r>
        <w:rPr>
          <w:rStyle w:val="40"/>
          <w:rFonts w:hint="eastAsia" w:ascii="Times New Roman" w:hAnsi="Times New Roman" w:eastAsia="宋体" w:cs="Times New Roman"/>
          <w:b w:val="0"/>
          <w:bCs w:val="0"/>
          <w:color w:val="auto"/>
          <w:highlight w:val="none"/>
          <w:lang w:val="en-US" w:eastAsia="zh-CN"/>
        </w:rPr>
        <w:t>97705214</w:t>
      </w:r>
    </w:p>
    <w:p w14:paraId="5E318243">
      <w:pPr>
        <w:pStyle w:val="31"/>
        <w:spacing w:before="93" w:beforeLines="39" w:beforeAutospacing="0" w:after="74" w:afterLines="31" w:afterAutospacing="0" w:line="360" w:lineRule="auto"/>
        <w:ind w:firstLine="480" w:firstLineChars="200"/>
        <w:rPr>
          <w:rStyle w:val="40"/>
          <w:rFonts w:hint="eastAsia"/>
          <w:b w:val="0"/>
          <w:bCs/>
          <w:color w:val="auto"/>
          <w:highlight w:val="none"/>
        </w:rPr>
      </w:pPr>
    </w:p>
    <w:p w14:paraId="2F8F33D7">
      <w:pPr>
        <w:pStyle w:val="31"/>
        <w:spacing w:before="93" w:beforeLines="39" w:beforeAutospacing="0" w:after="74" w:afterLines="31" w:afterAutospacing="0" w:line="360" w:lineRule="auto"/>
        <w:ind w:firstLine="480" w:firstLineChars="200"/>
        <w:outlineLvl w:val="2"/>
        <w:rPr>
          <w:rStyle w:val="40"/>
          <w:rFonts w:hint="eastAsia"/>
          <w:b w:val="0"/>
          <w:bCs/>
          <w:color w:val="auto"/>
          <w:highlight w:val="none"/>
        </w:rPr>
      </w:pPr>
      <w:bookmarkStart w:id="162" w:name="_Toc27898"/>
      <w:bookmarkStart w:id="163" w:name="_Toc14852"/>
      <w:bookmarkStart w:id="164" w:name="_Toc7270"/>
      <w:r>
        <w:rPr>
          <w:rStyle w:val="40"/>
          <w:rFonts w:hint="eastAsia"/>
          <w:b w:val="0"/>
          <w:bCs/>
          <w:color w:val="auto"/>
          <w:highlight w:val="none"/>
        </w:rPr>
        <w:t>2.采购代理机构信息</w:t>
      </w:r>
      <w:bookmarkEnd w:id="162"/>
      <w:bookmarkEnd w:id="163"/>
      <w:bookmarkEnd w:id="164"/>
    </w:p>
    <w:p w14:paraId="3E92682B">
      <w:pPr>
        <w:pStyle w:val="31"/>
        <w:spacing w:before="93" w:beforeLines="39" w:beforeAutospacing="0" w:after="74" w:afterLines="31" w:afterAutospacing="0" w:line="360" w:lineRule="auto"/>
        <w:ind w:firstLine="480" w:firstLineChars="200"/>
        <w:outlineLvl w:val="3"/>
        <w:rPr>
          <w:rStyle w:val="40"/>
          <w:rFonts w:hint="eastAsia"/>
          <w:b w:val="0"/>
          <w:bCs/>
          <w:color w:val="auto"/>
          <w:highlight w:val="none"/>
        </w:rPr>
      </w:pPr>
      <w:bookmarkStart w:id="165" w:name="_Toc7218"/>
      <w:bookmarkStart w:id="166" w:name="_Toc15526"/>
      <w:bookmarkStart w:id="167" w:name="_Toc27014"/>
      <w:r>
        <w:rPr>
          <w:rStyle w:val="40"/>
          <w:rFonts w:hint="eastAsia"/>
          <w:b w:val="0"/>
          <w:bCs/>
          <w:color w:val="auto"/>
          <w:highlight w:val="none"/>
        </w:rPr>
        <w:t>名 称：新疆元誉工程项目管理有限公司</w:t>
      </w:r>
      <w:bookmarkEnd w:id="165"/>
      <w:bookmarkEnd w:id="166"/>
      <w:bookmarkEnd w:id="167"/>
    </w:p>
    <w:p w14:paraId="691F0F84">
      <w:pPr>
        <w:pStyle w:val="31"/>
        <w:spacing w:before="93" w:beforeLines="39" w:beforeAutospacing="0" w:after="74" w:afterLines="31" w:afterAutospacing="0" w:line="360" w:lineRule="auto"/>
        <w:ind w:firstLine="480" w:firstLineChars="200"/>
        <w:outlineLvl w:val="1"/>
        <w:rPr>
          <w:rStyle w:val="40"/>
          <w:rFonts w:hint="eastAsia"/>
          <w:b w:val="0"/>
          <w:bCs/>
          <w:color w:val="auto"/>
          <w:highlight w:val="none"/>
        </w:rPr>
      </w:pPr>
      <w:bookmarkStart w:id="168" w:name="_Toc24815"/>
      <w:bookmarkStart w:id="169" w:name="_Toc13640"/>
      <w:bookmarkStart w:id="170" w:name="_Toc10864"/>
      <w:bookmarkStart w:id="171" w:name="_Toc31790"/>
      <w:r>
        <w:rPr>
          <w:rStyle w:val="40"/>
          <w:rFonts w:hint="eastAsia"/>
          <w:b w:val="0"/>
          <w:bCs/>
          <w:color w:val="auto"/>
          <w:highlight w:val="none"/>
        </w:rPr>
        <w:t>地 址：新疆克拉玛依市克拉玛依区胜利路26号33栋215室</w:t>
      </w:r>
      <w:bookmarkEnd w:id="168"/>
      <w:bookmarkEnd w:id="169"/>
      <w:bookmarkEnd w:id="170"/>
      <w:bookmarkEnd w:id="171"/>
    </w:p>
    <w:p w14:paraId="5A0444F8">
      <w:pPr>
        <w:pStyle w:val="31"/>
        <w:spacing w:before="93" w:beforeLines="39" w:beforeAutospacing="0" w:after="74" w:afterLines="31" w:afterAutospacing="0" w:line="360" w:lineRule="auto"/>
        <w:ind w:firstLine="480" w:firstLineChars="200"/>
        <w:outlineLvl w:val="1"/>
        <w:rPr>
          <w:rStyle w:val="40"/>
          <w:rFonts w:hint="eastAsia" w:eastAsia="宋体"/>
          <w:b w:val="0"/>
          <w:bCs/>
          <w:color w:val="auto"/>
          <w:highlight w:val="none"/>
          <w:lang w:eastAsia="zh-CN"/>
        </w:rPr>
      </w:pPr>
      <w:bookmarkStart w:id="172" w:name="_Toc4351"/>
      <w:bookmarkStart w:id="173" w:name="_Toc14836"/>
      <w:bookmarkStart w:id="174" w:name="_Toc18563"/>
      <w:bookmarkStart w:id="175" w:name="_Toc31456"/>
      <w:r>
        <w:rPr>
          <w:rStyle w:val="40"/>
          <w:rFonts w:hint="eastAsia"/>
          <w:b w:val="0"/>
          <w:bCs/>
          <w:color w:val="auto"/>
          <w:highlight w:val="none"/>
        </w:rPr>
        <w:t>联系方式：</w:t>
      </w:r>
      <w:bookmarkEnd w:id="172"/>
      <w:bookmarkEnd w:id="173"/>
      <w:bookmarkEnd w:id="174"/>
      <w:bookmarkEnd w:id="175"/>
      <w:r>
        <w:rPr>
          <w:rStyle w:val="40"/>
          <w:rFonts w:hint="eastAsia"/>
          <w:b w:val="0"/>
          <w:bCs/>
          <w:color w:val="auto"/>
          <w:highlight w:val="none"/>
          <w:lang w:eastAsia="zh-CN"/>
        </w:rPr>
        <w:t>18999507776</w:t>
      </w:r>
    </w:p>
    <w:p w14:paraId="14040753">
      <w:pPr>
        <w:pStyle w:val="31"/>
        <w:spacing w:before="93" w:beforeLines="39" w:beforeAutospacing="0" w:after="74" w:afterLines="31" w:afterAutospacing="0" w:line="360" w:lineRule="auto"/>
        <w:ind w:firstLine="480" w:firstLineChars="200"/>
        <w:outlineLvl w:val="2"/>
        <w:rPr>
          <w:rStyle w:val="40"/>
          <w:rFonts w:hint="eastAsia"/>
          <w:b w:val="0"/>
          <w:bCs/>
          <w:color w:val="auto"/>
          <w:highlight w:val="none"/>
        </w:rPr>
      </w:pPr>
      <w:bookmarkStart w:id="176" w:name="_Toc32457"/>
      <w:bookmarkStart w:id="177" w:name="_Toc31534"/>
      <w:bookmarkStart w:id="178" w:name="_Toc15861"/>
    </w:p>
    <w:p w14:paraId="2FDAC79F">
      <w:pPr>
        <w:pStyle w:val="31"/>
        <w:spacing w:before="93" w:beforeLines="39" w:beforeAutospacing="0" w:after="74" w:afterLines="31" w:afterAutospacing="0" w:line="360" w:lineRule="auto"/>
        <w:ind w:firstLine="480" w:firstLineChars="200"/>
        <w:outlineLvl w:val="2"/>
        <w:rPr>
          <w:rStyle w:val="40"/>
          <w:rFonts w:hint="eastAsia"/>
          <w:b w:val="0"/>
          <w:bCs/>
          <w:color w:val="auto"/>
          <w:highlight w:val="none"/>
        </w:rPr>
      </w:pPr>
      <w:r>
        <w:rPr>
          <w:rStyle w:val="40"/>
          <w:rFonts w:hint="eastAsia"/>
          <w:b w:val="0"/>
          <w:bCs/>
          <w:color w:val="auto"/>
          <w:highlight w:val="none"/>
        </w:rPr>
        <w:t>3.项目联系方式</w:t>
      </w:r>
      <w:bookmarkEnd w:id="176"/>
      <w:bookmarkEnd w:id="177"/>
      <w:bookmarkEnd w:id="178"/>
    </w:p>
    <w:p w14:paraId="314D4198">
      <w:pPr>
        <w:pStyle w:val="31"/>
        <w:spacing w:before="93" w:beforeLines="39" w:beforeAutospacing="0" w:after="74" w:afterLines="31" w:afterAutospacing="0" w:line="360" w:lineRule="auto"/>
        <w:ind w:firstLine="480" w:firstLineChars="200"/>
        <w:outlineLvl w:val="0"/>
        <w:rPr>
          <w:rStyle w:val="40"/>
          <w:rFonts w:hint="eastAsia" w:eastAsia="宋体"/>
          <w:b w:val="0"/>
          <w:bCs/>
          <w:color w:val="auto"/>
          <w:highlight w:val="none"/>
          <w:lang w:eastAsia="zh-CN"/>
        </w:rPr>
      </w:pPr>
      <w:bookmarkStart w:id="179" w:name="_Toc22514"/>
      <w:bookmarkStart w:id="180" w:name="_Toc20902"/>
      <w:bookmarkStart w:id="181" w:name="_Toc11758"/>
      <w:bookmarkStart w:id="182" w:name="_Toc8886"/>
      <w:r>
        <w:rPr>
          <w:rStyle w:val="40"/>
          <w:rFonts w:hint="eastAsia"/>
          <w:b w:val="0"/>
          <w:bCs/>
          <w:color w:val="auto"/>
          <w:highlight w:val="none"/>
        </w:rPr>
        <w:t>项目联系人：</w:t>
      </w:r>
      <w:bookmarkEnd w:id="179"/>
      <w:bookmarkEnd w:id="180"/>
      <w:bookmarkEnd w:id="181"/>
      <w:bookmarkEnd w:id="182"/>
      <w:r>
        <w:rPr>
          <w:rStyle w:val="40"/>
          <w:rFonts w:hint="eastAsia"/>
          <w:b w:val="0"/>
          <w:bCs/>
          <w:color w:val="auto"/>
          <w:highlight w:val="none"/>
          <w:lang w:eastAsia="zh-CN"/>
        </w:rPr>
        <w:t>程先生</w:t>
      </w:r>
    </w:p>
    <w:p w14:paraId="2A10D848">
      <w:pPr>
        <w:pStyle w:val="31"/>
        <w:spacing w:before="93" w:beforeLines="39" w:beforeAutospacing="0" w:after="74" w:afterLines="31" w:afterAutospacing="0" w:line="360" w:lineRule="auto"/>
        <w:ind w:firstLine="480" w:firstLineChars="200"/>
        <w:outlineLvl w:val="1"/>
        <w:rPr>
          <w:rStyle w:val="40"/>
          <w:rFonts w:hint="eastAsia" w:eastAsia="宋体"/>
          <w:b w:val="0"/>
          <w:bCs/>
          <w:color w:val="auto"/>
          <w:highlight w:val="none"/>
          <w:lang w:eastAsia="zh-CN"/>
        </w:rPr>
      </w:pPr>
      <w:bookmarkStart w:id="183" w:name="_Toc2135"/>
      <w:bookmarkStart w:id="184" w:name="_Toc16438"/>
      <w:bookmarkStart w:id="185" w:name="_Toc17010"/>
      <w:bookmarkStart w:id="186" w:name="_Toc31390"/>
      <w:r>
        <w:rPr>
          <w:rStyle w:val="40"/>
          <w:rFonts w:hint="eastAsia"/>
          <w:b w:val="0"/>
          <w:bCs/>
          <w:color w:val="auto"/>
          <w:highlight w:val="none"/>
        </w:rPr>
        <w:t>电 话：</w:t>
      </w:r>
      <w:bookmarkEnd w:id="183"/>
      <w:bookmarkEnd w:id="184"/>
      <w:bookmarkEnd w:id="185"/>
      <w:bookmarkEnd w:id="186"/>
      <w:r>
        <w:rPr>
          <w:rStyle w:val="40"/>
          <w:rFonts w:hint="eastAsia"/>
          <w:b w:val="0"/>
          <w:bCs/>
          <w:color w:val="auto"/>
          <w:highlight w:val="none"/>
          <w:lang w:eastAsia="zh-CN"/>
        </w:rPr>
        <w:t>18999507776</w:t>
      </w:r>
    </w:p>
    <w:p w14:paraId="774E9737">
      <w:pPr>
        <w:pStyle w:val="31"/>
        <w:spacing w:before="93" w:beforeLines="39" w:beforeAutospacing="0" w:after="74" w:afterLines="31" w:afterAutospacing="0" w:line="360" w:lineRule="auto"/>
        <w:ind w:firstLine="480" w:firstLineChars="200"/>
        <w:outlineLvl w:val="1"/>
        <w:rPr>
          <w:rStyle w:val="40"/>
          <w:rFonts w:hint="eastAsia"/>
          <w:b w:val="0"/>
          <w:bCs/>
          <w:color w:val="auto"/>
          <w:highlight w:val="none"/>
        </w:rPr>
      </w:pPr>
    </w:p>
    <w:p w14:paraId="5E4F8D4F">
      <w:pPr>
        <w:spacing w:line="360" w:lineRule="auto"/>
        <w:jc w:val="center"/>
        <w:outlineLvl w:val="0"/>
        <w:rPr>
          <w:rFonts w:hint="eastAsia" w:ascii="宋体" w:hAnsi="宋体" w:cs="宋体"/>
          <w:bCs/>
          <w:color w:val="auto"/>
          <w:sz w:val="30"/>
          <w:szCs w:val="30"/>
          <w:highlight w:val="none"/>
        </w:rPr>
      </w:pPr>
      <w:r>
        <w:rPr>
          <w:rStyle w:val="40"/>
          <w:rFonts w:hint="eastAsia" w:ascii="宋体" w:hAnsi="宋体" w:cs="宋体"/>
          <w:color w:val="auto"/>
          <w:sz w:val="24"/>
          <w:highlight w:val="none"/>
        </w:rPr>
        <w:br w:type="page"/>
      </w:r>
      <w:bookmarkEnd w:id="26"/>
      <w:bookmarkEnd w:id="27"/>
      <w:bookmarkEnd w:id="28"/>
      <w:bookmarkEnd w:id="29"/>
      <w:bookmarkEnd w:id="30"/>
      <w:bookmarkStart w:id="187" w:name="_Toc20081"/>
      <w:bookmarkStart w:id="188" w:name="_Toc10550"/>
      <w:bookmarkStart w:id="189" w:name="_Toc18399"/>
      <w:bookmarkStart w:id="190" w:name="_Toc2703"/>
      <w:bookmarkStart w:id="191" w:name="_Toc8121"/>
      <w:bookmarkStart w:id="192" w:name="_Toc27679"/>
      <w:bookmarkStart w:id="193" w:name="_Toc16233"/>
      <w:bookmarkStart w:id="194" w:name="_Toc29084"/>
      <w:bookmarkStart w:id="195" w:name="_Toc32025"/>
      <w:bookmarkStart w:id="196" w:name="_Toc23204"/>
      <w:r>
        <w:rPr>
          <w:rFonts w:hint="eastAsia" w:ascii="宋体" w:hAnsi="宋体" w:cs="宋体"/>
          <w:b/>
          <w:color w:val="auto"/>
          <w:sz w:val="32"/>
          <w:szCs w:val="32"/>
          <w:highlight w:val="none"/>
        </w:rPr>
        <w:t>第二章  供应商须知</w:t>
      </w:r>
      <w:bookmarkEnd w:id="187"/>
      <w:bookmarkEnd w:id="188"/>
      <w:bookmarkEnd w:id="189"/>
      <w:bookmarkEnd w:id="190"/>
      <w:bookmarkEnd w:id="191"/>
      <w:bookmarkEnd w:id="192"/>
      <w:bookmarkEnd w:id="193"/>
      <w:bookmarkEnd w:id="194"/>
      <w:bookmarkEnd w:id="195"/>
      <w:bookmarkEnd w:id="196"/>
    </w:p>
    <w:p w14:paraId="6CA9174F">
      <w:pPr>
        <w:pStyle w:val="12"/>
        <w:spacing w:line="360" w:lineRule="auto"/>
        <w:jc w:val="center"/>
        <w:rPr>
          <w:rFonts w:hint="eastAsia" w:ascii="宋体" w:hAnsi="宋体" w:cs="宋体"/>
          <w:color w:val="auto"/>
          <w:sz w:val="30"/>
          <w:szCs w:val="30"/>
          <w:highlight w:val="none"/>
        </w:rPr>
      </w:pPr>
      <w:r>
        <w:rPr>
          <w:rFonts w:hint="eastAsia" w:ascii="宋体" w:hAnsi="宋体" w:cs="宋体"/>
          <w:b/>
          <w:color w:val="auto"/>
          <w:sz w:val="28"/>
          <w:szCs w:val="28"/>
          <w:highlight w:val="none"/>
        </w:rPr>
        <w:t>供应商须知前附表</w:t>
      </w:r>
    </w:p>
    <w:tbl>
      <w:tblPr>
        <w:tblStyle w:val="36"/>
        <w:tblW w:w="98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688"/>
        <w:gridCol w:w="1431"/>
        <w:gridCol w:w="7721"/>
      </w:tblGrid>
      <w:tr w14:paraId="563F0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56" w:hRule="atLeast"/>
          <w:jc w:val="center"/>
        </w:trPr>
        <w:tc>
          <w:tcPr>
            <w:tcW w:w="688" w:type="dxa"/>
            <w:noWrap w:val="0"/>
            <w:vAlign w:val="center"/>
          </w:tcPr>
          <w:p w14:paraId="1C81EE8D">
            <w:pPr>
              <w:pStyle w:val="31"/>
              <w:spacing w:before="60" w:beforeAutospacing="0" w:after="60" w:afterAutospacing="0" w:line="440" w:lineRule="exact"/>
              <w:jc w:val="center"/>
              <w:rPr>
                <w:rFonts w:hint="eastAsia"/>
                <w:b/>
                <w:color w:val="auto"/>
                <w:highlight w:val="none"/>
              </w:rPr>
            </w:pPr>
            <w:r>
              <w:rPr>
                <w:rFonts w:hint="eastAsia"/>
                <w:color w:val="auto"/>
                <w:kern w:val="2"/>
                <w:highlight w:val="none"/>
              </w:rPr>
              <w:t>项号</w:t>
            </w:r>
          </w:p>
        </w:tc>
        <w:tc>
          <w:tcPr>
            <w:tcW w:w="1431" w:type="dxa"/>
            <w:noWrap w:val="0"/>
            <w:vAlign w:val="center"/>
          </w:tcPr>
          <w:p w14:paraId="6DF3D205">
            <w:pPr>
              <w:pStyle w:val="31"/>
              <w:spacing w:before="60" w:beforeAutospacing="0" w:after="60" w:afterAutospacing="0" w:line="440" w:lineRule="exact"/>
              <w:jc w:val="center"/>
              <w:rPr>
                <w:rFonts w:hint="eastAsia"/>
                <w:b/>
                <w:color w:val="auto"/>
                <w:highlight w:val="none"/>
              </w:rPr>
            </w:pPr>
            <w:r>
              <w:rPr>
                <w:rFonts w:hint="eastAsia"/>
                <w:color w:val="auto"/>
                <w:kern w:val="2"/>
                <w:highlight w:val="none"/>
              </w:rPr>
              <w:t>条款名称</w:t>
            </w:r>
          </w:p>
        </w:tc>
        <w:tc>
          <w:tcPr>
            <w:tcW w:w="7721" w:type="dxa"/>
            <w:noWrap w:val="0"/>
            <w:vAlign w:val="center"/>
          </w:tcPr>
          <w:p w14:paraId="05F92ADC">
            <w:pPr>
              <w:pStyle w:val="31"/>
              <w:spacing w:before="60" w:beforeAutospacing="0" w:after="60" w:afterAutospacing="0" w:line="440" w:lineRule="exact"/>
              <w:jc w:val="center"/>
              <w:rPr>
                <w:rFonts w:hint="eastAsia"/>
                <w:b/>
                <w:color w:val="auto"/>
                <w:highlight w:val="none"/>
              </w:rPr>
            </w:pPr>
            <w:r>
              <w:rPr>
                <w:rFonts w:hint="eastAsia"/>
                <w:color w:val="auto"/>
                <w:kern w:val="2"/>
                <w:highlight w:val="none"/>
              </w:rPr>
              <w:t>编列内容</w:t>
            </w:r>
          </w:p>
        </w:tc>
      </w:tr>
      <w:tr w14:paraId="4FBA1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052" w:hRule="atLeast"/>
          <w:jc w:val="center"/>
        </w:trPr>
        <w:tc>
          <w:tcPr>
            <w:tcW w:w="688" w:type="dxa"/>
            <w:noWrap w:val="0"/>
            <w:vAlign w:val="center"/>
          </w:tcPr>
          <w:p w14:paraId="4A775562">
            <w:pPr>
              <w:pStyle w:val="31"/>
              <w:numPr>
                <w:ilvl w:val="0"/>
                <w:numId w:val="3"/>
              </w:numPr>
              <w:spacing w:before="60" w:beforeAutospacing="0" w:after="60" w:afterAutospacing="0" w:line="440" w:lineRule="exact"/>
              <w:jc w:val="center"/>
              <w:rPr>
                <w:rFonts w:hint="eastAsia"/>
                <w:color w:val="auto"/>
                <w:kern w:val="2"/>
                <w:highlight w:val="none"/>
              </w:rPr>
            </w:pPr>
          </w:p>
        </w:tc>
        <w:tc>
          <w:tcPr>
            <w:tcW w:w="1431" w:type="dxa"/>
            <w:noWrap w:val="0"/>
            <w:vAlign w:val="center"/>
          </w:tcPr>
          <w:p w14:paraId="60934374">
            <w:pPr>
              <w:pStyle w:val="16"/>
              <w:spacing w:line="440" w:lineRule="exact"/>
              <w:jc w:val="center"/>
              <w:rPr>
                <w:rFonts w:hint="eastAsia" w:hAnsi="宋体" w:eastAsia="宋体" w:cs="宋体"/>
                <w:color w:val="auto"/>
                <w:kern w:val="2"/>
                <w:sz w:val="24"/>
                <w:szCs w:val="24"/>
                <w:highlight w:val="none"/>
              </w:rPr>
            </w:pPr>
            <w:r>
              <w:rPr>
                <w:rFonts w:hint="eastAsia" w:hAnsi="宋体" w:eastAsia="宋体" w:cs="宋体"/>
                <w:color w:val="auto"/>
                <w:kern w:val="2"/>
                <w:sz w:val="24"/>
                <w:szCs w:val="24"/>
                <w:highlight w:val="none"/>
              </w:rPr>
              <w:t>项目名称</w:t>
            </w:r>
          </w:p>
          <w:p w14:paraId="579A4C1E">
            <w:pPr>
              <w:pStyle w:val="16"/>
              <w:spacing w:line="440" w:lineRule="exact"/>
              <w:jc w:val="center"/>
              <w:rPr>
                <w:rFonts w:hint="eastAsia" w:hAnsi="宋体" w:eastAsia="宋体" w:cs="宋体"/>
                <w:color w:val="auto"/>
                <w:kern w:val="2"/>
                <w:sz w:val="24"/>
                <w:szCs w:val="24"/>
                <w:highlight w:val="none"/>
              </w:rPr>
            </w:pPr>
            <w:r>
              <w:rPr>
                <w:rFonts w:hint="eastAsia" w:hAnsi="宋体" w:eastAsia="宋体" w:cs="宋体"/>
                <w:color w:val="auto"/>
                <w:kern w:val="2"/>
                <w:sz w:val="24"/>
                <w:szCs w:val="24"/>
                <w:highlight w:val="none"/>
              </w:rPr>
              <w:t>及编号</w:t>
            </w:r>
          </w:p>
        </w:tc>
        <w:tc>
          <w:tcPr>
            <w:tcW w:w="7721" w:type="dxa"/>
            <w:noWrap w:val="0"/>
            <w:vAlign w:val="center"/>
          </w:tcPr>
          <w:p w14:paraId="367B4A59">
            <w:pPr>
              <w:pStyle w:val="16"/>
              <w:spacing w:line="440" w:lineRule="exact"/>
              <w:jc w:val="left"/>
              <w:rPr>
                <w:rFonts w:hint="eastAsia" w:hAnsi="宋体" w:eastAsia="宋体" w:cs="宋体"/>
                <w:color w:val="auto"/>
                <w:kern w:val="2"/>
                <w:sz w:val="24"/>
                <w:szCs w:val="24"/>
                <w:highlight w:val="none"/>
              </w:rPr>
            </w:pPr>
            <w:r>
              <w:rPr>
                <w:rFonts w:hint="eastAsia" w:hAnsi="宋体" w:eastAsia="宋体" w:cs="宋体"/>
                <w:color w:val="auto"/>
                <w:kern w:val="2"/>
                <w:sz w:val="24"/>
                <w:szCs w:val="24"/>
                <w:highlight w:val="none"/>
              </w:rPr>
              <w:t>项目名称</w:t>
            </w:r>
            <w:r>
              <w:rPr>
                <w:rFonts w:hint="eastAsia" w:hAnsi="宋体" w:eastAsia="宋体" w:cs="宋体"/>
                <w:color w:val="auto"/>
                <w:kern w:val="2"/>
                <w:sz w:val="24"/>
                <w:szCs w:val="24"/>
                <w:highlight w:val="none"/>
                <w:lang w:val="en-US" w:eastAsia="zh-CN"/>
              </w:rPr>
              <w:t>:</w:t>
            </w:r>
            <w:r>
              <w:rPr>
                <w:rFonts w:hint="eastAsia" w:eastAsia="宋体" w:cs="宋体"/>
                <w:color w:val="auto"/>
                <w:kern w:val="2"/>
                <w:sz w:val="24"/>
                <w:szCs w:val="24"/>
                <w:highlight w:val="none"/>
                <w:lang w:val="en-US" w:eastAsia="zh-CN" w:bidi="ar-SA"/>
              </w:rPr>
              <w:t>克拉玛依市独山子区农业和水务局2025年度独山子区兽医社会化服务采购项目</w:t>
            </w:r>
          </w:p>
          <w:p w14:paraId="737091C3">
            <w:pPr>
              <w:pStyle w:val="16"/>
              <w:spacing w:line="440" w:lineRule="exact"/>
              <w:jc w:val="left"/>
              <w:rPr>
                <w:rFonts w:hint="eastAsia" w:hAnsi="宋体" w:eastAsia="宋体" w:cs="宋体"/>
                <w:color w:val="auto"/>
                <w:kern w:val="2"/>
                <w:sz w:val="24"/>
                <w:szCs w:val="24"/>
                <w:highlight w:val="none"/>
                <w:lang w:eastAsia="zh-CN"/>
              </w:rPr>
            </w:pPr>
            <w:r>
              <w:rPr>
                <w:rFonts w:hint="eastAsia" w:hAnsi="宋体" w:eastAsia="宋体" w:cs="宋体"/>
                <w:color w:val="auto"/>
                <w:kern w:val="2"/>
                <w:sz w:val="24"/>
                <w:szCs w:val="24"/>
                <w:highlight w:val="none"/>
              </w:rPr>
              <w:t>项目编号：</w:t>
            </w:r>
            <w:r>
              <w:rPr>
                <w:rFonts w:hint="eastAsia" w:hAnsi="宋体" w:cs="宋体"/>
                <w:color w:val="auto"/>
                <w:kern w:val="2"/>
                <w:sz w:val="24"/>
                <w:szCs w:val="24"/>
                <w:highlight w:val="none"/>
                <w:lang w:eastAsia="zh-CN"/>
              </w:rPr>
              <w:t>XJYYZB-(DSNYSWJ)2025113</w:t>
            </w:r>
          </w:p>
        </w:tc>
      </w:tr>
      <w:tr w14:paraId="2E328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688" w:type="dxa"/>
            <w:noWrap w:val="0"/>
            <w:vAlign w:val="center"/>
          </w:tcPr>
          <w:p w14:paraId="5C8BDA58">
            <w:pPr>
              <w:numPr>
                <w:ilvl w:val="0"/>
                <w:numId w:val="3"/>
              </w:numPr>
              <w:spacing w:line="440" w:lineRule="exact"/>
              <w:jc w:val="center"/>
              <w:rPr>
                <w:rFonts w:hint="eastAsia" w:ascii="宋体" w:hAnsi="宋体" w:eastAsia="宋体" w:cs="宋体"/>
                <w:color w:val="auto"/>
                <w:kern w:val="0"/>
                <w:sz w:val="24"/>
                <w:highlight w:val="none"/>
              </w:rPr>
            </w:pPr>
          </w:p>
        </w:tc>
        <w:tc>
          <w:tcPr>
            <w:tcW w:w="1431" w:type="dxa"/>
            <w:noWrap w:val="0"/>
            <w:vAlign w:val="center"/>
          </w:tcPr>
          <w:p w14:paraId="600763F1">
            <w:pPr>
              <w:keepNext/>
              <w:widowControl/>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采购人</w:t>
            </w:r>
          </w:p>
        </w:tc>
        <w:tc>
          <w:tcPr>
            <w:tcW w:w="7721" w:type="dxa"/>
            <w:noWrap w:val="0"/>
            <w:vAlign w:val="center"/>
          </w:tcPr>
          <w:p w14:paraId="03CFB4B6">
            <w:pPr>
              <w:autoSpaceDE w:val="0"/>
              <w:autoSpaceDN w:val="0"/>
              <w:adjustRightInd w:val="0"/>
              <w:spacing w:line="288" w:lineRule="auto"/>
              <w:ind w:left="1200" w:hanging="1200" w:hangingChars="5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名称</w:t>
            </w:r>
            <w:r>
              <w:rPr>
                <w:rFonts w:hint="eastAsia" w:ascii="宋体" w:hAnsi="宋体" w:eastAsia="宋体" w:cs="宋体"/>
                <w:color w:val="auto"/>
                <w:kern w:val="0"/>
                <w:sz w:val="24"/>
                <w:highlight w:val="none"/>
              </w:rPr>
              <w:t>：</w:t>
            </w:r>
            <w:r>
              <w:rPr>
                <w:rFonts w:hint="eastAsia" w:ascii="宋体" w:hAnsi="宋体" w:eastAsia="宋体" w:cs="宋体"/>
                <w:color w:val="auto"/>
                <w:kern w:val="2"/>
                <w:sz w:val="24"/>
                <w:szCs w:val="24"/>
                <w:highlight w:val="none"/>
                <w:lang w:val="en-US" w:eastAsia="zh-CN" w:bidi="ar-SA"/>
              </w:rPr>
              <w:t>克拉玛依市独山子区农业和水务局</w:t>
            </w:r>
          </w:p>
          <w:p w14:paraId="27FDAA8B">
            <w:pPr>
              <w:pStyle w:val="12"/>
              <w:spacing w:line="440" w:lineRule="exact"/>
              <w:rPr>
                <w:rFonts w:hint="eastAsia" w:ascii="宋体" w:hAnsi="宋体" w:cs="宋体"/>
                <w:b w:val="0"/>
                <w:bCs w:val="0"/>
                <w:color w:val="auto"/>
                <w:kern w:val="2"/>
                <w:sz w:val="24"/>
                <w:szCs w:val="24"/>
                <w:highlight w:val="none"/>
                <w:lang w:val="en-US" w:eastAsia="zh-CN" w:bidi="ar-SA"/>
              </w:rPr>
            </w:pPr>
            <w:r>
              <w:rPr>
                <w:rFonts w:hint="eastAsia" w:ascii="宋体" w:hAnsi="宋体" w:eastAsia="宋体" w:cs="宋体"/>
                <w:color w:val="auto"/>
                <w:szCs w:val="24"/>
                <w:highlight w:val="none"/>
              </w:rPr>
              <w:t>地址：</w:t>
            </w:r>
            <w:r>
              <w:rPr>
                <w:rFonts w:hint="eastAsia" w:ascii="宋体" w:hAnsi="宋体" w:cs="宋体"/>
                <w:b w:val="0"/>
                <w:bCs w:val="0"/>
                <w:color w:val="auto"/>
                <w:kern w:val="2"/>
                <w:sz w:val="24"/>
                <w:szCs w:val="24"/>
                <w:highlight w:val="none"/>
                <w:lang w:val="en-US" w:eastAsia="zh-CN" w:bidi="ar-SA"/>
              </w:rPr>
              <w:t>克拉玛依市独山子区和田路1号</w:t>
            </w:r>
          </w:p>
          <w:p w14:paraId="0DF3804A">
            <w:pPr>
              <w:pStyle w:val="12"/>
              <w:spacing w:line="440" w:lineRule="exac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联系人：</w:t>
            </w:r>
            <w:r>
              <w:rPr>
                <w:rFonts w:hint="eastAsia" w:ascii="宋体" w:hAnsi="宋体" w:cs="宋体"/>
                <w:color w:val="auto"/>
                <w:szCs w:val="24"/>
                <w:highlight w:val="none"/>
                <w:lang w:eastAsia="zh-CN"/>
              </w:rPr>
              <w:t>尹先生</w:t>
            </w:r>
            <w:r>
              <w:rPr>
                <w:rFonts w:hint="eastAsia" w:ascii="宋体" w:hAnsi="宋体" w:eastAsia="宋体" w:cs="宋体"/>
                <w:color w:val="auto"/>
                <w:szCs w:val="24"/>
                <w:highlight w:val="none"/>
              </w:rPr>
              <w:t xml:space="preserve">      联系电话：</w:t>
            </w:r>
            <w:r>
              <w:rPr>
                <w:rFonts w:hint="eastAsia" w:ascii="宋体" w:hAnsi="宋体" w:eastAsia="宋体" w:cs="宋体"/>
                <w:color w:val="auto"/>
                <w:szCs w:val="24"/>
                <w:highlight w:val="none"/>
                <w:lang w:eastAsia="zh-CN"/>
              </w:rPr>
              <w:t>18997705214</w:t>
            </w:r>
          </w:p>
        </w:tc>
      </w:tr>
      <w:tr w14:paraId="0AA98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688" w:type="dxa"/>
            <w:noWrap w:val="0"/>
            <w:vAlign w:val="center"/>
          </w:tcPr>
          <w:p w14:paraId="7822DCF1">
            <w:pPr>
              <w:numPr>
                <w:ilvl w:val="0"/>
                <w:numId w:val="3"/>
              </w:numPr>
              <w:spacing w:line="440" w:lineRule="exact"/>
              <w:jc w:val="center"/>
              <w:rPr>
                <w:rFonts w:hint="eastAsia" w:ascii="宋体" w:hAnsi="宋体" w:eastAsia="宋体" w:cs="宋体"/>
                <w:color w:val="auto"/>
                <w:kern w:val="0"/>
                <w:sz w:val="24"/>
                <w:highlight w:val="none"/>
              </w:rPr>
            </w:pPr>
          </w:p>
        </w:tc>
        <w:tc>
          <w:tcPr>
            <w:tcW w:w="1431" w:type="dxa"/>
            <w:noWrap w:val="0"/>
            <w:vAlign w:val="center"/>
          </w:tcPr>
          <w:p w14:paraId="5D29FB11">
            <w:pPr>
              <w:keepNext/>
              <w:widowControl/>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采购代理</w:t>
            </w:r>
          </w:p>
          <w:p w14:paraId="7794BEC9">
            <w:pPr>
              <w:keepNext/>
              <w:widowControl/>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机构</w:t>
            </w:r>
          </w:p>
        </w:tc>
        <w:tc>
          <w:tcPr>
            <w:tcW w:w="7721" w:type="dxa"/>
            <w:noWrap w:val="0"/>
            <w:vAlign w:val="center"/>
          </w:tcPr>
          <w:p w14:paraId="38EAECD5">
            <w:pPr>
              <w:pStyle w:val="12"/>
              <w:spacing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名称：新疆元誉工程项目管理有限公司</w:t>
            </w:r>
          </w:p>
          <w:p w14:paraId="6088EF38">
            <w:pPr>
              <w:pStyle w:val="12"/>
              <w:spacing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地址：克拉玛依胜利路26号国际家居建材城33栋二楼215室</w:t>
            </w:r>
          </w:p>
          <w:p w14:paraId="7B1393E4">
            <w:pPr>
              <w:pStyle w:val="12"/>
              <w:spacing w:line="440" w:lineRule="exac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联系人：</w:t>
            </w:r>
            <w:r>
              <w:rPr>
                <w:rFonts w:hint="eastAsia" w:ascii="宋体" w:hAnsi="宋体" w:eastAsia="宋体" w:cs="宋体"/>
                <w:color w:val="auto"/>
                <w:szCs w:val="24"/>
                <w:highlight w:val="none"/>
                <w:lang w:eastAsia="zh-CN"/>
              </w:rPr>
              <w:t>程先生</w:t>
            </w:r>
            <w:r>
              <w:rPr>
                <w:rFonts w:hint="eastAsia" w:ascii="宋体" w:hAnsi="宋体" w:eastAsia="宋体" w:cs="宋体"/>
                <w:color w:val="auto"/>
                <w:szCs w:val="24"/>
                <w:highlight w:val="none"/>
              </w:rPr>
              <w:t xml:space="preserve">     联系电话：</w:t>
            </w:r>
            <w:r>
              <w:rPr>
                <w:rFonts w:hint="eastAsia" w:ascii="宋体" w:hAnsi="宋体" w:eastAsia="宋体" w:cs="宋体"/>
                <w:color w:val="auto"/>
                <w:szCs w:val="24"/>
                <w:highlight w:val="none"/>
                <w:lang w:eastAsia="zh-CN"/>
              </w:rPr>
              <w:t>18999507776</w:t>
            </w:r>
          </w:p>
        </w:tc>
      </w:tr>
      <w:tr w14:paraId="3531F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13" w:hRule="atLeast"/>
          <w:jc w:val="center"/>
        </w:trPr>
        <w:tc>
          <w:tcPr>
            <w:tcW w:w="688" w:type="dxa"/>
            <w:noWrap w:val="0"/>
            <w:vAlign w:val="center"/>
          </w:tcPr>
          <w:p w14:paraId="10B7EA36">
            <w:pPr>
              <w:numPr>
                <w:ilvl w:val="0"/>
                <w:numId w:val="3"/>
              </w:numPr>
              <w:spacing w:line="440" w:lineRule="exact"/>
              <w:jc w:val="center"/>
              <w:rPr>
                <w:rFonts w:hint="eastAsia" w:ascii="宋体" w:hAnsi="宋体" w:eastAsia="宋体" w:cs="宋体"/>
                <w:color w:val="auto"/>
                <w:kern w:val="0"/>
                <w:sz w:val="24"/>
                <w:highlight w:val="none"/>
              </w:rPr>
            </w:pPr>
          </w:p>
        </w:tc>
        <w:tc>
          <w:tcPr>
            <w:tcW w:w="1431" w:type="dxa"/>
            <w:noWrap w:val="0"/>
            <w:vAlign w:val="center"/>
          </w:tcPr>
          <w:p w14:paraId="3E546493">
            <w:pPr>
              <w:keepNext/>
              <w:widowControl/>
              <w:spacing w:line="440" w:lineRule="exact"/>
              <w:jc w:val="center"/>
              <w:rPr>
                <w:rFonts w:hint="eastAsia" w:ascii="宋体" w:hAnsi="宋体" w:eastAsia="宋体" w:cs="宋体"/>
                <w:color w:val="auto"/>
                <w:spacing w:val="-6"/>
                <w:kern w:val="0"/>
                <w:sz w:val="24"/>
                <w:highlight w:val="none"/>
              </w:rPr>
            </w:pPr>
            <w:r>
              <w:rPr>
                <w:rFonts w:hint="eastAsia" w:ascii="宋体" w:hAnsi="宋体" w:eastAsia="宋体" w:cs="宋体"/>
                <w:color w:val="auto"/>
                <w:kern w:val="0"/>
                <w:sz w:val="24"/>
                <w:highlight w:val="none"/>
              </w:rPr>
              <w:t>服务地点</w:t>
            </w:r>
          </w:p>
        </w:tc>
        <w:tc>
          <w:tcPr>
            <w:tcW w:w="7721" w:type="dxa"/>
            <w:noWrap w:val="0"/>
            <w:vAlign w:val="center"/>
          </w:tcPr>
          <w:p w14:paraId="1BE4F758">
            <w:pPr>
              <w:keepNext/>
              <w:widowControl/>
              <w:spacing w:line="44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克拉玛依市独山子区</w:t>
            </w:r>
          </w:p>
        </w:tc>
      </w:tr>
      <w:tr w14:paraId="52329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02" w:hRule="atLeast"/>
          <w:jc w:val="center"/>
        </w:trPr>
        <w:tc>
          <w:tcPr>
            <w:tcW w:w="688" w:type="dxa"/>
            <w:noWrap w:val="0"/>
            <w:vAlign w:val="center"/>
          </w:tcPr>
          <w:p w14:paraId="62375943">
            <w:pPr>
              <w:numPr>
                <w:ilvl w:val="0"/>
                <w:numId w:val="3"/>
              </w:numPr>
              <w:spacing w:line="440" w:lineRule="exact"/>
              <w:jc w:val="center"/>
              <w:rPr>
                <w:rFonts w:hint="eastAsia" w:ascii="宋体" w:hAnsi="宋体" w:eastAsia="宋体" w:cs="宋体"/>
                <w:color w:val="auto"/>
                <w:kern w:val="0"/>
                <w:sz w:val="24"/>
                <w:highlight w:val="none"/>
              </w:rPr>
            </w:pPr>
          </w:p>
        </w:tc>
        <w:tc>
          <w:tcPr>
            <w:tcW w:w="1431" w:type="dxa"/>
            <w:noWrap w:val="0"/>
            <w:vAlign w:val="center"/>
          </w:tcPr>
          <w:p w14:paraId="09CA21A8">
            <w:pPr>
              <w:keepNext/>
              <w:widowControl/>
              <w:spacing w:line="440" w:lineRule="exact"/>
              <w:jc w:val="center"/>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资金来源</w:t>
            </w:r>
          </w:p>
        </w:tc>
        <w:tc>
          <w:tcPr>
            <w:tcW w:w="7721" w:type="dxa"/>
            <w:noWrap w:val="0"/>
            <w:vAlign w:val="center"/>
          </w:tcPr>
          <w:p w14:paraId="3AFBB905">
            <w:pPr>
              <w:keepNext/>
              <w:widowControl/>
              <w:spacing w:line="44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财政预算资金</w:t>
            </w:r>
          </w:p>
        </w:tc>
      </w:tr>
      <w:tr w14:paraId="2D3C5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688" w:type="dxa"/>
            <w:noWrap w:val="0"/>
            <w:vAlign w:val="center"/>
          </w:tcPr>
          <w:p w14:paraId="54616044">
            <w:pPr>
              <w:numPr>
                <w:ilvl w:val="0"/>
                <w:numId w:val="3"/>
              </w:numPr>
              <w:spacing w:line="440" w:lineRule="exact"/>
              <w:jc w:val="center"/>
              <w:rPr>
                <w:rFonts w:hint="eastAsia" w:ascii="宋体" w:hAnsi="宋体" w:eastAsia="宋体" w:cs="宋体"/>
                <w:color w:val="auto"/>
                <w:kern w:val="0"/>
                <w:sz w:val="24"/>
                <w:highlight w:val="none"/>
              </w:rPr>
            </w:pPr>
          </w:p>
        </w:tc>
        <w:tc>
          <w:tcPr>
            <w:tcW w:w="1431" w:type="dxa"/>
            <w:noWrap w:val="0"/>
            <w:vAlign w:val="center"/>
          </w:tcPr>
          <w:p w14:paraId="3D7CF5C3">
            <w:pPr>
              <w:keepNext/>
              <w:widowControl/>
              <w:spacing w:line="440" w:lineRule="exact"/>
              <w:jc w:val="center"/>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预算金额</w:t>
            </w:r>
          </w:p>
          <w:p w14:paraId="5A1C82D5">
            <w:pPr>
              <w:keepNext/>
              <w:widowControl/>
              <w:spacing w:line="440" w:lineRule="exact"/>
              <w:jc w:val="center"/>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（最高限价）</w:t>
            </w:r>
          </w:p>
        </w:tc>
        <w:tc>
          <w:tcPr>
            <w:tcW w:w="7721" w:type="dxa"/>
            <w:noWrap w:val="0"/>
            <w:vAlign w:val="center"/>
          </w:tcPr>
          <w:p w14:paraId="66F66B1C">
            <w:pPr>
              <w:pStyle w:val="31"/>
              <w:spacing w:before="93" w:beforeLines="39" w:beforeAutospacing="0" w:after="74" w:afterLines="31" w:afterAutospacing="0" w:line="360" w:lineRule="auto"/>
              <w:outlineLvl w:val="1"/>
              <w:rPr>
                <w:rStyle w:val="40"/>
                <w:rFonts w:hint="eastAsia"/>
                <w:b w:val="0"/>
                <w:bCs/>
                <w:color w:val="auto"/>
                <w:highlight w:val="none"/>
              </w:rPr>
            </w:pPr>
            <w:r>
              <w:rPr>
                <w:rStyle w:val="40"/>
                <w:rFonts w:hint="eastAsia"/>
                <w:b w:val="0"/>
                <w:bCs/>
                <w:color w:val="auto"/>
                <w:highlight w:val="none"/>
              </w:rPr>
              <w:t>预算金额（元）：</w:t>
            </w:r>
            <w:r>
              <w:rPr>
                <w:rStyle w:val="40"/>
                <w:rFonts w:hint="eastAsia"/>
                <w:b w:val="0"/>
                <w:bCs/>
                <w:color w:val="auto"/>
                <w:highlight w:val="none"/>
                <w:lang w:val="en-US" w:eastAsia="zh-CN"/>
              </w:rPr>
              <w:t>29.555</w:t>
            </w:r>
            <w:r>
              <w:rPr>
                <w:rStyle w:val="40"/>
                <w:rFonts w:hint="eastAsia"/>
                <w:b w:val="0"/>
                <w:bCs/>
                <w:color w:val="auto"/>
                <w:highlight w:val="none"/>
              </w:rPr>
              <w:t>万元/年</w:t>
            </w:r>
          </w:p>
          <w:p w14:paraId="27D8C97A">
            <w:pPr>
              <w:pStyle w:val="31"/>
              <w:spacing w:before="93" w:beforeLines="39" w:beforeAutospacing="0" w:after="74" w:afterLines="31" w:afterAutospacing="0" w:line="360" w:lineRule="auto"/>
              <w:outlineLvl w:val="1"/>
              <w:rPr>
                <w:rFonts w:ascii="宋体" w:hAnsi="宋体" w:eastAsia="宋体" w:cs="宋体"/>
                <w:color w:val="auto"/>
                <w:szCs w:val="24"/>
                <w:highlight w:val="none"/>
              </w:rPr>
            </w:pPr>
            <w:bookmarkStart w:id="578" w:name="_GoBack"/>
            <w:bookmarkEnd w:id="578"/>
            <w:r>
              <w:rPr>
                <w:rStyle w:val="40"/>
                <w:rFonts w:hint="eastAsia"/>
                <w:b w:val="0"/>
                <w:bCs/>
                <w:color w:val="auto"/>
                <w:highlight w:val="none"/>
              </w:rPr>
              <w:t>最高限价（元）：</w:t>
            </w:r>
            <w:r>
              <w:rPr>
                <w:rStyle w:val="40"/>
                <w:rFonts w:hint="eastAsia"/>
                <w:b w:val="0"/>
                <w:bCs/>
                <w:color w:val="auto"/>
                <w:highlight w:val="none"/>
                <w:lang w:val="en-US" w:eastAsia="zh-CN"/>
              </w:rPr>
              <w:t>26</w:t>
            </w:r>
            <w:r>
              <w:rPr>
                <w:rStyle w:val="40"/>
                <w:rFonts w:hint="eastAsia"/>
                <w:b w:val="0"/>
                <w:bCs/>
                <w:color w:val="auto"/>
                <w:highlight w:val="none"/>
              </w:rPr>
              <w:t>万元/年</w:t>
            </w:r>
          </w:p>
          <w:p w14:paraId="4C44166F">
            <w:pPr>
              <w:pStyle w:val="12"/>
              <w:spacing w:line="440" w:lineRule="exact"/>
              <w:rPr>
                <w:rFonts w:hint="eastAsia" w:ascii="宋体" w:hAnsi="宋体" w:eastAsia="宋体" w:cs="宋体"/>
                <w:color w:val="auto"/>
                <w:szCs w:val="24"/>
                <w:highlight w:val="none"/>
              </w:rPr>
            </w:pPr>
            <w:r>
              <w:rPr>
                <w:rFonts w:hint="eastAsia" w:ascii="黑体" w:hAnsi="黑体" w:eastAsia="黑体" w:cs="黑体"/>
                <w:color w:val="auto"/>
                <w:szCs w:val="24"/>
                <w:highlight w:val="none"/>
              </w:rPr>
              <w:t>注：各供应商投标报价均不得超过最高单价限价，否则按无效投标处理。</w:t>
            </w:r>
          </w:p>
        </w:tc>
      </w:tr>
      <w:tr w14:paraId="71B89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64" w:hRule="atLeast"/>
          <w:jc w:val="center"/>
        </w:trPr>
        <w:tc>
          <w:tcPr>
            <w:tcW w:w="688" w:type="dxa"/>
            <w:noWrap w:val="0"/>
            <w:vAlign w:val="center"/>
          </w:tcPr>
          <w:p w14:paraId="4C1E3AC5">
            <w:pPr>
              <w:numPr>
                <w:ilvl w:val="0"/>
                <w:numId w:val="3"/>
              </w:numPr>
              <w:spacing w:line="440" w:lineRule="exact"/>
              <w:jc w:val="center"/>
              <w:rPr>
                <w:rFonts w:hint="eastAsia" w:ascii="宋体" w:hAnsi="宋体" w:eastAsia="宋体" w:cs="宋体"/>
                <w:color w:val="auto"/>
                <w:kern w:val="0"/>
                <w:sz w:val="24"/>
                <w:highlight w:val="none"/>
              </w:rPr>
            </w:pPr>
          </w:p>
        </w:tc>
        <w:tc>
          <w:tcPr>
            <w:tcW w:w="1431" w:type="dxa"/>
            <w:noWrap w:val="0"/>
            <w:vAlign w:val="center"/>
          </w:tcPr>
          <w:p w14:paraId="6CF0E4C4">
            <w:pPr>
              <w:keepNext/>
              <w:widowControl/>
              <w:spacing w:line="440" w:lineRule="exact"/>
              <w:jc w:val="center"/>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服务期限</w:t>
            </w:r>
          </w:p>
        </w:tc>
        <w:tc>
          <w:tcPr>
            <w:tcW w:w="7721" w:type="dxa"/>
            <w:noWrap w:val="0"/>
            <w:vAlign w:val="center"/>
          </w:tcPr>
          <w:p w14:paraId="665932C2">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i w:val="0"/>
                <w:iCs w:val="0"/>
                <w:caps w:val="0"/>
                <w:snapToGrid/>
                <w:color w:val="auto"/>
                <w:spacing w:val="0"/>
                <w:kern w:val="2"/>
                <w:sz w:val="24"/>
                <w:szCs w:val="24"/>
                <w:highlight w:val="none"/>
                <w:u w:val="none"/>
                <w:shd w:val="clear" w:color="auto" w:fill="FFFFFF"/>
                <w:lang w:val="en-US" w:eastAsia="zh-CN" w:bidi="ar-SA"/>
              </w:rPr>
              <w:t>一年，合同每半年签订一次</w:t>
            </w:r>
            <w:r>
              <w:rPr>
                <w:rFonts w:hint="eastAsia" w:ascii="仿宋_GB2312" w:hAnsi="仿宋_GB2312" w:eastAsia="仿宋_GB2312" w:cs="仿宋_GB2312"/>
                <w:i w:val="0"/>
                <w:iCs w:val="0"/>
                <w:caps w:val="0"/>
                <w:snapToGrid/>
                <w:color w:val="auto"/>
                <w:spacing w:val="0"/>
                <w:kern w:val="2"/>
                <w:sz w:val="28"/>
                <w:szCs w:val="28"/>
                <w:highlight w:val="none"/>
                <w:u w:val="none"/>
                <w:shd w:val="clear" w:color="auto" w:fill="FFFFFF"/>
                <w:lang w:val="en-US" w:eastAsia="zh-CN" w:bidi="ar-SA"/>
              </w:rPr>
              <w:t>。</w:t>
            </w:r>
          </w:p>
        </w:tc>
      </w:tr>
      <w:tr w14:paraId="49B72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25" w:hRule="atLeast"/>
          <w:jc w:val="center"/>
        </w:trPr>
        <w:tc>
          <w:tcPr>
            <w:tcW w:w="688" w:type="dxa"/>
            <w:noWrap w:val="0"/>
            <w:vAlign w:val="center"/>
          </w:tcPr>
          <w:p w14:paraId="61DDA946">
            <w:pPr>
              <w:numPr>
                <w:ilvl w:val="0"/>
                <w:numId w:val="3"/>
              </w:numPr>
              <w:spacing w:line="440" w:lineRule="exact"/>
              <w:jc w:val="center"/>
              <w:rPr>
                <w:rFonts w:hint="eastAsia" w:ascii="宋体" w:hAnsi="宋体" w:eastAsia="宋体" w:cs="宋体"/>
                <w:color w:val="auto"/>
                <w:kern w:val="0"/>
                <w:sz w:val="24"/>
                <w:highlight w:val="none"/>
              </w:rPr>
            </w:pPr>
          </w:p>
        </w:tc>
        <w:tc>
          <w:tcPr>
            <w:tcW w:w="1431" w:type="dxa"/>
            <w:noWrap w:val="0"/>
            <w:vAlign w:val="center"/>
          </w:tcPr>
          <w:p w14:paraId="69221265">
            <w:pPr>
              <w:keepNext/>
              <w:widowControl/>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供应商资格</w:t>
            </w:r>
          </w:p>
          <w:p w14:paraId="346DD696">
            <w:pPr>
              <w:keepNext/>
              <w:widowControl/>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要求</w:t>
            </w:r>
          </w:p>
        </w:tc>
        <w:tc>
          <w:tcPr>
            <w:tcW w:w="7721" w:type="dxa"/>
            <w:noWrap w:val="0"/>
            <w:vAlign w:val="center"/>
          </w:tcPr>
          <w:p w14:paraId="3AC5CD8C">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1.满足《中华人民共和国政府采购法》第二十二条规定； </w:t>
            </w:r>
          </w:p>
          <w:p w14:paraId="3DB3EDF1">
            <w:pPr>
              <w:spacing w:line="440" w:lineRule="exact"/>
              <w:rPr>
                <w:rStyle w:val="40"/>
                <w:rFonts w:hint="eastAsia" w:ascii="宋体" w:hAnsi="宋体" w:cs="宋体"/>
                <w:b w:val="0"/>
                <w:bCs/>
                <w:color w:val="auto"/>
                <w:sz w:val="24"/>
                <w:highlight w:val="none"/>
              </w:rPr>
            </w:pPr>
            <w:r>
              <w:rPr>
                <w:rFonts w:hint="eastAsia" w:ascii="宋体" w:hAnsi="宋体" w:eastAsia="宋体" w:cs="宋体"/>
                <w:color w:val="auto"/>
                <w:sz w:val="24"/>
                <w:highlight w:val="none"/>
              </w:rPr>
              <w:t>2.落实政府采购政策需满足的资格要求：本项目专门面向中小企业。</w:t>
            </w:r>
          </w:p>
          <w:p w14:paraId="483B4BEF">
            <w:pPr>
              <w:spacing w:line="440" w:lineRule="exact"/>
              <w:rPr>
                <w:rFonts w:hint="eastAsia"/>
                <w:color w:val="auto"/>
                <w:highlight w:val="none"/>
              </w:rPr>
            </w:pPr>
            <w:r>
              <w:rPr>
                <w:rFonts w:hint="eastAsia" w:ascii="宋体" w:hAnsi="宋体" w:eastAsia="宋体" w:cs="宋体"/>
                <w:color w:val="auto"/>
                <w:sz w:val="24"/>
                <w:highlight w:val="none"/>
              </w:rPr>
              <w:t>3.未被“信用中国”（www.creditchina.gov.cn）、中国政府采购网（www.ccgp.gov.cn）列入失信被执行人、重大税收违法失信主体、政府采购严重违法失信行为记录名单。</w:t>
            </w:r>
          </w:p>
        </w:tc>
      </w:tr>
      <w:tr w14:paraId="52834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688" w:type="dxa"/>
            <w:noWrap w:val="0"/>
            <w:vAlign w:val="center"/>
          </w:tcPr>
          <w:p w14:paraId="090E03D5">
            <w:pPr>
              <w:numPr>
                <w:ilvl w:val="0"/>
                <w:numId w:val="3"/>
              </w:numPr>
              <w:spacing w:line="440" w:lineRule="exact"/>
              <w:jc w:val="center"/>
              <w:rPr>
                <w:rFonts w:hint="eastAsia" w:ascii="宋体" w:hAnsi="宋体" w:eastAsia="宋体" w:cs="宋体"/>
                <w:color w:val="auto"/>
                <w:kern w:val="0"/>
                <w:sz w:val="24"/>
                <w:highlight w:val="none"/>
              </w:rPr>
            </w:pPr>
          </w:p>
        </w:tc>
        <w:tc>
          <w:tcPr>
            <w:tcW w:w="1431" w:type="dxa"/>
            <w:noWrap w:val="0"/>
            <w:vAlign w:val="center"/>
          </w:tcPr>
          <w:p w14:paraId="42969BF1">
            <w:pPr>
              <w:keepNext/>
              <w:widowControl/>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采购范围</w:t>
            </w:r>
          </w:p>
        </w:tc>
        <w:tc>
          <w:tcPr>
            <w:tcW w:w="7721" w:type="dxa"/>
            <w:noWrap w:val="0"/>
            <w:vAlign w:val="center"/>
          </w:tcPr>
          <w:p w14:paraId="6634F280">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完成</w:t>
            </w:r>
            <w:r>
              <w:rPr>
                <w:rFonts w:hint="eastAsia" w:ascii="宋体" w:hAnsi="宋体" w:eastAsia="宋体" w:cs="宋体"/>
                <w:b w:val="0"/>
                <w:bCs w:val="0"/>
                <w:color w:val="auto"/>
                <w:sz w:val="24"/>
                <w:szCs w:val="24"/>
                <w:highlight w:val="none"/>
                <w:lang w:eastAsia="zh-CN"/>
              </w:rPr>
              <w:t>克拉玛依市独山子区农业和水务局2025年度独山子区兽医社会化服务采购项目</w:t>
            </w:r>
            <w:r>
              <w:rPr>
                <w:rFonts w:hint="eastAsia" w:ascii="宋体" w:hAnsi="宋体" w:eastAsia="宋体" w:cs="宋体"/>
                <w:color w:val="auto"/>
                <w:sz w:val="24"/>
                <w:highlight w:val="none"/>
              </w:rPr>
              <w:t>应承担的所有工作并配合采购人完成与此服务相关的合同条款、技术规范及标准、项目采购需求、采购文件约定的全部内容及责任和义务。</w:t>
            </w:r>
          </w:p>
        </w:tc>
      </w:tr>
      <w:tr w14:paraId="68D7D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688" w:type="dxa"/>
            <w:noWrap w:val="0"/>
            <w:vAlign w:val="center"/>
          </w:tcPr>
          <w:p w14:paraId="61F7784B">
            <w:pPr>
              <w:numPr>
                <w:ilvl w:val="0"/>
                <w:numId w:val="3"/>
              </w:numPr>
              <w:spacing w:line="440" w:lineRule="exact"/>
              <w:jc w:val="center"/>
              <w:rPr>
                <w:rFonts w:hint="eastAsia" w:ascii="宋体" w:hAnsi="宋体" w:eastAsia="宋体" w:cs="宋体"/>
                <w:color w:val="auto"/>
                <w:kern w:val="0"/>
                <w:sz w:val="24"/>
                <w:highlight w:val="none"/>
              </w:rPr>
            </w:pPr>
          </w:p>
        </w:tc>
        <w:tc>
          <w:tcPr>
            <w:tcW w:w="1431" w:type="dxa"/>
            <w:noWrap w:val="0"/>
            <w:vAlign w:val="center"/>
          </w:tcPr>
          <w:p w14:paraId="0EFD106F">
            <w:pPr>
              <w:keepNext/>
              <w:widowControl/>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中小企业所属行业划分</w:t>
            </w:r>
          </w:p>
        </w:tc>
        <w:tc>
          <w:tcPr>
            <w:tcW w:w="7721" w:type="dxa"/>
            <w:noWrap w:val="0"/>
            <w:vAlign w:val="center"/>
          </w:tcPr>
          <w:p w14:paraId="21D8F5A1">
            <w:pPr>
              <w:pStyle w:val="31"/>
              <w:spacing w:before="0" w:beforeAutospacing="0" w:after="62" w:afterLines="26" w:afterAutospacing="0" w:line="440" w:lineRule="exact"/>
              <w:rPr>
                <w:rFonts w:hint="eastAsia"/>
                <w:color w:val="auto"/>
                <w:highlight w:val="none"/>
              </w:rPr>
            </w:pPr>
            <w:r>
              <w:rPr>
                <w:rFonts w:hint="eastAsia"/>
                <w:color w:val="auto"/>
                <w:highlight w:val="none"/>
              </w:rPr>
              <w:t>1、根据《政府采购促进中小企业发展暂行办法》（财库【2020】46 号文）、《关于落实好政府采购支持中小企业发展的通知》（新财购〔2022〕22 号文）规定执行；</w:t>
            </w:r>
          </w:p>
          <w:p w14:paraId="7ED555AC">
            <w:pPr>
              <w:pStyle w:val="31"/>
              <w:spacing w:before="0" w:beforeAutospacing="0" w:after="62" w:afterLines="26" w:afterAutospacing="0" w:line="440" w:lineRule="exact"/>
              <w:rPr>
                <w:rFonts w:hint="eastAsia"/>
                <w:color w:val="auto"/>
                <w:highlight w:val="none"/>
              </w:rPr>
            </w:pPr>
            <w:r>
              <w:rPr>
                <w:rFonts w:hint="eastAsia"/>
                <w:color w:val="auto"/>
                <w:highlight w:val="none"/>
              </w:rPr>
              <w:t>2、根据工信部等部委发布的《关于印发中小企业划型标准规定的通知》（工信部联企业[2011]300 号）规定执行； 本项目采购标的对应的中小企业划分标准所属行业为</w:t>
            </w:r>
            <w:r>
              <w:rPr>
                <w:rFonts w:hint="eastAsia"/>
                <w:color w:val="auto"/>
                <w:highlight w:val="none"/>
                <w:u w:val="single"/>
              </w:rPr>
              <w:t xml:space="preserve"> “</w:t>
            </w:r>
            <w:r>
              <w:rPr>
                <w:rFonts w:hint="eastAsia"/>
                <w:color w:val="auto"/>
                <w:highlight w:val="none"/>
                <w:u w:val="single"/>
                <w:lang w:val="en-US" w:eastAsia="zh-CN"/>
              </w:rPr>
              <w:t>租赁和</w:t>
            </w:r>
            <w:r>
              <w:rPr>
                <w:rFonts w:hint="eastAsia"/>
                <w:color w:val="auto"/>
                <w:highlight w:val="none"/>
                <w:u w:val="single"/>
              </w:rPr>
              <w:t>商业服务” 。</w:t>
            </w:r>
          </w:p>
        </w:tc>
      </w:tr>
      <w:tr w14:paraId="43D6B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688" w:type="dxa"/>
            <w:noWrap w:val="0"/>
            <w:vAlign w:val="center"/>
          </w:tcPr>
          <w:p w14:paraId="3EE7E2EC">
            <w:pPr>
              <w:numPr>
                <w:ilvl w:val="0"/>
                <w:numId w:val="3"/>
              </w:numPr>
              <w:spacing w:line="440" w:lineRule="exact"/>
              <w:jc w:val="center"/>
              <w:rPr>
                <w:rFonts w:hint="eastAsia" w:ascii="宋体" w:hAnsi="宋体" w:eastAsia="宋体" w:cs="宋体"/>
                <w:color w:val="auto"/>
                <w:kern w:val="0"/>
                <w:sz w:val="24"/>
                <w:highlight w:val="none"/>
              </w:rPr>
            </w:pPr>
          </w:p>
        </w:tc>
        <w:tc>
          <w:tcPr>
            <w:tcW w:w="1431" w:type="dxa"/>
            <w:noWrap w:val="0"/>
            <w:vAlign w:val="center"/>
          </w:tcPr>
          <w:p w14:paraId="71D98964">
            <w:pPr>
              <w:keepNext/>
              <w:widowControl/>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招标公告</w:t>
            </w:r>
          </w:p>
          <w:p w14:paraId="5A82BCD3">
            <w:pPr>
              <w:keepNext/>
              <w:widowControl/>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发布媒介</w:t>
            </w:r>
          </w:p>
        </w:tc>
        <w:tc>
          <w:tcPr>
            <w:tcW w:w="7721" w:type="dxa"/>
            <w:noWrap w:val="0"/>
            <w:vAlign w:val="center"/>
          </w:tcPr>
          <w:p w14:paraId="03827499">
            <w:pPr>
              <w:pStyle w:val="31"/>
              <w:spacing w:before="0" w:beforeAutospacing="0" w:after="62" w:afterLines="26" w:afterAutospacing="0" w:line="440" w:lineRule="exact"/>
              <w:rPr>
                <w:rFonts w:hint="eastAsia"/>
                <w:color w:val="auto"/>
                <w:highlight w:val="none"/>
              </w:rPr>
            </w:pPr>
            <w:r>
              <w:rPr>
                <w:rFonts w:hint="eastAsia"/>
                <w:color w:val="auto"/>
                <w:highlight w:val="none"/>
              </w:rPr>
              <w:t>新疆政府采购网（http://www.ccgp-xinjiang.gov.cn）</w:t>
            </w:r>
          </w:p>
        </w:tc>
      </w:tr>
      <w:tr w14:paraId="7F395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688" w:type="dxa"/>
            <w:noWrap w:val="0"/>
            <w:vAlign w:val="center"/>
          </w:tcPr>
          <w:p w14:paraId="09BE6A52">
            <w:pPr>
              <w:numPr>
                <w:ilvl w:val="0"/>
                <w:numId w:val="3"/>
              </w:numPr>
              <w:spacing w:line="440" w:lineRule="exact"/>
              <w:jc w:val="center"/>
              <w:rPr>
                <w:rFonts w:hint="eastAsia" w:ascii="宋体" w:hAnsi="宋体" w:eastAsia="宋体" w:cs="宋体"/>
                <w:color w:val="auto"/>
                <w:kern w:val="0"/>
                <w:sz w:val="24"/>
                <w:highlight w:val="none"/>
              </w:rPr>
            </w:pPr>
          </w:p>
        </w:tc>
        <w:tc>
          <w:tcPr>
            <w:tcW w:w="1431" w:type="dxa"/>
            <w:noWrap w:val="0"/>
            <w:vAlign w:val="center"/>
          </w:tcPr>
          <w:p w14:paraId="1F55E92B">
            <w:pPr>
              <w:keepNext/>
              <w:widowControl/>
              <w:spacing w:line="440" w:lineRule="exact"/>
              <w:jc w:val="center"/>
              <w:rPr>
                <w:rFonts w:hint="eastAsia" w:ascii="宋体" w:hAnsi="宋体" w:eastAsia="宋体" w:cs="宋体"/>
                <w:color w:val="auto"/>
                <w:kern w:val="10"/>
                <w:sz w:val="24"/>
                <w:highlight w:val="none"/>
              </w:rPr>
            </w:pPr>
            <w:r>
              <w:rPr>
                <w:rFonts w:hint="eastAsia" w:ascii="宋体" w:hAnsi="宋体" w:eastAsia="宋体" w:cs="宋体"/>
                <w:color w:val="auto"/>
                <w:sz w:val="24"/>
                <w:highlight w:val="none"/>
              </w:rPr>
              <w:t>采购方式</w:t>
            </w:r>
          </w:p>
        </w:tc>
        <w:tc>
          <w:tcPr>
            <w:tcW w:w="7721" w:type="dxa"/>
            <w:noWrap w:val="0"/>
            <w:vAlign w:val="center"/>
          </w:tcPr>
          <w:p w14:paraId="301E615C">
            <w:pPr>
              <w:keepNext/>
              <w:widowControl/>
              <w:spacing w:line="44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竞争性磋商</w:t>
            </w:r>
          </w:p>
        </w:tc>
      </w:tr>
      <w:tr w14:paraId="041FD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688" w:type="dxa"/>
            <w:noWrap w:val="0"/>
            <w:vAlign w:val="center"/>
          </w:tcPr>
          <w:p w14:paraId="36450389">
            <w:pPr>
              <w:numPr>
                <w:ilvl w:val="0"/>
                <w:numId w:val="3"/>
              </w:numPr>
              <w:spacing w:line="440" w:lineRule="exact"/>
              <w:jc w:val="center"/>
              <w:rPr>
                <w:rFonts w:hint="eastAsia" w:ascii="宋体" w:hAnsi="宋体" w:eastAsia="宋体" w:cs="宋体"/>
                <w:color w:val="auto"/>
                <w:kern w:val="0"/>
                <w:sz w:val="24"/>
                <w:highlight w:val="none"/>
              </w:rPr>
            </w:pPr>
          </w:p>
        </w:tc>
        <w:tc>
          <w:tcPr>
            <w:tcW w:w="1431" w:type="dxa"/>
            <w:noWrap w:val="0"/>
            <w:vAlign w:val="center"/>
          </w:tcPr>
          <w:p w14:paraId="381C606C">
            <w:pPr>
              <w:keepNext/>
              <w:widowControl/>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响应报价的</w:t>
            </w:r>
          </w:p>
          <w:p w14:paraId="2B0B7A39">
            <w:pPr>
              <w:keepNext/>
              <w:widowControl/>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次数</w:t>
            </w:r>
          </w:p>
        </w:tc>
        <w:tc>
          <w:tcPr>
            <w:tcW w:w="7721" w:type="dxa"/>
            <w:noWrap w:val="0"/>
            <w:vAlign w:val="center"/>
          </w:tcPr>
          <w:p w14:paraId="7CB3D9BE">
            <w:pPr>
              <w:keepNext/>
              <w:widowControl/>
              <w:spacing w:line="44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本次响应报价实行两轮报价，原则上第二轮报价为最终报价。</w:t>
            </w:r>
          </w:p>
        </w:tc>
      </w:tr>
      <w:tr w14:paraId="4CD1A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688" w:type="dxa"/>
            <w:noWrap w:val="0"/>
            <w:vAlign w:val="center"/>
          </w:tcPr>
          <w:p w14:paraId="258583C9">
            <w:pPr>
              <w:numPr>
                <w:ilvl w:val="0"/>
                <w:numId w:val="3"/>
              </w:numPr>
              <w:spacing w:line="440" w:lineRule="exact"/>
              <w:jc w:val="center"/>
              <w:rPr>
                <w:rFonts w:hint="eastAsia" w:ascii="宋体" w:hAnsi="宋体" w:eastAsia="宋体" w:cs="宋体"/>
                <w:color w:val="auto"/>
                <w:kern w:val="0"/>
                <w:sz w:val="24"/>
                <w:highlight w:val="none"/>
              </w:rPr>
            </w:pPr>
          </w:p>
        </w:tc>
        <w:tc>
          <w:tcPr>
            <w:tcW w:w="1431" w:type="dxa"/>
            <w:noWrap w:val="0"/>
            <w:vAlign w:val="center"/>
          </w:tcPr>
          <w:p w14:paraId="7B58034B">
            <w:pPr>
              <w:keepNext/>
              <w:widowControl/>
              <w:spacing w:line="440" w:lineRule="exact"/>
              <w:jc w:val="center"/>
              <w:rPr>
                <w:rFonts w:hint="eastAsia" w:ascii="宋体" w:hAnsi="宋体" w:eastAsia="宋体" w:cs="宋体"/>
                <w:color w:val="auto"/>
                <w:kern w:val="10"/>
                <w:sz w:val="24"/>
                <w:highlight w:val="none"/>
              </w:rPr>
            </w:pPr>
            <w:r>
              <w:rPr>
                <w:rFonts w:hint="eastAsia" w:ascii="宋体" w:hAnsi="宋体" w:eastAsia="宋体" w:cs="宋体"/>
                <w:color w:val="auto"/>
                <w:kern w:val="0"/>
                <w:sz w:val="24"/>
                <w:highlight w:val="none"/>
              </w:rPr>
              <w:t>现场踏勘</w:t>
            </w:r>
          </w:p>
        </w:tc>
        <w:tc>
          <w:tcPr>
            <w:tcW w:w="7721" w:type="dxa"/>
            <w:noWrap w:val="0"/>
            <w:vAlign w:val="center"/>
          </w:tcPr>
          <w:p w14:paraId="329BA445">
            <w:pPr>
              <w:keepNext/>
              <w:widowControl/>
              <w:spacing w:line="44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不组织</w:t>
            </w:r>
          </w:p>
          <w:p w14:paraId="7536403B">
            <w:pPr>
              <w:keepNext/>
              <w:widowControl/>
              <w:spacing w:line="44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组织，踏勘时间：</w:t>
            </w:r>
          </w:p>
          <w:p w14:paraId="7BDA7950">
            <w:pPr>
              <w:keepNext/>
              <w:widowControl/>
              <w:spacing w:line="44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踏勘集中地点：</w:t>
            </w:r>
          </w:p>
        </w:tc>
      </w:tr>
      <w:tr w14:paraId="568FF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688" w:type="dxa"/>
            <w:noWrap w:val="0"/>
            <w:vAlign w:val="center"/>
          </w:tcPr>
          <w:p w14:paraId="11E26FEF">
            <w:pPr>
              <w:numPr>
                <w:ilvl w:val="0"/>
                <w:numId w:val="3"/>
              </w:numPr>
              <w:spacing w:line="440" w:lineRule="exact"/>
              <w:jc w:val="center"/>
              <w:rPr>
                <w:rFonts w:hint="eastAsia" w:ascii="宋体" w:hAnsi="宋体" w:eastAsia="宋体" w:cs="宋体"/>
                <w:color w:val="auto"/>
                <w:kern w:val="0"/>
                <w:sz w:val="24"/>
                <w:highlight w:val="none"/>
              </w:rPr>
            </w:pPr>
          </w:p>
        </w:tc>
        <w:tc>
          <w:tcPr>
            <w:tcW w:w="1431" w:type="dxa"/>
            <w:noWrap w:val="0"/>
            <w:vAlign w:val="center"/>
          </w:tcPr>
          <w:p w14:paraId="573577B8">
            <w:pPr>
              <w:widowControl/>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是否接受联合体投标</w:t>
            </w:r>
          </w:p>
        </w:tc>
        <w:tc>
          <w:tcPr>
            <w:tcW w:w="7721" w:type="dxa"/>
            <w:noWrap w:val="0"/>
            <w:vAlign w:val="center"/>
          </w:tcPr>
          <w:p w14:paraId="3F790F1C">
            <w:pPr>
              <w:widowControl/>
              <w:spacing w:line="44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zh-CN"/>
              </w:rPr>
              <w:t>☑ 不接受</w:t>
            </w:r>
          </w:p>
        </w:tc>
      </w:tr>
      <w:tr w14:paraId="45B01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688" w:type="dxa"/>
            <w:noWrap w:val="0"/>
            <w:vAlign w:val="center"/>
          </w:tcPr>
          <w:p w14:paraId="44F8FD58">
            <w:pPr>
              <w:numPr>
                <w:ilvl w:val="0"/>
                <w:numId w:val="3"/>
              </w:numPr>
              <w:spacing w:line="440" w:lineRule="exact"/>
              <w:jc w:val="center"/>
              <w:rPr>
                <w:rFonts w:hint="eastAsia" w:ascii="宋体" w:hAnsi="宋体" w:eastAsia="宋体" w:cs="宋体"/>
                <w:color w:val="auto"/>
                <w:kern w:val="0"/>
                <w:sz w:val="24"/>
                <w:highlight w:val="none"/>
              </w:rPr>
            </w:pPr>
          </w:p>
        </w:tc>
        <w:tc>
          <w:tcPr>
            <w:tcW w:w="1431" w:type="dxa"/>
            <w:noWrap w:val="0"/>
            <w:vAlign w:val="center"/>
          </w:tcPr>
          <w:p w14:paraId="552B8F05">
            <w:pPr>
              <w:keepNext/>
              <w:widowControl/>
              <w:spacing w:line="440" w:lineRule="exact"/>
              <w:jc w:val="center"/>
              <w:rPr>
                <w:rFonts w:hint="eastAsia" w:ascii="宋体" w:hAnsi="宋体" w:eastAsia="宋体" w:cs="宋体"/>
                <w:color w:val="auto"/>
                <w:kern w:val="0"/>
                <w:sz w:val="24"/>
                <w:highlight w:val="none"/>
                <w:lang w:val="zh-CN" w:bidi="zh-CN"/>
              </w:rPr>
            </w:pPr>
            <w:r>
              <w:rPr>
                <w:rFonts w:hint="eastAsia" w:ascii="宋体" w:hAnsi="宋体" w:eastAsia="宋体" w:cs="宋体"/>
                <w:color w:val="auto"/>
                <w:kern w:val="0"/>
                <w:sz w:val="24"/>
                <w:highlight w:val="none"/>
                <w:lang w:val="zh-CN" w:bidi="zh-CN"/>
              </w:rPr>
              <w:t>分包</w:t>
            </w:r>
          </w:p>
        </w:tc>
        <w:tc>
          <w:tcPr>
            <w:tcW w:w="7721" w:type="dxa"/>
            <w:noWrap w:val="0"/>
            <w:vAlign w:val="center"/>
          </w:tcPr>
          <w:p w14:paraId="1B3D1D60">
            <w:pPr>
              <w:keepNext/>
              <w:widowControl/>
              <w:spacing w:line="440" w:lineRule="exact"/>
              <w:jc w:val="left"/>
              <w:rPr>
                <w:rFonts w:hint="eastAsia" w:ascii="宋体" w:hAnsi="宋体" w:eastAsia="宋体" w:cs="宋体"/>
                <w:color w:val="auto"/>
                <w:kern w:val="0"/>
                <w:sz w:val="24"/>
                <w:highlight w:val="none"/>
                <w:lang w:bidi="zh-CN"/>
              </w:rPr>
            </w:pPr>
            <w:r>
              <w:rPr>
                <w:rFonts w:hint="eastAsia" w:ascii="宋体" w:hAnsi="宋体" w:eastAsia="宋体" w:cs="宋体"/>
                <w:color w:val="auto"/>
                <w:kern w:val="0"/>
                <w:sz w:val="24"/>
                <w:highlight w:val="none"/>
                <w:lang w:bidi="zh-CN"/>
              </w:rPr>
              <w:t xml:space="preserve">☑不允许分包      </w:t>
            </w:r>
          </w:p>
          <w:p w14:paraId="76009211">
            <w:pPr>
              <w:keepNext/>
              <w:widowControl/>
              <w:spacing w:line="440" w:lineRule="exact"/>
              <w:jc w:val="left"/>
              <w:rPr>
                <w:rFonts w:hint="eastAsia" w:ascii="宋体" w:hAnsi="宋体" w:eastAsia="宋体" w:cs="宋体"/>
                <w:color w:val="auto"/>
                <w:kern w:val="0"/>
                <w:sz w:val="24"/>
                <w:highlight w:val="none"/>
                <w:lang w:bidi="zh-CN"/>
              </w:rPr>
            </w:pPr>
            <w:r>
              <w:rPr>
                <w:rFonts w:hint="eastAsia" w:ascii="宋体" w:hAnsi="宋体" w:eastAsia="宋体" w:cs="宋体"/>
                <w:color w:val="auto"/>
                <w:kern w:val="0"/>
                <w:sz w:val="24"/>
                <w:highlight w:val="none"/>
                <w:lang w:bidi="zh-CN"/>
              </w:rPr>
              <w:t>□允许分包，分包要求：</w:t>
            </w:r>
            <w:r>
              <w:rPr>
                <w:rFonts w:hint="eastAsia" w:ascii="宋体" w:hAnsi="宋体" w:eastAsia="宋体" w:cs="宋体"/>
                <w:color w:val="auto"/>
                <w:kern w:val="0"/>
                <w:sz w:val="24"/>
                <w:highlight w:val="none"/>
                <w:u w:val="single"/>
                <w:lang w:bidi="zh-CN"/>
              </w:rPr>
              <w:t xml:space="preserve">           </w:t>
            </w:r>
          </w:p>
        </w:tc>
      </w:tr>
      <w:tr w14:paraId="470DC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688" w:type="dxa"/>
            <w:noWrap w:val="0"/>
            <w:vAlign w:val="center"/>
          </w:tcPr>
          <w:p w14:paraId="0F3AA403">
            <w:pPr>
              <w:numPr>
                <w:ilvl w:val="0"/>
                <w:numId w:val="3"/>
              </w:numPr>
              <w:spacing w:line="440" w:lineRule="exact"/>
              <w:jc w:val="center"/>
              <w:rPr>
                <w:rFonts w:hint="eastAsia" w:ascii="宋体" w:hAnsi="宋体" w:eastAsia="宋体" w:cs="宋体"/>
                <w:color w:val="auto"/>
                <w:kern w:val="0"/>
                <w:sz w:val="24"/>
                <w:highlight w:val="none"/>
              </w:rPr>
            </w:pPr>
          </w:p>
        </w:tc>
        <w:tc>
          <w:tcPr>
            <w:tcW w:w="1431" w:type="dxa"/>
            <w:noWrap w:val="0"/>
            <w:vAlign w:val="center"/>
          </w:tcPr>
          <w:p w14:paraId="224DC79C">
            <w:pPr>
              <w:widowControl/>
              <w:spacing w:line="440" w:lineRule="exact"/>
              <w:jc w:val="center"/>
              <w:rPr>
                <w:rFonts w:hint="eastAsia" w:ascii="宋体" w:hAnsi="宋体" w:eastAsia="宋体" w:cs="宋体"/>
                <w:color w:val="auto"/>
                <w:kern w:val="0"/>
                <w:sz w:val="24"/>
                <w:highlight w:val="none"/>
                <w:lang w:val="zh-CN" w:bidi="zh-CN"/>
              </w:rPr>
            </w:pPr>
            <w:r>
              <w:rPr>
                <w:rFonts w:hint="eastAsia" w:ascii="宋体" w:hAnsi="宋体" w:eastAsia="宋体" w:cs="宋体"/>
                <w:color w:val="auto"/>
                <w:sz w:val="24"/>
                <w:highlight w:val="none"/>
              </w:rPr>
              <w:t>投标预备会</w:t>
            </w:r>
          </w:p>
        </w:tc>
        <w:tc>
          <w:tcPr>
            <w:tcW w:w="7721" w:type="dxa"/>
            <w:noWrap w:val="0"/>
            <w:vAlign w:val="center"/>
          </w:tcPr>
          <w:p w14:paraId="14BDEDB8">
            <w:pPr>
              <w:widowControl/>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不召开</w:t>
            </w:r>
          </w:p>
          <w:p w14:paraId="1FDEB43E">
            <w:pPr>
              <w:widowControl/>
              <w:spacing w:line="440" w:lineRule="exact"/>
              <w:rPr>
                <w:rFonts w:hint="eastAsia" w:ascii="宋体" w:hAnsi="宋体" w:eastAsia="宋体" w:cs="宋体"/>
                <w:color w:val="auto"/>
                <w:kern w:val="0"/>
                <w:sz w:val="24"/>
                <w:highlight w:val="none"/>
                <w:lang w:bidi="zh-CN"/>
              </w:rPr>
            </w:pPr>
            <w:r>
              <w:rPr>
                <w:rFonts w:hint="eastAsia" w:ascii="宋体" w:hAnsi="宋体" w:eastAsia="宋体" w:cs="宋体"/>
                <w:color w:val="auto"/>
                <w:sz w:val="24"/>
                <w:highlight w:val="none"/>
              </w:rPr>
              <w:t>□ 召开，召开时间：        召开地点：</w:t>
            </w:r>
          </w:p>
        </w:tc>
      </w:tr>
      <w:tr w14:paraId="24A90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688" w:type="dxa"/>
            <w:noWrap w:val="0"/>
            <w:vAlign w:val="center"/>
          </w:tcPr>
          <w:p w14:paraId="13BEA8A0">
            <w:pPr>
              <w:numPr>
                <w:ilvl w:val="0"/>
                <w:numId w:val="3"/>
              </w:numPr>
              <w:spacing w:line="440" w:lineRule="exact"/>
              <w:jc w:val="center"/>
              <w:rPr>
                <w:rFonts w:hint="eastAsia" w:ascii="宋体" w:hAnsi="宋体" w:eastAsia="宋体" w:cs="宋体"/>
                <w:color w:val="auto"/>
                <w:kern w:val="0"/>
                <w:sz w:val="24"/>
                <w:highlight w:val="none"/>
              </w:rPr>
            </w:pPr>
          </w:p>
        </w:tc>
        <w:tc>
          <w:tcPr>
            <w:tcW w:w="1431" w:type="dxa"/>
            <w:noWrap w:val="0"/>
            <w:vAlign w:val="center"/>
          </w:tcPr>
          <w:p w14:paraId="6008BDE8">
            <w:pPr>
              <w:widowControl/>
              <w:spacing w:line="440" w:lineRule="exact"/>
              <w:jc w:val="center"/>
              <w:rPr>
                <w:rFonts w:hint="eastAsia" w:ascii="宋体" w:hAnsi="宋体" w:eastAsia="宋体" w:cs="宋体"/>
                <w:color w:val="auto"/>
                <w:sz w:val="24"/>
                <w:highlight w:val="none"/>
                <w:lang w:val="zh-CN" w:bidi="zh-CN"/>
              </w:rPr>
            </w:pPr>
            <w:r>
              <w:rPr>
                <w:rFonts w:hint="eastAsia" w:ascii="宋体" w:hAnsi="宋体" w:eastAsia="宋体" w:cs="宋体"/>
                <w:color w:val="auto"/>
                <w:sz w:val="24"/>
                <w:highlight w:val="none"/>
                <w:lang w:val="zh-CN" w:bidi="zh-CN"/>
              </w:rPr>
              <w:t>供应商提出问题的截止时间</w:t>
            </w:r>
          </w:p>
        </w:tc>
        <w:tc>
          <w:tcPr>
            <w:tcW w:w="7721" w:type="dxa"/>
            <w:noWrap w:val="0"/>
            <w:vAlign w:val="center"/>
          </w:tcPr>
          <w:p w14:paraId="79963622">
            <w:pPr>
              <w:widowControl/>
              <w:wordWrap w:val="0"/>
              <w:spacing w:line="440" w:lineRule="exact"/>
              <w:jc w:val="left"/>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val="zh-CN" w:bidi="zh-CN"/>
              </w:rPr>
              <w:t>供应商如有疑问，于202</w:t>
            </w:r>
            <w:r>
              <w:rPr>
                <w:rFonts w:hint="eastAsia" w:ascii="宋体" w:hAnsi="宋体" w:eastAsia="宋体" w:cs="宋体"/>
                <w:color w:val="auto"/>
                <w:sz w:val="24"/>
                <w:highlight w:val="none"/>
                <w:lang w:bidi="zh-CN"/>
              </w:rPr>
              <w:t>5</w:t>
            </w:r>
            <w:r>
              <w:rPr>
                <w:rFonts w:hint="eastAsia" w:ascii="宋体" w:hAnsi="宋体" w:eastAsia="宋体" w:cs="宋体"/>
                <w:color w:val="auto"/>
                <w:sz w:val="24"/>
                <w:highlight w:val="none"/>
                <w:lang w:val="zh-CN" w:bidi="zh-CN"/>
              </w:rPr>
              <w:t>年</w:t>
            </w:r>
            <w:r>
              <w:rPr>
                <w:rFonts w:hint="eastAsia" w:ascii="宋体" w:hAnsi="宋体" w:cs="宋体"/>
                <w:color w:val="auto"/>
                <w:sz w:val="24"/>
                <w:highlight w:val="none"/>
                <w:lang w:val="en-US" w:bidi="zh-CN"/>
              </w:rPr>
              <w:t>07</w:t>
            </w:r>
            <w:r>
              <w:rPr>
                <w:rFonts w:hint="eastAsia" w:ascii="宋体" w:hAnsi="宋体" w:eastAsia="宋体" w:cs="宋体"/>
                <w:color w:val="auto"/>
                <w:sz w:val="24"/>
                <w:highlight w:val="none"/>
                <w:lang w:val="zh-CN" w:bidi="zh-CN"/>
              </w:rPr>
              <w:t>月</w:t>
            </w:r>
            <w:r>
              <w:rPr>
                <w:rFonts w:hint="eastAsia" w:ascii="宋体" w:hAnsi="宋体" w:cs="宋体"/>
                <w:color w:val="auto"/>
                <w:sz w:val="24"/>
                <w:highlight w:val="none"/>
                <w:lang w:val="en-US" w:bidi="zh-CN"/>
              </w:rPr>
              <w:t>17</w:t>
            </w:r>
            <w:r>
              <w:rPr>
                <w:rFonts w:hint="eastAsia" w:ascii="宋体" w:hAnsi="宋体" w:eastAsia="宋体" w:cs="宋体"/>
                <w:color w:val="auto"/>
                <w:sz w:val="24"/>
                <w:highlight w:val="none"/>
                <w:lang w:val="zh-CN" w:bidi="zh-CN"/>
              </w:rPr>
              <w:t>日</w:t>
            </w:r>
            <w:r>
              <w:rPr>
                <w:rFonts w:hint="eastAsia" w:ascii="宋体" w:hAnsi="宋体" w:cs="宋体"/>
                <w:color w:val="auto"/>
                <w:sz w:val="24"/>
                <w:highlight w:val="none"/>
                <w:lang w:val="en-US" w:bidi="zh-CN"/>
              </w:rPr>
              <w:t>19</w:t>
            </w:r>
            <w:r>
              <w:rPr>
                <w:rFonts w:hint="eastAsia" w:ascii="宋体" w:hAnsi="宋体" w:eastAsia="宋体" w:cs="宋体"/>
                <w:color w:val="auto"/>
                <w:sz w:val="24"/>
                <w:highlight w:val="none"/>
                <w:lang w:val="zh-CN" w:bidi="zh-CN"/>
              </w:rPr>
              <w:t>:</w:t>
            </w:r>
            <w:r>
              <w:rPr>
                <w:rFonts w:hint="eastAsia" w:ascii="宋体" w:hAnsi="宋体" w:cs="宋体"/>
                <w:color w:val="auto"/>
                <w:sz w:val="24"/>
                <w:highlight w:val="none"/>
                <w:lang w:val="en-US" w:bidi="zh-CN"/>
              </w:rPr>
              <w:t>30</w:t>
            </w:r>
            <w:r>
              <w:rPr>
                <w:rFonts w:hint="eastAsia" w:ascii="宋体" w:hAnsi="宋体" w:eastAsia="宋体" w:cs="宋体"/>
                <w:color w:val="auto"/>
                <w:sz w:val="24"/>
                <w:highlight w:val="none"/>
                <w:lang w:val="zh-CN" w:bidi="zh-CN"/>
              </w:rPr>
              <w:t>前将有关疑问以书面形式（加盖供应商公章）送达（同时将疑问电子版发至</w:t>
            </w:r>
            <w:r>
              <w:rPr>
                <w:rFonts w:hint="eastAsia" w:ascii="宋体" w:hAnsi="宋体" w:eastAsia="宋体" w:cs="宋体"/>
                <w:color w:val="auto"/>
                <w:sz w:val="24"/>
                <w:highlight w:val="none"/>
                <w:lang w:bidi="zh-CN"/>
              </w:rPr>
              <w:t>78323999</w:t>
            </w:r>
            <w:r>
              <w:rPr>
                <w:rFonts w:hint="eastAsia" w:ascii="宋体" w:hAnsi="宋体" w:eastAsia="宋体" w:cs="宋体"/>
                <w:color w:val="auto"/>
                <w:sz w:val="24"/>
                <w:highlight w:val="none"/>
              </w:rPr>
              <w:t>@qq.com</w:t>
            </w:r>
            <w:r>
              <w:rPr>
                <w:rFonts w:hint="eastAsia" w:ascii="宋体" w:hAnsi="宋体" w:eastAsia="宋体" w:cs="宋体"/>
                <w:color w:val="auto"/>
                <w:sz w:val="24"/>
                <w:highlight w:val="none"/>
                <w:lang w:val="zh-CN" w:bidi="zh-CN"/>
              </w:rPr>
              <w:t>）至新疆元誉工程项目管理有限公司，</w:t>
            </w:r>
            <w:r>
              <w:rPr>
                <w:rFonts w:hint="eastAsia" w:ascii="宋体" w:hAnsi="宋体" w:eastAsia="宋体" w:cs="宋体"/>
                <w:color w:val="auto"/>
                <w:sz w:val="24"/>
                <w:highlight w:val="none"/>
                <w:lang w:bidi="zh-CN"/>
              </w:rPr>
              <w:t>采购</w:t>
            </w:r>
            <w:r>
              <w:rPr>
                <w:rFonts w:hint="eastAsia" w:ascii="宋体" w:hAnsi="宋体" w:eastAsia="宋体" w:cs="宋体"/>
                <w:color w:val="auto"/>
                <w:sz w:val="24"/>
                <w:highlight w:val="none"/>
                <w:lang w:val="zh-CN" w:bidi="zh-CN"/>
              </w:rPr>
              <w:t>人将对所提疑问以书面形式通知至领取采购文件的每位供应商。</w:t>
            </w:r>
            <w:r>
              <w:rPr>
                <w:rFonts w:hint="eastAsia" w:ascii="宋体" w:hAnsi="宋体" w:eastAsia="宋体" w:cs="宋体"/>
                <w:color w:val="auto"/>
                <w:sz w:val="24"/>
                <w:highlight w:val="none"/>
                <w:lang w:bidi="zh-CN"/>
              </w:rPr>
              <w:t xml:space="preserve">  </w:t>
            </w:r>
          </w:p>
          <w:p w14:paraId="1334027A">
            <w:pPr>
              <w:widowControl/>
              <w:spacing w:line="440" w:lineRule="exact"/>
              <w:jc w:val="left"/>
              <w:rPr>
                <w:rFonts w:ascii="宋体" w:hAnsi="宋体" w:eastAsia="宋体" w:cs="宋体"/>
                <w:color w:val="auto"/>
                <w:sz w:val="24"/>
                <w:highlight w:val="none"/>
                <w:lang w:bidi="zh-CN"/>
              </w:rPr>
            </w:pPr>
            <w:r>
              <w:rPr>
                <w:rFonts w:hint="eastAsia" w:ascii="宋体" w:hAnsi="宋体" w:eastAsia="宋体" w:cs="宋体"/>
                <w:color w:val="auto"/>
                <w:sz w:val="24"/>
                <w:highlight w:val="none"/>
                <w:lang w:val="zh-CN" w:bidi="zh-CN"/>
              </w:rPr>
              <w:t>联系人：</w:t>
            </w:r>
            <w:r>
              <w:rPr>
                <w:rFonts w:hint="eastAsia" w:ascii="宋体" w:hAnsi="宋体" w:eastAsia="宋体" w:cs="宋体"/>
                <w:color w:val="auto"/>
                <w:sz w:val="24"/>
                <w:highlight w:val="none"/>
                <w:lang w:bidi="zh-CN"/>
              </w:rPr>
              <w:t xml:space="preserve">程先生       </w:t>
            </w:r>
            <w:r>
              <w:rPr>
                <w:rFonts w:hint="eastAsia" w:ascii="宋体" w:hAnsi="宋体" w:eastAsia="宋体" w:cs="宋体"/>
                <w:color w:val="auto"/>
                <w:sz w:val="24"/>
                <w:highlight w:val="none"/>
                <w:lang w:val="zh-CN" w:bidi="zh-CN"/>
              </w:rPr>
              <w:t>联系电话：</w:t>
            </w:r>
            <w:r>
              <w:rPr>
                <w:rFonts w:hint="eastAsia" w:ascii="宋体" w:hAnsi="宋体" w:eastAsia="宋体" w:cs="宋体"/>
                <w:color w:val="auto"/>
                <w:sz w:val="24"/>
                <w:highlight w:val="none"/>
                <w:lang w:bidi="zh-CN"/>
              </w:rPr>
              <w:t>18999507776</w:t>
            </w:r>
          </w:p>
        </w:tc>
      </w:tr>
      <w:tr w14:paraId="457DD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688" w:type="dxa"/>
            <w:noWrap w:val="0"/>
            <w:vAlign w:val="center"/>
          </w:tcPr>
          <w:p w14:paraId="2C23CF18">
            <w:pPr>
              <w:numPr>
                <w:ilvl w:val="0"/>
                <w:numId w:val="3"/>
              </w:numPr>
              <w:spacing w:line="440" w:lineRule="exact"/>
              <w:jc w:val="center"/>
              <w:rPr>
                <w:rFonts w:hint="eastAsia" w:ascii="宋体" w:hAnsi="宋体" w:eastAsia="宋体" w:cs="宋体"/>
                <w:color w:val="auto"/>
                <w:kern w:val="0"/>
                <w:sz w:val="24"/>
                <w:highlight w:val="none"/>
              </w:rPr>
            </w:pPr>
          </w:p>
        </w:tc>
        <w:tc>
          <w:tcPr>
            <w:tcW w:w="1431" w:type="dxa"/>
            <w:noWrap w:val="0"/>
            <w:vAlign w:val="center"/>
          </w:tcPr>
          <w:p w14:paraId="61C2EA8B">
            <w:pPr>
              <w:widowControl/>
              <w:spacing w:line="440" w:lineRule="exact"/>
              <w:jc w:val="center"/>
              <w:rPr>
                <w:rFonts w:hint="eastAsia" w:ascii="宋体" w:hAnsi="宋体" w:eastAsia="宋体" w:cs="宋体"/>
                <w:color w:val="auto"/>
                <w:spacing w:val="-11"/>
                <w:sz w:val="24"/>
                <w:highlight w:val="none"/>
                <w:lang w:bidi="zh-CN"/>
              </w:rPr>
            </w:pPr>
            <w:r>
              <w:rPr>
                <w:rFonts w:hint="eastAsia" w:ascii="宋体" w:hAnsi="宋体" w:eastAsia="宋体" w:cs="宋体"/>
                <w:color w:val="auto"/>
                <w:spacing w:val="-11"/>
                <w:sz w:val="24"/>
                <w:highlight w:val="none"/>
                <w:lang w:bidi="zh-CN"/>
              </w:rPr>
              <w:t>采购人书面</w:t>
            </w:r>
          </w:p>
          <w:p w14:paraId="4C86188F">
            <w:pPr>
              <w:widowControl/>
              <w:spacing w:line="440" w:lineRule="exact"/>
              <w:jc w:val="center"/>
              <w:rPr>
                <w:rFonts w:hint="eastAsia" w:ascii="宋体" w:hAnsi="宋体" w:eastAsia="宋体" w:cs="宋体"/>
                <w:color w:val="auto"/>
                <w:sz w:val="24"/>
                <w:highlight w:val="none"/>
                <w:lang w:val="zh-CN" w:bidi="zh-CN"/>
              </w:rPr>
            </w:pPr>
            <w:r>
              <w:rPr>
                <w:rFonts w:hint="eastAsia" w:ascii="宋体" w:hAnsi="宋体" w:eastAsia="宋体" w:cs="宋体"/>
                <w:color w:val="auto"/>
                <w:spacing w:val="-11"/>
                <w:sz w:val="24"/>
                <w:highlight w:val="none"/>
                <w:lang w:bidi="zh-CN"/>
              </w:rPr>
              <w:t>澄清的时间</w:t>
            </w:r>
          </w:p>
        </w:tc>
        <w:tc>
          <w:tcPr>
            <w:tcW w:w="7721" w:type="dxa"/>
            <w:noWrap w:val="0"/>
            <w:vAlign w:val="center"/>
          </w:tcPr>
          <w:p w14:paraId="233FA74E">
            <w:pPr>
              <w:widowControl/>
              <w:spacing w:line="440" w:lineRule="exact"/>
              <w:jc w:val="left"/>
              <w:rPr>
                <w:rFonts w:hint="eastAsia" w:ascii="宋体" w:hAnsi="宋体" w:eastAsia="宋体" w:cs="宋体"/>
                <w:color w:val="auto"/>
                <w:sz w:val="24"/>
                <w:highlight w:val="none"/>
                <w:lang w:val="zh-CN" w:bidi="zh-CN"/>
              </w:rPr>
            </w:pPr>
            <w:r>
              <w:rPr>
                <w:rFonts w:hint="eastAsia" w:ascii="宋体" w:hAnsi="宋体" w:eastAsia="宋体" w:cs="宋体"/>
                <w:color w:val="auto"/>
                <w:sz w:val="24"/>
                <w:highlight w:val="none"/>
                <w:lang w:bidi="zh-CN"/>
              </w:rPr>
              <w:t>在收到供应商提出问题后48小时内回复。</w:t>
            </w:r>
          </w:p>
        </w:tc>
      </w:tr>
      <w:tr w14:paraId="3627D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688" w:type="dxa"/>
            <w:noWrap w:val="0"/>
            <w:vAlign w:val="center"/>
          </w:tcPr>
          <w:p w14:paraId="40881CF6">
            <w:pPr>
              <w:numPr>
                <w:ilvl w:val="0"/>
                <w:numId w:val="3"/>
              </w:numPr>
              <w:spacing w:line="440" w:lineRule="exact"/>
              <w:jc w:val="center"/>
              <w:rPr>
                <w:rFonts w:hint="eastAsia" w:ascii="宋体" w:hAnsi="宋体" w:eastAsia="宋体" w:cs="宋体"/>
                <w:color w:val="auto"/>
                <w:kern w:val="0"/>
                <w:sz w:val="24"/>
                <w:highlight w:val="none"/>
              </w:rPr>
            </w:pPr>
          </w:p>
        </w:tc>
        <w:tc>
          <w:tcPr>
            <w:tcW w:w="1431" w:type="dxa"/>
            <w:noWrap w:val="0"/>
            <w:vAlign w:val="center"/>
          </w:tcPr>
          <w:p w14:paraId="0849C3CA">
            <w:pPr>
              <w:widowControl/>
              <w:spacing w:line="440" w:lineRule="exact"/>
              <w:jc w:val="center"/>
              <w:rPr>
                <w:rFonts w:hint="eastAsia" w:ascii="宋体" w:hAnsi="宋体" w:eastAsia="宋体" w:cs="宋体"/>
                <w:color w:val="auto"/>
                <w:spacing w:val="-11"/>
                <w:sz w:val="24"/>
                <w:highlight w:val="none"/>
                <w:lang w:bidi="zh-CN"/>
              </w:rPr>
            </w:pPr>
            <w:r>
              <w:rPr>
                <w:rFonts w:hint="eastAsia" w:ascii="宋体" w:hAnsi="宋体" w:eastAsia="宋体" w:cs="宋体"/>
                <w:color w:val="auto"/>
                <w:spacing w:val="-11"/>
                <w:sz w:val="24"/>
                <w:highlight w:val="none"/>
                <w:lang w:bidi="zh-CN"/>
              </w:rPr>
              <w:t>构成采购文件的其他材料</w:t>
            </w:r>
          </w:p>
        </w:tc>
        <w:tc>
          <w:tcPr>
            <w:tcW w:w="7721" w:type="dxa"/>
            <w:noWrap w:val="0"/>
            <w:vAlign w:val="center"/>
          </w:tcPr>
          <w:p w14:paraId="1EB6FBCF">
            <w:pPr>
              <w:widowControl/>
              <w:spacing w:line="440" w:lineRule="exact"/>
              <w:jc w:val="left"/>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val="zh-CN" w:bidi="zh-CN"/>
              </w:rPr>
              <w:t>采购人以书面形式发出的对招标文件的答疑、澄清、修改、补充内容。</w:t>
            </w:r>
          </w:p>
        </w:tc>
      </w:tr>
      <w:tr w14:paraId="0FDF3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62" w:hRule="atLeast"/>
          <w:jc w:val="center"/>
        </w:trPr>
        <w:tc>
          <w:tcPr>
            <w:tcW w:w="688" w:type="dxa"/>
            <w:noWrap w:val="0"/>
            <w:vAlign w:val="center"/>
          </w:tcPr>
          <w:p w14:paraId="173BB7FE">
            <w:pPr>
              <w:numPr>
                <w:ilvl w:val="0"/>
                <w:numId w:val="3"/>
              </w:numPr>
              <w:spacing w:line="440" w:lineRule="exact"/>
              <w:jc w:val="center"/>
              <w:rPr>
                <w:rFonts w:hint="eastAsia" w:ascii="宋体" w:hAnsi="宋体" w:eastAsia="宋体" w:cs="宋体"/>
                <w:color w:val="auto"/>
                <w:kern w:val="0"/>
                <w:sz w:val="24"/>
                <w:highlight w:val="none"/>
              </w:rPr>
            </w:pPr>
          </w:p>
        </w:tc>
        <w:tc>
          <w:tcPr>
            <w:tcW w:w="1431" w:type="dxa"/>
            <w:noWrap w:val="0"/>
            <w:vAlign w:val="center"/>
          </w:tcPr>
          <w:p w14:paraId="695DD6E9">
            <w:pPr>
              <w:keepNext/>
              <w:widowControl/>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响应文件</w:t>
            </w:r>
          </w:p>
          <w:p w14:paraId="35B35C7A">
            <w:pPr>
              <w:keepNext/>
              <w:widowControl/>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递交</w:t>
            </w:r>
          </w:p>
        </w:tc>
        <w:tc>
          <w:tcPr>
            <w:tcW w:w="7721" w:type="dxa"/>
            <w:noWrap w:val="0"/>
            <w:vAlign w:val="center"/>
          </w:tcPr>
          <w:p w14:paraId="70435A89">
            <w:pPr>
              <w:keepNext/>
              <w:widowControl/>
              <w:spacing w:line="44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截止时间：</w:t>
            </w:r>
            <w:r>
              <w:rPr>
                <w:rFonts w:hint="eastAsia" w:ascii="宋体" w:hAnsi="宋体" w:eastAsia="宋体" w:cs="宋体"/>
                <w:color w:val="auto"/>
                <w:sz w:val="24"/>
                <w:highlight w:val="none"/>
                <w:lang w:eastAsia="zh-CN"/>
              </w:rPr>
              <w:t>2025年</w:t>
            </w:r>
            <w:r>
              <w:rPr>
                <w:rFonts w:hint="eastAsia" w:ascii="宋体" w:hAnsi="宋体" w:cs="宋体"/>
                <w:color w:val="auto"/>
                <w:sz w:val="24"/>
                <w:highlight w:val="none"/>
                <w:lang w:val="en-US" w:eastAsia="zh-CN"/>
              </w:rPr>
              <w:t>07</w:t>
            </w:r>
            <w:r>
              <w:rPr>
                <w:rFonts w:hint="eastAsia" w:ascii="宋体" w:hAnsi="宋体" w:eastAsia="宋体" w:cs="宋体"/>
                <w:color w:val="auto"/>
                <w:sz w:val="24"/>
                <w:highlight w:val="none"/>
                <w:lang w:eastAsia="zh-CN"/>
              </w:rPr>
              <w:t>月</w:t>
            </w:r>
            <w:r>
              <w:rPr>
                <w:rFonts w:hint="eastAsia" w:ascii="宋体" w:hAnsi="宋体" w:cs="宋体"/>
                <w:color w:val="auto"/>
                <w:sz w:val="24"/>
                <w:highlight w:val="none"/>
                <w:lang w:val="en-US" w:eastAsia="zh-CN"/>
              </w:rPr>
              <w:t>18</w:t>
            </w:r>
            <w:r>
              <w:rPr>
                <w:rFonts w:hint="eastAsia" w:ascii="宋体" w:hAnsi="宋体" w:eastAsia="宋体" w:cs="宋体"/>
                <w:color w:val="auto"/>
                <w:sz w:val="24"/>
                <w:highlight w:val="none"/>
                <w:lang w:eastAsia="zh-CN"/>
              </w:rPr>
              <w:t>日</w:t>
            </w:r>
            <w:r>
              <w:rPr>
                <w:rFonts w:hint="eastAsia" w:ascii="宋体" w:hAnsi="宋体" w:cs="宋体"/>
                <w:color w:val="auto"/>
                <w:sz w:val="24"/>
                <w:highlight w:val="none"/>
                <w:lang w:val="en-US" w:eastAsia="zh-CN"/>
              </w:rPr>
              <w:t>16</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lang w:eastAsia="zh-CN"/>
              </w:rPr>
              <w:t>（北京时间）</w:t>
            </w:r>
          </w:p>
          <w:p w14:paraId="04CBFFF2">
            <w:pPr>
              <w:keepNext/>
              <w:widowControl/>
              <w:spacing w:line="440" w:lineRule="exact"/>
              <w:jc w:val="left"/>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rPr>
              <w:t>递交地点：</w:t>
            </w:r>
            <w:r>
              <w:rPr>
                <w:rFonts w:hint="eastAsia" w:ascii="宋体" w:hAnsi="宋体" w:eastAsia="宋体" w:cs="宋体"/>
                <w:color w:val="auto"/>
                <w:sz w:val="24"/>
                <w:highlight w:val="none"/>
              </w:rPr>
              <w:t>新疆政府采购网政采云平台（https://www.zcygov.cn）</w:t>
            </w:r>
          </w:p>
        </w:tc>
      </w:tr>
      <w:tr w14:paraId="47ABB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688" w:type="dxa"/>
            <w:noWrap w:val="0"/>
            <w:vAlign w:val="center"/>
          </w:tcPr>
          <w:p w14:paraId="260E01C0">
            <w:pPr>
              <w:numPr>
                <w:ilvl w:val="0"/>
                <w:numId w:val="3"/>
              </w:numPr>
              <w:spacing w:line="440" w:lineRule="exact"/>
              <w:jc w:val="center"/>
              <w:rPr>
                <w:rFonts w:hint="eastAsia" w:ascii="宋体" w:hAnsi="宋体" w:eastAsia="宋体" w:cs="宋体"/>
                <w:color w:val="auto"/>
                <w:kern w:val="0"/>
                <w:sz w:val="24"/>
                <w:highlight w:val="none"/>
              </w:rPr>
            </w:pPr>
          </w:p>
        </w:tc>
        <w:tc>
          <w:tcPr>
            <w:tcW w:w="1431" w:type="dxa"/>
            <w:noWrap w:val="0"/>
            <w:vAlign w:val="center"/>
          </w:tcPr>
          <w:p w14:paraId="1AC29112">
            <w:pPr>
              <w:keepNext/>
              <w:widowControl/>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开标时间</w:t>
            </w:r>
          </w:p>
          <w:p w14:paraId="234BF429">
            <w:pPr>
              <w:keepNext/>
              <w:widowControl/>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及地点</w:t>
            </w:r>
          </w:p>
        </w:tc>
        <w:tc>
          <w:tcPr>
            <w:tcW w:w="7721" w:type="dxa"/>
            <w:noWrap w:val="0"/>
            <w:vAlign w:val="center"/>
          </w:tcPr>
          <w:p w14:paraId="11D9C9EB">
            <w:pPr>
              <w:keepNext/>
              <w:widowControl/>
              <w:spacing w:line="440" w:lineRule="exact"/>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开标时间：</w:t>
            </w:r>
            <w:r>
              <w:rPr>
                <w:rFonts w:hint="eastAsia" w:ascii="宋体" w:hAnsi="宋体" w:eastAsia="宋体" w:cs="宋体"/>
                <w:color w:val="auto"/>
                <w:sz w:val="24"/>
                <w:highlight w:val="none"/>
                <w:lang w:eastAsia="zh-CN"/>
              </w:rPr>
              <w:t>2025年</w:t>
            </w:r>
            <w:r>
              <w:rPr>
                <w:rFonts w:hint="eastAsia" w:ascii="宋体" w:hAnsi="宋体" w:cs="宋体"/>
                <w:color w:val="auto"/>
                <w:sz w:val="24"/>
                <w:highlight w:val="none"/>
                <w:lang w:val="en-US" w:eastAsia="zh-CN"/>
              </w:rPr>
              <w:t>07</w:t>
            </w:r>
            <w:r>
              <w:rPr>
                <w:rFonts w:hint="eastAsia" w:ascii="宋体" w:hAnsi="宋体" w:eastAsia="宋体" w:cs="宋体"/>
                <w:color w:val="auto"/>
                <w:sz w:val="24"/>
                <w:highlight w:val="none"/>
                <w:lang w:eastAsia="zh-CN"/>
              </w:rPr>
              <w:t>月</w:t>
            </w:r>
            <w:r>
              <w:rPr>
                <w:rFonts w:hint="eastAsia" w:ascii="宋体" w:hAnsi="宋体" w:cs="宋体"/>
                <w:color w:val="auto"/>
                <w:sz w:val="24"/>
                <w:highlight w:val="none"/>
                <w:lang w:val="en-US" w:eastAsia="zh-CN"/>
              </w:rPr>
              <w:t>18</w:t>
            </w:r>
            <w:r>
              <w:rPr>
                <w:rFonts w:hint="eastAsia" w:ascii="宋体" w:hAnsi="宋体" w:eastAsia="宋体" w:cs="宋体"/>
                <w:color w:val="auto"/>
                <w:sz w:val="24"/>
                <w:highlight w:val="none"/>
                <w:lang w:eastAsia="zh-CN"/>
              </w:rPr>
              <w:t>日</w:t>
            </w:r>
            <w:r>
              <w:rPr>
                <w:rFonts w:hint="eastAsia" w:ascii="宋体" w:hAnsi="宋体" w:cs="宋体"/>
                <w:color w:val="auto"/>
                <w:sz w:val="24"/>
                <w:highlight w:val="none"/>
                <w:lang w:val="en-US" w:eastAsia="zh-CN"/>
              </w:rPr>
              <w:t>16</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lang w:eastAsia="zh-CN"/>
              </w:rPr>
              <w:t>（北京时间）</w:t>
            </w:r>
          </w:p>
          <w:p w14:paraId="63A26986">
            <w:pPr>
              <w:pStyle w:val="12"/>
              <w:wordWrap w:val="0"/>
              <w:spacing w:line="440" w:lineRule="exact"/>
              <w:rPr>
                <w:rStyle w:val="40"/>
                <w:rFonts w:hint="eastAsia" w:ascii="宋体" w:hAnsi="宋体" w:cs="宋体"/>
                <w:b w:val="0"/>
                <w:bCs/>
                <w:color w:val="auto"/>
                <w:szCs w:val="24"/>
                <w:highlight w:val="none"/>
              </w:rPr>
            </w:pPr>
            <w:r>
              <w:rPr>
                <w:rFonts w:hint="eastAsia" w:ascii="宋体" w:hAnsi="宋体" w:eastAsia="宋体" w:cs="宋体"/>
                <w:color w:val="auto"/>
                <w:szCs w:val="24"/>
                <w:highlight w:val="none"/>
              </w:rPr>
              <w:t>开标地点：</w:t>
            </w:r>
            <w:r>
              <w:rPr>
                <w:rStyle w:val="40"/>
                <w:rFonts w:hint="eastAsia" w:ascii="宋体" w:hAnsi="宋体" w:cs="宋体"/>
                <w:b w:val="0"/>
                <w:bCs/>
                <w:color w:val="auto"/>
                <w:szCs w:val="24"/>
                <w:highlight w:val="none"/>
              </w:rPr>
              <w:t>新疆政府采购网政采云平台（</w:t>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"http://www.zcygov.cn" </w:instrText>
            </w:r>
            <w:r>
              <w:rPr>
                <w:rFonts w:hint="eastAsia" w:ascii="宋体" w:hAnsi="宋体" w:eastAsia="宋体" w:cs="宋体"/>
                <w:color w:val="auto"/>
                <w:szCs w:val="24"/>
                <w:highlight w:val="none"/>
              </w:rPr>
              <w:fldChar w:fldCharType="separate"/>
            </w:r>
            <w:r>
              <w:rPr>
                <w:rStyle w:val="40"/>
                <w:rFonts w:hint="eastAsia" w:ascii="宋体" w:hAnsi="宋体" w:cs="宋体"/>
                <w:b w:val="0"/>
                <w:bCs/>
                <w:color w:val="auto"/>
                <w:szCs w:val="24"/>
                <w:highlight w:val="none"/>
              </w:rPr>
              <w:t>www.zcygov.cn</w:t>
            </w:r>
            <w:r>
              <w:rPr>
                <w:rStyle w:val="40"/>
                <w:rFonts w:hint="eastAsia" w:ascii="宋体" w:hAnsi="宋体" w:cs="宋体"/>
                <w:b w:val="0"/>
                <w:bCs/>
                <w:color w:val="auto"/>
                <w:szCs w:val="24"/>
                <w:highlight w:val="none"/>
              </w:rPr>
              <w:fldChar w:fldCharType="end"/>
            </w:r>
            <w:r>
              <w:rPr>
                <w:rStyle w:val="40"/>
                <w:rFonts w:hint="eastAsia" w:ascii="宋体" w:hAnsi="宋体" w:cs="宋体"/>
                <w:b w:val="0"/>
                <w:bCs/>
                <w:color w:val="auto"/>
                <w:szCs w:val="24"/>
                <w:highlight w:val="none"/>
              </w:rPr>
              <w:t>）</w:t>
            </w:r>
          </w:p>
          <w:p w14:paraId="77B91B82">
            <w:pPr>
              <w:pStyle w:val="12"/>
              <w:wordWrap w:val="0"/>
              <w:spacing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color w:val="auto"/>
                <w:kern w:val="2"/>
                <w:szCs w:val="24"/>
                <w:highlight w:val="none"/>
                <w:lang w:bidi="zh-CN"/>
              </w:rPr>
              <w:t>供应商登录政采云平台，进入“项目采购－开标评标”－右边选择对应项目点击“进入项目”进入开标大厅）。</w:t>
            </w:r>
          </w:p>
        </w:tc>
      </w:tr>
      <w:tr w14:paraId="6E303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369" w:hRule="atLeast"/>
          <w:jc w:val="center"/>
        </w:trPr>
        <w:tc>
          <w:tcPr>
            <w:tcW w:w="688" w:type="dxa"/>
            <w:noWrap w:val="0"/>
            <w:vAlign w:val="center"/>
          </w:tcPr>
          <w:p w14:paraId="5D7FEDCD">
            <w:pPr>
              <w:numPr>
                <w:ilvl w:val="0"/>
                <w:numId w:val="3"/>
              </w:numPr>
              <w:spacing w:line="440" w:lineRule="exact"/>
              <w:jc w:val="center"/>
              <w:rPr>
                <w:rFonts w:hint="eastAsia" w:ascii="宋体" w:hAnsi="宋体" w:eastAsia="宋体" w:cs="宋体"/>
                <w:color w:val="auto"/>
                <w:kern w:val="0"/>
                <w:sz w:val="24"/>
                <w:highlight w:val="none"/>
              </w:rPr>
            </w:pPr>
          </w:p>
        </w:tc>
        <w:tc>
          <w:tcPr>
            <w:tcW w:w="1431" w:type="dxa"/>
            <w:noWrap w:val="0"/>
            <w:vAlign w:val="center"/>
          </w:tcPr>
          <w:p w14:paraId="0FA35E04">
            <w:pPr>
              <w:pStyle w:val="31"/>
              <w:spacing w:before="75" w:beforeAutospacing="0" w:after="75" w:afterAutospacing="0" w:line="440" w:lineRule="exact"/>
              <w:jc w:val="center"/>
              <w:rPr>
                <w:rFonts w:hint="eastAsia"/>
                <w:color w:val="auto"/>
                <w:kern w:val="2"/>
                <w:highlight w:val="none"/>
                <w:lang w:bidi="zh-CN"/>
              </w:rPr>
            </w:pPr>
            <w:r>
              <w:rPr>
                <w:rFonts w:hint="eastAsia"/>
                <w:color w:val="auto"/>
                <w:kern w:val="2"/>
                <w:highlight w:val="none"/>
                <w:lang w:bidi="zh-CN"/>
              </w:rPr>
              <w:t>响应文件的上传和递交</w:t>
            </w:r>
          </w:p>
        </w:tc>
        <w:tc>
          <w:tcPr>
            <w:tcW w:w="7721" w:type="dxa"/>
            <w:noWrap w:val="0"/>
            <w:vAlign w:val="center"/>
          </w:tcPr>
          <w:p w14:paraId="74FADEB9">
            <w:pPr>
              <w:pStyle w:val="16"/>
              <w:snapToGrid w:val="0"/>
              <w:spacing w:line="440" w:lineRule="exact"/>
              <w:rPr>
                <w:rFonts w:hint="eastAsia" w:hAnsi="宋体" w:eastAsia="宋体" w:cs="宋体"/>
                <w:color w:val="auto"/>
                <w:kern w:val="2"/>
                <w:sz w:val="24"/>
                <w:szCs w:val="24"/>
                <w:highlight w:val="none"/>
                <w:lang w:bidi="zh-CN"/>
              </w:rPr>
            </w:pPr>
            <w:r>
              <w:rPr>
                <w:rFonts w:hint="eastAsia" w:hAnsi="宋体" w:eastAsia="宋体" w:cs="宋体"/>
                <w:color w:val="auto"/>
                <w:kern w:val="2"/>
                <w:sz w:val="24"/>
                <w:szCs w:val="24"/>
                <w:highlight w:val="none"/>
                <w:lang w:bidi="zh-CN"/>
              </w:rPr>
              <w:t>1、本次采购采用电子交易方式，电子交易平台为“政府采购云平台（www.zcygov.cn）”，供应商参与本项目电子交易活动前，应注册成为政府采购云平台供应商，编制电子响应文件前还需申领 CA 证书并绑定账号，供应商应充分考虑完成平台注册、申领 CA 证书等所需的时间，因未注册入库、未办理 CA数字证书等原因造成无法响应或响应失败等后果由供应商自行承担。</w:t>
            </w:r>
          </w:p>
          <w:p w14:paraId="00F8D6F0">
            <w:pPr>
              <w:pStyle w:val="16"/>
              <w:snapToGrid w:val="0"/>
              <w:spacing w:line="440" w:lineRule="exact"/>
              <w:rPr>
                <w:rFonts w:hint="eastAsia" w:hAnsi="宋体" w:eastAsia="宋体" w:cs="宋体"/>
                <w:color w:val="auto"/>
                <w:kern w:val="2"/>
                <w:sz w:val="24"/>
                <w:szCs w:val="24"/>
                <w:highlight w:val="none"/>
                <w:lang w:bidi="zh-CN"/>
              </w:rPr>
            </w:pPr>
            <w:r>
              <w:rPr>
                <w:rFonts w:hint="eastAsia" w:hAnsi="宋体" w:eastAsia="宋体" w:cs="宋体"/>
                <w:color w:val="auto"/>
                <w:kern w:val="2"/>
                <w:sz w:val="24"/>
                <w:szCs w:val="24"/>
                <w:highlight w:val="none"/>
                <w:lang w:bidi="zh-CN"/>
              </w:rPr>
              <w:t>2、响应文件制作完成并生成加密标书，在响应截止时间前，供应商需将加密的响应文件上传至政采云平台。</w:t>
            </w:r>
          </w:p>
          <w:p w14:paraId="02C6876A">
            <w:pPr>
              <w:pStyle w:val="16"/>
              <w:snapToGrid w:val="0"/>
              <w:spacing w:line="440" w:lineRule="exact"/>
              <w:rPr>
                <w:rFonts w:hint="eastAsia" w:hAnsi="宋体" w:eastAsia="宋体" w:cs="宋体"/>
                <w:color w:val="auto"/>
                <w:kern w:val="2"/>
                <w:sz w:val="24"/>
                <w:szCs w:val="24"/>
                <w:highlight w:val="none"/>
                <w:lang w:bidi="zh-CN"/>
              </w:rPr>
            </w:pPr>
            <w:r>
              <w:rPr>
                <w:rFonts w:hint="eastAsia" w:hAnsi="宋体" w:eastAsia="宋体" w:cs="宋体"/>
                <w:color w:val="auto"/>
                <w:kern w:val="2"/>
                <w:sz w:val="24"/>
                <w:szCs w:val="24"/>
                <w:highlight w:val="none"/>
                <w:lang w:bidi="zh-CN"/>
              </w:rPr>
              <w:t>3、供应商未能在响应截止时间前成功上传电子加密响应文件的响应无效。</w:t>
            </w:r>
          </w:p>
          <w:p w14:paraId="4F9B09F7">
            <w:pPr>
              <w:pStyle w:val="16"/>
              <w:snapToGrid w:val="0"/>
              <w:spacing w:line="440" w:lineRule="exact"/>
              <w:rPr>
                <w:rFonts w:hint="eastAsia" w:hAnsi="宋体" w:eastAsia="宋体" w:cs="宋体"/>
                <w:color w:val="auto"/>
                <w:kern w:val="2"/>
                <w:sz w:val="24"/>
                <w:szCs w:val="24"/>
                <w:highlight w:val="none"/>
                <w:lang w:val="zh-CN" w:bidi="zh-CN"/>
              </w:rPr>
            </w:pPr>
            <w:r>
              <w:rPr>
                <w:rFonts w:hint="eastAsia" w:hAnsi="宋体" w:eastAsia="宋体" w:cs="宋体"/>
                <w:color w:val="auto"/>
                <w:kern w:val="2"/>
                <w:sz w:val="24"/>
                <w:szCs w:val="24"/>
                <w:highlight w:val="none"/>
                <w:lang w:bidi="zh-CN"/>
              </w:rPr>
              <w:t>4、供应商成功上传电子加密响应文件后，可自行打印响应文件接收回执。</w:t>
            </w:r>
          </w:p>
        </w:tc>
      </w:tr>
      <w:tr w14:paraId="13A56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688" w:type="dxa"/>
            <w:noWrap w:val="0"/>
            <w:vAlign w:val="center"/>
          </w:tcPr>
          <w:p w14:paraId="69C775A5">
            <w:pPr>
              <w:numPr>
                <w:ilvl w:val="0"/>
                <w:numId w:val="3"/>
              </w:numPr>
              <w:spacing w:line="440" w:lineRule="exact"/>
              <w:jc w:val="center"/>
              <w:rPr>
                <w:rFonts w:hint="eastAsia" w:ascii="宋体" w:hAnsi="宋体" w:eastAsia="宋体" w:cs="宋体"/>
                <w:color w:val="auto"/>
                <w:sz w:val="24"/>
                <w:highlight w:val="none"/>
              </w:rPr>
            </w:pPr>
          </w:p>
        </w:tc>
        <w:tc>
          <w:tcPr>
            <w:tcW w:w="1431" w:type="dxa"/>
            <w:noWrap w:val="0"/>
            <w:vAlign w:val="center"/>
          </w:tcPr>
          <w:p w14:paraId="4E457970">
            <w:pPr>
              <w:pStyle w:val="31"/>
              <w:spacing w:before="75" w:beforeAutospacing="0" w:after="75" w:afterAutospacing="0" w:line="440" w:lineRule="exact"/>
              <w:jc w:val="center"/>
              <w:rPr>
                <w:rFonts w:hint="eastAsia"/>
                <w:color w:val="auto"/>
                <w:kern w:val="2"/>
                <w:highlight w:val="none"/>
                <w:lang w:bidi="zh-CN"/>
              </w:rPr>
            </w:pPr>
            <w:r>
              <w:rPr>
                <w:rFonts w:hint="eastAsia"/>
                <w:color w:val="auto"/>
                <w:kern w:val="2"/>
                <w:highlight w:val="none"/>
                <w:lang w:val="zh-CN" w:bidi="zh-CN"/>
              </w:rPr>
              <w:t>响应文件的解密</w:t>
            </w:r>
          </w:p>
        </w:tc>
        <w:tc>
          <w:tcPr>
            <w:tcW w:w="7721" w:type="dxa"/>
            <w:noWrap w:val="0"/>
            <w:vAlign w:val="center"/>
          </w:tcPr>
          <w:p w14:paraId="44D21127">
            <w:pPr>
              <w:pStyle w:val="16"/>
              <w:snapToGrid w:val="0"/>
              <w:spacing w:line="440" w:lineRule="exact"/>
              <w:rPr>
                <w:rFonts w:hint="eastAsia" w:hAnsi="宋体" w:eastAsia="宋体" w:cs="宋体"/>
                <w:color w:val="auto"/>
                <w:kern w:val="2"/>
                <w:sz w:val="24"/>
                <w:szCs w:val="24"/>
                <w:highlight w:val="none"/>
                <w:lang w:bidi="zh-CN"/>
              </w:rPr>
            </w:pPr>
            <w:r>
              <w:rPr>
                <w:rFonts w:hint="eastAsia" w:hAnsi="宋体" w:eastAsia="宋体" w:cs="宋体"/>
                <w:color w:val="auto"/>
                <w:kern w:val="2"/>
                <w:sz w:val="24"/>
                <w:szCs w:val="24"/>
                <w:highlight w:val="none"/>
                <w:lang w:bidi="zh-CN"/>
              </w:rPr>
              <w:t>1、在开标时间开始后，待采购代理机构发出解密通知后，供应商按照平台提示和采购文件的规定在30分钟内完成响应文件在线解密，供应商未按规定完成解密，视为放弃投标。</w:t>
            </w:r>
          </w:p>
          <w:p w14:paraId="731CDA54">
            <w:pPr>
              <w:pStyle w:val="16"/>
              <w:snapToGrid w:val="0"/>
              <w:spacing w:line="440" w:lineRule="exact"/>
              <w:rPr>
                <w:rFonts w:hint="eastAsia" w:hAnsi="宋体" w:eastAsia="宋体" w:cs="宋体"/>
                <w:color w:val="auto"/>
                <w:kern w:val="2"/>
                <w:sz w:val="24"/>
                <w:szCs w:val="24"/>
                <w:highlight w:val="none"/>
                <w:lang w:bidi="zh-CN"/>
              </w:rPr>
            </w:pPr>
            <w:r>
              <w:rPr>
                <w:rFonts w:hint="eastAsia" w:hAnsi="宋体" w:eastAsia="宋体" w:cs="宋体"/>
                <w:color w:val="auto"/>
                <w:kern w:val="2"/>
                <w:sz w:val="24"/>
                <w:szCs w:val="24"/>
                <w:highlight w:val="none"/>
                <w:lang w:bidi="zh-CN"/>
              </w:rPr>
              <w:t>2、供应商须在提交响应文件截止时间前通过 CA在政采云平台上传加密的电子响应文件，供应商在开标时须使用制作加密电子响应文件所使用的 CA 锁解密，供应商须提前配置好浏览器（建议使用360浏览器或谷歌浏览器），并确保开标期间电脑网络环境畅通，以便开标时解密。</w:t>
            </w:r>
          </w:p>
          <w:p w14:paraId="5C417C69">
            <w:pPr>
              <w:pStyle w:val="16"/>
              <w:snapToGrid w:val="0"/>
              <w:spacing w:line="440" w:lineRule="exact"/>
              <w:rPr>
                <w:rFonts w:hint="eastAsia" w:hAnsi="宋体" w:eastAsia="宋体" w:cs="宋体"/>
                <w:color w:val="auto"/>
                <w:kern w:val="2"/>
                <w:sz w:val="24"/>
                <w:szCs w:val="24"/>
                <w:highlight w:val="none"/>
                <w:lang w:val="zh-CN" w:bidi="zh-CN"/>
              </w:rPr>
            </w:pPr>
            <w:r>
              <w:rPr>
                <w:rFonts w:hint="eastAsia" w:hAnsi="宋体" w:eastAsia="宋体" w:cs="宋体"/>
                <w:color w:val="auto"/>
                <w:kern w:val="2"/>
                <w:sz w:val="24"/>
                <w:szCs w:val="24"/>
                <w:highlight w:val="none"/>
                <w:lang w:bidi="zh-CN"/>
              </w:rPr>
              <w:t>3、本项目解密时间定为30分钟，如因供应商自身原因导致无法正常解密，后果由供应商自行承担。</w:t>
            </w:r>
          </w:p>
        </w:tc>
      </w:tr>
      <w:tr w14:paraId="6F273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03" w:hRule="atLeast"/>
          <w:jc w:val="center"/>
        </w:trPr>
        <w:tc>
          <w:tcPr>
            <w:tcW w:w="688" w:type="dxa"/>
            <w:noWrap w:val="0"/>
            <w:vAlign w:val="center"/>
          </w:tcPr>
          <w:p w14:paraId="1E0FA54A">
            <w:pPr>
              <w:numPr>
                <w:ilvl w:val="0"/>
                <w:numId w:val="3"/>
              </w:numPr>
              <w:spacing w:line="440" w:lineRule="exact"/>
              <w:jc w:val="center"/>
              <w:rPr>
                <w:rFonts w:hint="eastAsia" w:ascii="宋体" w:hAnsi="宋体" w:eastAsia="宋体" w:cs="宋体"/>
                <w:color w:val="auto"/>
                <w:kern w:val="0"/>
                <w:sz w:val="24"/>
                <w:highlight w:val="none"/>
              </w:rPr>
            </w:pPr>
          </w:p>
        </w:tc>
        <w:tc>
          <w:tcPr>
            <w:tcW w:w="1431" w:type="dxa"/>
            <w:noWrap w:val="0"/>
            <w:vAlign w:val="center"/>
          </w:tcPr>
          <w:p w14:paraId="73FB72A7">
            <w:pPr>
              <w:keepNext/>
              <w:widowControl/>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开标方式</w:t>
            </w:r>
          </w:p>
        </w:tc>
        <w:tc>
          <w:tcPr>
            <w:tcW w:w="7721" w:type="dxa"/>
            <w:noWrap w:val="0"/>
            <w:vAlign w:val="center"/>
          </w:tcPr>
          <w:p w14:paraId="6AFDDD3E">
            <w:pPr>
              <w:keepNext/>
              <w:widowControl/>
              <w:spacing w:line="44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本项目采用“政府采购云平台”电子开标。</w:t>
            </w:r>
          </w:p>
        </w:tc>
      </w:tr>
      <w:tr w14:paraId="26CCC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03" w:hRule="atLeast"/>
          <w:jc w:val="center"/>
        </w:trPr>
        <w:tc>
          <w:tcPr>
            <w:tcW w:w="688" w:type="dxa"/>
            <w:noWrap w:val="0"/>
            <w:vAlign w:val="center"/>
          </w:tcPr>
          <w:p w14:paraId="6700480A">
            <w:pPr>
              <w:numPr>
                <w:ilvl w:val="0"/>
                <w:numId w:val="3"/>
              </w:numPr>
              <w:spacing w:line="440" w:lineRule="exact"/>
              <w:jc w:val="center"/>
              <w:rPr>
                <w:rFonts w:hint="eastAsia" w:ascii="宋体" w:hAnsi="宋体" w:eastAsia="宋体" w:cs="宋体"/>
                <w:color w:val="auto"/>
                <w:kern w:val="0"/>
                <w:sz w:val="24"/>
                <w:highlight w:val="none"/>
              </w:rPr>
            </w:pPr>
          </w:p>
        </w:tc>
        <w:tc>
          <w:tcPr>
            <w:tcW w:w="1431" w:type="dxa"/>
            <w:noWrap w:val="0"/>
            <w:vAlign w:val="center"/>
          </w:tcPr>
          <w:p w14:paraId="12240622">
            <w:pPr>
              <w:widowControl/>
              <w:jc w:val="center"/>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bidi="zh-CN"/>
              </w:rPr>
              <w:t>资格审查</w:t>
            </w:r>
          </w:p>
          <w:p w14:paraId="7E70981E">
            <w:pPr>
              <w:pStyle w:val="16"/>
              <w:spacing w:line="336" w:lineRule="auto"/>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lang w:bidi="zh-CN"/>
              </w:rPr>
              <w:t>方法</w:t>
            </w:r>
          </w:p>
        </w:tc>
        <w:tc>
          <w:tcPr>
            <w:tcW w:w="7721" w:type="dxa"/>
            <w:noWrap w:val="0"/>
            <w:vAlign w:val="center"/>
          </w:tcPr>
          <w:p w14:paraId="39E712BD">
            <w:pPr>
              <w:pStyle w:val="16"/>
              <w:spacing w:line="336" w:lineRule="auto"/>
              <w:rPr>
                <w:rFonts w:hint="eastAsia" w:hAnsi="宋体" w:eastAsia="宋体" w:cs="宋体"/>
                <w:color w:val="auto"/>
                <w:sz w:val="24"/>
                <w:szCs w:val="24"/>
                <w:highlight w:val="none"/>
              </w:rPr>
            </w:pPr>
            <w:r>
              <w:rPr>
                <w:rFonts w:hint="eastAsia" w:hAnsi="宋体" w:eastAsia="宋体" w:cs="宋体"/>
                <w:color w:val="auto"/>
                <w:sz w:val="24"/>
                <w:szCs w:val="24"/>
                <w:highlight w:val="none"/>
                <w:lang w:bidi="zh-CN"/>
              </w:rPr>
              <w:t>资格后审</w:t>
            </w:r>
          </w:p>
        </w:tc>
      </w:tr>
      <w:tr w14:paraId="4239C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03" w:hRule="atLeast"/>
          <w:jc w:val="center"/>
        </w:trPr>
        <w:tc>
          <w:tcPr>
            <w:tcW w:w="688" w:type="dxa"/>
            <w:noWrap w:val="0"/>
            <w:vAlign w:val="center"/>
          </w:tcPr>
          <w:p w14:paraId="3707FB49">
            <w:pPr>
              <w:numPr>
                <w:ilvl w:val="0"/>
                <w:numId w:val="3"/>
              </w:numPr>
              <w:spacing w:line="440" w:lineRule="exact"/>
              <w:jc w:val="center"/>
              <w:rPr>
                <w:rFonts w:hint="eastAsia" w:ascii="宋体" w:hAnsi="宋体" w:eastAsia="宋体" w:cs="宋体"/>
                <w:color w:val="auto"/>
                <w:kern w:val="0"/>
                <w:sz w:val="24"/>
                <w:highlight w:val="none"/>
              </w:rPr>
            </w:pPr>
          </w:p>
        </w:tc>
        <w:tc>
          <w:tcPr>
            <w:tcW w:w="1431" w:type="dxa"/>
            <w:noWrap w:val="0"/>
            <w:vAlign w:val="center"/>
          </w:tcPr>
          <w:p w14:paraId="4198CC7A">
            <w:pPr>
              <w:widowControl/>
              <w:spacing w:line="288" w:lineRule="auto"/>
              <w:jc w:val="center"/>
              <w:rPr>
                <w:rFonts w:hint="eastAsia" w:ascii="宋体" w:hAnsi="宋体" w:eastAsia="宋体" w:cs="宋体"/>
                <w:color w:val="auto"/>
                <w:sz w:val="24"/>
                <w:highlight w:val="none"/>
                <w:lang w:bidi="zh-CN"/>
              </w:rPr>
            </w:pPr>
            <w:r>
              <w:rPr>
                <w:rFonts w:hint="eastAsia" w:ascii="宋体" w:hAnsi="宋体" w:eastAsia="宋体" w:cs="宋体"/>
                <w:color w:val="auto"/>
                <w:kern w:val="0"/>
                <w:sz w:val="24"/>
                <w:highlight w:val="none"/>
              </w:rPr>
              <w:t>评标方法</w:t>
            </w:r>
          </w:p>
        </w:tc>
        <w:tc>
          <w:tcPr>
            <w:tcW w:w="7721" w:type="dxa"/>
            <w:noWrap w:val="0"/>
            <w:vAlign w:val="center"/>
          </w:tcPr>
          <w:p w14:paraId="44FAEEE6">
            <w:pPr>
              <w:widowControl/>
              <w:spacing w:line="288" w:lineRule="auto"/>
              <w:jc w:val="left"/>
              <w:rPr>
                <w:rFonts w:hint="eastAsia" w:ascii="宋体" w:hAnsi="宋体" w:eastAsia="宋体" w:cs="宋体"/>
                <w:color w:val="auto"/>
                <w:sz w:val="24"/>
                <w:highlight w:val="none"/>
                <w:lang w:bidi="zh-CN"/>
              </w:rPr>
            </w:pPr>
            <w:r>
              <w:rPr>
                <w:rFonts w:hint="eastAsia" w:ascii="宋体" w:hAnsi="宋体" w:eastAsia="宋体" w:cs="宋体"/>
                <w:color w:val="auto"/>
                <w:kern w:val="0"/>
                <w:sz w:val="24"/>
                <w:highlight w:val="none"/>
                <w:lang w:bidi="zh-CN"/>
              </w:rPr>
              <w:t>☑</w:t>
            </w:r>
            <w:r>
              <w:rPr>
                <w:rFonts w:hint="eastAsia" w:ascii="宋体" w:hAnsi="宋体" w:eastAsia="宋体" w:cs="宋体"/>
                <w:color w:val="auto"/>
                <w:kern w:val="0"/>
                <w:sz w:val="24"/>
                <w:highlight w:val="none"/>
              </w:rPr>
              <w:t xml:space="preserve">综合评分法     </w:t>
            </w:r>
            <w:r>
              <w:rPr>
                <w:rFonts w:hint="eastAsia" w:ascii="宋体" w:hAnsi="宋体" w:eastAsia="宋体" w:cs="宋体"/>
                <w:color w:val="auto"/>
                <w:kern w:val="0"/>
                <w:sz w:val="24"/>
                <w:highlight w:val="none"/>
                <w:lang w:bidi="zh-CN"/>
              </w:rPr>
              <w:t>□</w:t>
            </w:r>
            <w:r>
              <w:rPr>
                <w:rFonts w:hint="eastAsia" w:ascii="宋体" w:hAnsi="宋体" w:eastAsia="宋体" w:cs="宋体"/>
                <w:color w:val="auto"/>
                <w:kern w:val="0"/>
                <w:sz w:val="24"/>
                <w:highlight w:val="none"/>
              </w:rPr>
              <w:t xml:space="preserve">最低评标价法  </w:t>
            </w:r>
          </w:p>
        </w:tc>
      </w:tr>
      <w:tr w14:paraId="79EB6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03" w:hRule="atLeast"/>
          <w:jc w:val="center"/>
        </w:trPr>
        <w:tc>
          <w:tcPr>
            <w:tcW w:w="688" w:type="dxa"/>
            <w:noWrap w:val="0"/>
            <w:vAlign w:val="center"/>
          </w:tcPr>
          <w:p w14:paraId="7312CD6A">
            <w:pPr>
              <w:numPr>
                <w:ilvl w:val="0"/>
                <w:numId w:val="3"/>
              </w:numPr>
              <w:spacing w:line="440" w:lineRule="exact"/>
              <w:jc w:val="center"/>
              <w:rPr>
                <w:rFonts w:hint="eastAsia" w:ascii="宋体" w:hAnsi="宋体" w:eastAsia="宋体" w:cs="宋体"/>
                <w:color w:val="auto"/>
                <w:kern w:val="0"/>
                <w:sz w:val="24"/>
                <w:highlight w:val="none"/>
              </w:rPr>
            </w:pPr>
          </w:p>
        </w:tc>
        <w:tc>
          <w:tcPr>
            <w:tcW w:w="1431" w:type="dxa"/>
            <w:noWrap w:val="0"/>
            <w:vAlign w:val="center"/>
          </w:tcPr>
          <w:p w14:paraId="59633792">
            <w:pPr>
              <w:keepNext/>
              <w:widowControl/>
              <w:spacing w:line="440" w:lineRule="exact"/>
              <w:jc w:val="center"/>
              <w:rPr>
                <w:rFonts w:hint="eastAsia" w:ascii="宋体" w:hAnsi="宋体" w:eastAsia="宋体" w:cs="宋体"/>
                <w:b/>
                <w:bCs/>
                <w:color w:val="auto"/>
                <w:kern w:val="0"/>
                <w:sz w:val="24"/>
                <w:highlight w:val="none"/>
              </w:rPr>
            </w:pPr>
            <w:r>
              <w:rPr>
                <w:rFonts w:hint="eastAsia" w:ascii="宋体" w:hAnsi="宋体" w:eastAsia="宋体" w:cs="宋体"/>
                <w:color w:val="auto"/>
                <w:sz w:val="24"/>
                <w:highlight w:val="none"/>
              </w:rPr>
              <w:t>评标委员会的组建</w:t>
            </w:r>
          </w:p>
        </w:tc>
        <w:tc>
          <w:tcPr>
            <w:tcW w:w="7721" w:type="dxa"/>
            <w:noWrap w:val="0"/>
            <w:vAlign w:val="center"/>
          </w:tcPr>
          <w:p w14:paraId="40A16A9E">
            <w:pPr>
              <w:widowControl/>
              <w:spacing w:line="440" w:lineRule="exact"/>
              <w:ind w:left="570" w:hanging="570" w:hangingChars="25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评标委员会构成：</w:t>
            </w:r>
            <w:r>
              <w:rPr>
                <w:rFonts w:hint="eastAsia" w:ascii="宋体" w:hAnsi="宋体" w:eastAsia="宋体" w:cs="宋体"/>
                <w:color w:val="auto"/>
                <w:spacing w:val="-6"/>
                <w:sz w:val="24"/>
                <w:highlight w:val="none"/>
                <w:u w:val="single"/>
              </w:rPr>
              <w:t xml:space="preserve"> 3 </w:t>
            </w:r>
            <w:r>
              <w:rPr>
                <w:rFonts w:hint="eastAsia" w:ascii="宋体" w:hAnsi="宋体" w:eastAsia="宋体" w:cs="宋体"/>
                <w:color w:val="auto"/>
                <w:spacing w:val="-6"/>
                <w:sz w:val="24"/>
                <w:highlight w:val="none"/>
              </w:rPr>
              <w:t>人，其中采购人代表</w:t>
            </w:r>
            <w:r>
              <w:rPr>
                <w:rFonts w:hint="eastAsia" w:ascii="宋体" w:hAnsi="宋体" w:eastAsia="宋体" w:cs="宋体"/>
                <w:color w:val="auto"/>
                <w:spacing w:val="-6"/>
                <w:sz w:val="24"/>
                <w:highlight w:val="none"/>
                <w:u w:val="single"/>
              </w:rPr>
              <w:t xml:space="preserve"> 1 </w:t>
            </w:r>
            <w:r>
              <w:rPr>
                <w:rFonts w:hint="eastAsia" w:ascii="宋体" w:hAnsi="宋体" w:eastAsia="宋体" w:cs="宋体"/>
                <w:color w:val="auto"/>
                <w:spacing w:val="-6"/>
                <w:sz w:val="24"/>
                <w:highlight w:val="none"/>
              </w:rPr>
              <w:t>人，专家</w:t>
            </w:r>
            <w:r>
              <w:rPr>
                <w:rFonts w:hint="eastAsia" w:ascii="宋体" w:hAnsi="宋体" w:eastAsia="宋体" w:cs="宋体"/>
                <w:color w:val="auto"/>
                <w:spacing w:val="-6"/>
                <w:sz w:val="24"/>
                <w:highlight w:val="none"/>
                <w:u w:val="single"/>
              </w:rPr>
              <w:t xml:space="preserve"> 2 </w:t>
            </w:r>
            <w:r>
              <w:rPr>
                <w:rFonts w:hint="eastAsia" w:ascii="宋体" w:hAnsi="宋体" w:eastAsia="宋体" w:cs="宋体"/>
                <w:color w:val="auto"/>
                <w:spacing w:val="-6"/>
                <w:sz w:val="24"/>
                <w:highlight w:val="none"/>
              </w:rPr>
              <w:t>人：</w:t>
            </w:r>
          </w:p>
          <w:p w14:paraId="511B8EF1">
            <w:pPr>
              <w:keepNext/>
              <w:widowControl/>
              <w:spacing w:line="440" w:lineRule="exact"/>
              <w:jc w:val="left"/>
              <w:rPr>
                <w:rFonts w:hint="eastAsia" w:ascii="宋体" w:hAnsi="宋体" w:eastAsia="宋体" w:cs="宋体"/>
                <w:b/>
                <w:bCs/>
                <w:color w:val="auto"/>
                <w:kern w:val="0"/>
                <w:sz w:val="24"/>
                <w:highlight w:val="none"/>
              </w:rPr>
            </w:pPr>
            <w:r>
              <w:rPr>
                <w:rFonts w:hint="eastAsia" w:ascii="宋体" w:hAnsi="宋体" w:eastAsia="宋体" w:cs="宋体"/>
                <w:color w:val="auto"/>
                <w:sz w:val="24"/>
                <w:highlight w:val="none"/>
              </w:rPr>
              <w:t>评标专家确定方式：新疆政府采购网政采云专家库随机抽取。</w:t>
            </w:r>
          </w:p>
        </w:tc>
      </w:tr>
      <w:tr w14:paraId="3D571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42" w:hRule="atLeast"/>
          <w:jc w:val="center"/>
        </w:trPr>
        <w:tc>
          <w:tcPr>
            <w:tcW w:w="688" w:type="dxa"/>
            <w:noWrap w:val="0"/>
            <w:vAlign w:val="center"/>
          </w:tcPr>
          <w:p w14:paraId="2F5C138D">
            <w:pPr>
              <w:numPr>
                <w:ilvl w:val="0"/>
                <w:numId w:val="3"/>
              </w:numPr>
              <w:spacing w:line="440" w:lineRule="exact"/>
              <w:jc w:val="center"/>
              <w:rPr>
                <w:rFonts w:hint="eastAsia" w:ascii="宋体" w:hAnsi="宋体" w:eastAsia="宋体" w:cs="宋体"/>
                <w:color w:val="auto"/>
                <w:kern w:val="0"/>
                <w:sz w:val="24"/>
                <w:highlight w:val="none"/>
              </w:rPr>
            </w:pPr>
          </w:p>
        </w:tc>
        <w:tc>
          <w:tcPr>
            <w:tcW w:w="1431" w:type="dxa"/>
            <w:noWrap w:val="0"/>
            <w:vAlign w:val="center"/>
          </w:tcPr>
          <w:p w14:paraId="1AFB879A">
            <w:pPr>
              <w:widowControl/>
              <w:spacing w:line="440" w:lineRule="exact"/>
              <w:jc w:val="center"/>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val="zh-CN" w:bidi="zh-CN"/>
              </w:rPr>
              <w:t>投标保证金</w:t>
            </w:r>
            <w:r>
              <w:rPr>
                <w:rFonts w:hint="eastAsia" w:ascii="宋体" w:hAnsi="宋体" w:eastAsia="宋体" w:cs="宋体"/>
                <w:color w:val="auto"/>
                <w:sz w:val="24"/>
                <w:highlight w:val="none"/>
                <w:lang w:bidi="zh-CN"/>
              </w:rPr>
              <w:t>的缴纳</w:t>
            </w:r>
          </w:p>
        </w:tc>
        <w:tc>
          <w:tcPr>
            <w:tcW w:w="7721" w:type="dxa"/>
            <w:noWrap w:val="0"/>
            <w:vAlign w:val="center"/>
          </w:tcPr>
          <w:p w14:paraId="2AB0747D">
            <w:pPr>
              <w:widowControl/>
              <w:spacing w:line="440" w:lineRule="exact"/>
              <w:ind w:right="156"/>
              <w:jc w:val="left"/>
              <w:rPr>
                <w:rFonts w:hint="eastAsia" w:ascii="宋体" w:hAnsi="宋体" w:eastAsia="宋体" w:cs="宋体"/>
                <w:color w:val="auto"/>
                <w:sz w:val="24"/>
                <w:highlight w:val="none"/>
                <w:lang w:bidi="zh-CN"/>
              </w:rPr>
            </w:pPr>
            <w:r>
              <w:rPr>
                <w:rFonts w:hint="eastAsia" w:ascii="宋体" w:hAnsi="宋体" w:eastAsia="宋体" w:cs="宋体"/>
                <w:color w:val="auto"/>
                <w:sz w:val="24"/>
                <w:highlight w:val="none"/>
                <w:lang w:val="zh-CN" w:bidi="zh-CN"/>
              </w:rPr>
              <w:sym w:font="Wingdings" w:char="00FE"/>
            </w:r>
            <w:r>
              <w:rPr>
                <w:rFonts w:hint="eastAsia" w:ascii="宋体" w:hAnsi="宋体" w:eastAsia="宋体" w:cs="宋体"/>
                <w:color w:val="auto"/>
                <w:sz w:val="24"/>
                <w:highlight w:val="none"/>
                <w:lang w:val="zh-CN" w:bidi="zh-CN"/>
              </w:rPr>
              <w:t>不要求</w:t>
            </w:r>
            <w:r>
              <w:rPr>
                <w:rFonts w:hint="eastAsia" w:ascii="宋体" w:hAnsi="宋体" w:eastAsia="宋体" w:cs="宋体"/>
                <w:color w:val="auto"/>
                <w:sz w:val="24"/>
                <w:highlight w:val="none"/>
                <w:lang w:bidi="zh-CN"/>
              </w:rPr>
              <w:t>提供 （本项目不收取投标保证金）</w:t>
            </w:r>
          </w:p>
          <w:p w14:paraId="43B5916E">
            <w:pPr>
              <w:pStyle w:val="12"/>
              <w:spacing w:line="360" w:lineRule="exact"/>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bidi="zh-CN"/>
              </w:rPr>
              <w:sym w:font="Wingdings" w:char="00A8"/>
            </w:r>
            <w:r>
              <w:rPr>
                <w:rFonts w:hint="eastAsia" w:ascii="宋体" w:hAnsi="宋体" w:eastAsia="宋体" w:cs="宋体"/>
                <w:color w:val="auto"/>
                <w:szCs w:val="24"/>
                <w:highlight w:val="none"/>
              </w:rPr>
              <w:t>要求提供，应满足下列要求：</w:t>
            </w:r>
          </w:p>
          <w:p w14:paraId="79C033BC">
            <w:pPr>
              <w:pStyle w:val="12"/>
              <w:spacing w:line="360" w:lineRule="exact"/>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1、投标保证金的金额：人民币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万元（￥</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元）；</w:t>
            </w:r>
          </w:p>
          <w:p w14:paraId="3B485BC1">
            <w:pPr>
              <w:pStyle w:val="12"/>
              <w:spacing w:line="360" w:lineRule="exact"/>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2、投标保证金的形式：以银行转账支票、银行电汇、银行保函等形式提交投标保证金；采用银行转账支票或银行电汇的形式提交投标保证金必须从供应商基本账户转出；采用银行保函形式提交投标保证金，保函有效期不得少于投标有效期；采购人不接受供应商授权或委托他人或分支机构代缴投标保证金。</w:t>
            </w:r>
          </w:p>
          <w:p w14:paraId="4959D88C">
            <w:pPr>
              <w:pStyle w:val="12"/>
              <w:spacing w:line="360" w:lineRule="exact"/>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3、递交方式：要求提交投标保证金且投标保证金交纳主体与供应商名称一致，供应商应将基本账户开户许可证，企业基本账户银行转账支票或银行电汇证明，列入投标文件投标函部分的投标保证金中；采用银行保函形式提交投标保证金，应将银行保函复印件列入投标文件投标函部分的投标保证金中。投标保证金于投标截止时间前（以到账时间为准）递交至新疆元誉工程项目管理有限公司，供应商提交投标保证金时应充分考虑法定节假日及资金在途时间。</w:t>
            </w:r>
          </w:p>
          <w:p w14:paraId="7D8C0220">
            <w:pPr>
              <w:pStyle w:val="12"/>
              <w:spacing w:line="360" w:lineRule="exact"/>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4、投标保证金缴纳账户信息：</w:t>
            </w:r>
          </w:p>
          <w:p w14:paraId="62C91436">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保证金缴纳单位全称：新疆元誉工程项目管理有限公司独山子区分公司</w:t>
            </w:r>
          </w:p>
          <w:p w14:paraId="32DA0FA7">
            <w:pPr>
              <w:pStyle w:val="12"/>
              <w:spacing w:line="360" w:lineRule="exact"/>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开户行：中国工商银行股份有限公司克拉玛依独山子支行</w:t>
            </w:r>
          </w:p>
          <w:p w14:paraId="4AF04D3B">
            <w:pPr>
              <w:pStyle w:val="12"/>
              <w:spacing w:line="360" w:lineRule="exact"/>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银行账号：3003 0230 0920 0146 501</w:t>
            </w:r>
          </w:p>
          <w:p w14:paraId="21E5C450">
            <w:pPr>
              <w:pStyle w:val="12"/>
              <w:spacing w:line="360" w:lineRule="exact"/>
              <w:jc w:val="both"/>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联系人：</w:t>
            </w:r>
            <w:r>
              <w:rPr>
                <w:rFonts w:hint="eastAsia" w:ascii="宋体" w:hAnsi="宋体" w:eastAsia="宋体" w:cs="宋体"/>
                <w:color w:val="auto"/>
                <w:szCs w:val="24"/>
                <w:highlight w:val="none"/>
                <w:lang w:eastAsia="zh-CN"/>
              </w:rPr>
              <w:t>程先生</w:t>
            </w:r>
            <w:r>
              <w:rPr>
                <w:rFonts w:hint="eastAsia" w:ascii="宋体" w:hAnsi="宋体" w:eastAsia="宋体" w:cs="宋体"/>
                <w:color w:val="auto"/>
                <w:szCs w:val="24"/>
                <w:highlight w:val="none"/>
              </w:rPr>
              <w:t xml:space="preserve">            联系电话：</w:t>
            </w:r>
            <w:r>
              <w:rPr>
                <w:rFonts w:hint="eastAsia" w:ascii="宋体" w:hAnsi="宋体" w:eastAsia="宋体" w:cs="宋体"/>
                <w:color w:val="auto"/>
                <w:szCs w:val="24"/>
                <w:highlight w:val="none"/>
                <w:lang w:eastAsia="zh-CN"/>
              </w:rPr>
              <w:t>18999507776</w:t>
            </w:r>
          </w:p>
          <w:p w14:paraId="2DBA12C2">
            <w:pPr>
              <w:pStyle w:val="12"/>
              <w:spacing w:line="360" w:lineRule="exact"/>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备注：投标保证金汇款凭证用途栏上应注明本项目招标编号。</w:t>
            </w:r>
          </w:p>
          <w:p w14:paraId="26AF7D92">
            <w:pPr>
              <w:widowControl/>
              <w:spacing w:line="440" w:lineRule="exact"/>
              <w:jc w:val="left"/>
              <w:rPr>
                <w:rFonts w:hint="eastAsia" w:ascii="宋体" w:hAnsi="宋体" w:eastAsia="宋体" w:cs="宋体"/>
                <w:color w:val="auto"/>
                <w:sz w:val="24"/>
                <w:highlight w:val="none"/>
                <w:lang w:val="zh-CN" w:bidi="zh-CN"/>
              </w:rPr>
            </w:pPr>
            <w:r>
              <w:rPr>
                <w:rFonts w:hint="eastAsia" w:ascii="宋体" w:hAnsi="宋体" w:eastAsia="宋体" w:cs="宋体"/>
                <w:color w:val="auto"/>
                <w:sz w:val="24"/>
                <w:highlight w:val="none"/>
              </w:rPr>
              <w:t>[标准格式：xx 项目投标保证金]如超出规定字数可简写。</w:t>
            </w:r>
          </w:p>
        </w:tc>
      </w:tr>
      <w:tr w14:paraId="318E5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38" w:hRule="atLeast"/>
          <w:jc w:val="center"/>
        </w:trPr>
        <w:tc>
          <w:tcPr>
            <w:tcW w:w="688" w:type="dxa"/>
            <w:noWrap w:val="0"/>
            <w:vAlign w:val="center"/>
          </w:tcPr>
          <w:p w14:paraId="3B25A00B">
            <w:pPr>
              <w:numPr>
                <w:ilvl w:val="0"/>
                <w:numId w:val="3"/>
              </w:numPr>
              <w:spacing w:line="440" w:lineRule="exact"/>
              <w:jc w:val="center"/>
              <w:rPr>
                <w:rFonts w:hint="eastAsia" w:ascii="宋体" w:hAnsi="宋体" w:eastAsia="宋体" w:cs="宋体"/>
                <w:color w:val="auto"/>
                <w:kern w:val="0"/>
                <w:sz w:val="24"/>
                <w:highlight w:val="none"/>
              </w:rPr>
            </w:pPr>
          </w:p>
        </w:tc>
        <w:tc>
          <w:tcPr>
            <w:tcW w:w="1431" w:type="dxa"/>
            <w:noWrap w:val="0"/>
            <w:vAlign w:val="center"/>
          </w:tcPr>
          <w:p w14:paraId="4EC1F017">
            <w:pPr>
              <w:keepNext/>
              <w:widowControl/>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投标有效期</w:t>
            </w:r>
          </w:p>
        </w:tc>
        <w:tc>
          <w:tcPr>
            <w:tcW w:w="7721" w:type="dxa"/>
            <w:noWrap w:val="0"/>
            <w:vAlign w:val="center"/>
          </w:tcPr>
          <w:p w14:paraId="47759309">
            <w:pPr>
              <w:spacing w:line="44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自递交投标文件截止之日起60天（日历天）</w:t>
            </w:r>
          </w:p>
        </w:tc>
      </w:tr>
      <w:tr w14:paraId="1BD75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20" w:hRule="atLeast"/>
          <w:jc w:val="center"/>
        </w:trPr>
        <w:tc>
          <w:tcPr>
            <w:tcW w:w="688" w:type="dxa"/>
            <w:noWrap w:val="0"/>
            <w:vAlign w:val="center"/>
          </w:tcPr>
          <w:p w14:paraId="40A7819E">
            <w:pPr>
              <w:numPr>
                <w:ilvl w:val="0"/>
                <w:numId w:val="3"/>
              </w:numPr>
              <w:spacing w:line="440" w:lineRule="exact"/>
              <w:jc w:val="center"/>
              <w:rPr>
                <w:rFonts w:hint="eastAsia" w:ascii="宋体" w:hAnsi="宋体" w:eastAsia="宋体" w:cs="宋体"/>
                <w:color w:val="auto"/>
                <w:kern w:val="0"/>
                <w:sz w:val="24"/>
                <w:highlight w:val="none"/>
              </w:rPr>
            </w:pPr>
          </w:p>
        </w:tc>
        <w:tc>
          <w:tcPr>
            <w:tcW w:w="1431" w:type="dxa"/>
            <w:noWrap w:val="0"/>
            <w:vAlign w:val="center"/>
          </w:tcPr>
          <w:p w14:paraId="16080C6F">
            <w:pPr>
              <w:keepNext/>
              <w:widowControl/>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履约保证金</w:t>
            </w:r>
          </w:p>
        </w:tc>
        <w:tc>
          <w:tcPr>
            <w:tcW w:w="7721" w:type="dxa"/>
            <w:noWrap w:val="0"/>
            <w:vAlign w:val="center"/>
          </w:tcPr>
          <w:p w14:paraId="7BFF28D4">
            <w:pPr>
              <w:spacing w:line="440" w:lineRule="exact"/>
              <w:jc w:val="left"/>
              <w:rPr>
                <w:rFonts w:hint="eastAsia" w:ascii="宋体" w:hAnsi="宋体" w:eastAsia="宋体" w:cs="宋体"/>
                <w:color w:val="auto"/>
                <w:sz w:val="24"/>
                <w:highlight w:val="none"/>
                <w:u w:val="none" w:color="000000"/>
              </w:rPr>
            </w:pPr>
            <w:r>
              <w:rPr>
                <w:rFonts w:hint="eastAsia" w:ascii="宋体" w:hAnsi="宋体" w:eastAsia="宋体" w:cs="宋体"/>
                <w:color w:val="auto"/>
                <w:sz w:val="24"/>
                <w:highlight w:val="none"/>
                <w:u w:val="none" w:color="000000"/>
              </w:rPr>
              <w:sym w:font="Wingdings" w:char="00FE"/>
            </w:r>
            <w:r>
              <w:rPr>
                <w:rFonts w:hint="eastAsia" w:ascii="宋体" w:hAnsi="宋体" w:eastAsia="宋体" w:cs="宋体"/>
                <w:color w:val="auto"/>
                <w:sz w:val="24"/>
                <w:highlight w:val="none"/>
                <w:u w:val="none" w:color="000000"/>
              </w:rPr>
              <w:t>不要求提供</w:t>
            </w:r>
          </w:p>
          <w:p w14:paraId="24138B9B">
            <w:pPr>
              <w:spacing w:line="440" w:lineRule="exact"/>
              <w:jc w:val="left"/>
              <w:rPr>
                <w:rFonts w:hint="eastAsia" w:ascii="宋体" w:hAnsi="宋体" w:eastAsia="宋体" w:cs="宋体"/>
                <w:color w:val="auto"/>
                <w:sz w:val="24"/>
                <w:highlight w:val="none"/>
                <w:u w:val="none" w:color="000000"/>
              </w:rPr>
            </w:pPr>
            <w:r>
              <w:rPr>
                <w:rFonts w:hint="eastAsia" w:ascii="宋体" w:hAnsi="宋体" w:eastAsia="宋体" w:cs="宋体"/>
                <w:color w:val="auto"/>
                <w:sz w:val="24"/>
                <w:highlight w:val="none"/>
                <w:u w:val="none" w:color="000000"/>
              </w:rPr>
              <w:sym w:font="Wingdings" w:char="00A8"/>
            </w:r>
            <w:r>
              <w:rPr>
                <w:rFonts w:hint="eastAsia" w:ascii="宋体" w:hAnsi="宋体" w:eastAsia="宋体" w:cs="宋体"/>
                <w:color w:val="auto"/>
                <w:sz w:val="24"/>
                <w:highlight w:val="none"/>
                <w:u w:val="none" w:color="000000"/>
              </w:rPr>
              <w:t>要求提供</w:t>
            </w:r>
          </w:p>
          <w:p w14:paraId="5EF3ABF6">
            <w:pPr>
              <w:spacing w:line="440" w:lineRule="exact"/>
              <w:jc w:val="left"/>
              <w:rPr>
                <w:rFonts w:hint="eastAsia" w:ascii="宋体" w:hAnsi="宋体" w:eastAsia="宋体" w:cs="宋体"/>
                <w:color w:val="auto"/>
                <w:sz w:val="24"/>
                <w:highlight w:val="none"/>
                <w:u w:val="none" w:color="000000"/>
              </w:rPr>
            </w:pPr>
            <w:r>
              <w:rPr>
                <w:rFonts w:hint="eastAsia" w:ascii="宋体" w:hAnsi="宋体" w:eastAsia="宋体" w:cs="宋体"/>
                <w:color w:val="auto"/>
                <w:sz w:val="24"/>
                <w:highlight w:val="none"/>
                <w:u w:val="none" w:color="000000"/>
              </w:rPr>
              <w:t>履约保证金金额：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color="000000"/>
              </w:rPr>
              <w:t xml:space="preserve">  </w:t>
            </w:r>
          </w:p>
          <w:p w14:paraId="0AD6A4AD">
            <w:pPr>
              <w:spacing w:line="440" w:lineRule="exact"/>
              <w:jc w:val="left"/>
              <w:rPr>
                <w:rFonts w:hint="eastAsia" w:ascii="宋体" w:hAnsi="宋体" w:eastAsia="宋体" w:cs="宋体"/>
                <w:color w:val="auto"/>
                <w:sz w:val="24"/>
                <w:highlight w:val="none"/>
                <w:u w:val="none" w:color="000000"/>
              </w:rPr>
            </w:pPr>
            <w:r>
              <w:rPr>
                <w:rFonts w:hint="eastAsia" w:ascii="宋体" w:hAnsi="宋体" w:eastAsia="宋体" w:cs="宋体"/>
                <w:color w:val="auto"/>
                <w:sz w:val="24"/>
                <w:highlight w:val="none"/>
                <w:u w:val="none" w:color="000000"/>
              </w:rPr>
              <w:t>履约保证金形式：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color="000000"/>
              </w:rPr>
              <w:t xml:space="preserve"> </w:t>
            </w:r>
          </w:p>
        </w:tc>
      </w:tr>
      <w:tr w14:paraId="5F88A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38" w:hRule="atLeast"/>
          <w:jc w:val="center"/>
        </w:trPr>
        <w:tc>
          <w:tcPr>
            <w:tcW w:w="688" w:type="dxa"/>
            <w:noWrap w:val="0"/>
            <w:vAlign w:val="center"/>
          </w:tcPr>
          <w:p w14:paraId="70DE7A26">
            <w:pPr>
              <w:numPr>
                <w:ilvl w:val="0"/>
                <w:numId w:val="3"/>
              </w:numPr>
              <w:spacing w:line="440" w:lineRule="exact"/>
              <w:jc w:val="center"/>
              <w:rPr>
                <w:rFonts w:hint="eastAsia" w:ascii="宋体" w:hAnsi="宋体" w:eastAsia="宋体" w:cs="宋体"/>
                <w:color w:val="auto"/>
                <w:kern w:val="0"/>
                <w:sz w:val="24"/>
                <w:highlight w:val="none"/>
              </w:rPr>
            </w:pPr>
          </w:p>
        </w:tc>
        <w:tc>
          <w:tcPr>
            <w:tcW w:w="1431" w:type="dxa"/>
            <w:noWrap w:val="0"/>
            <w:vAlign w:val="center"/>
          </w:tcPr>
          <w:p w14:paraId="1D9A2613">
            <w:pPr>
              <w:keepNext/>
              <w:widowControl/>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开标现场携带证件</w:t>
            </w:r>
          </w:p>
        </w:tc>
        <w:tc>
          <w:tcPr>
            <w:tcW w:w="7721" w:type="dxa"/>
            <w:noWrap w:val="0"/>
            <w:vAlign w:val="center"/>
          </w:tcPr>
          <w:p w14:paraId="5FAA06E8">
            <w:pPr>
              <w:spacing w:line="44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本项目采用“政府采购云平台”网上投标，采用电子响应文件，各供应商均无需到达开标现场。</w:t>
            </w:r>
          </w:p>
        </w:tc>
      </w:tr>
      <w:tr w14:paraId="34F25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646" w:hRule="atLeast"/>
          <w:jc w:val="center"/>
        </w:trPr>
        <w:tc>
          <w:tcPr>
            <w:tcW w:w="688" w:type="dxa"/>
            <w:noWrap w:val="0"/>
            <w:vAlign w:val="center"/>
          </w:tcPr>
          <w:p w14:paraId="025337F5">
            <w:pPr>
              <w:numPr>
                <w:ilvl w:val="0"/>
                <w:numId w:val="3"/>
              </w:numPr>
              <w:spacing w:line="440" w:lineRule="exact"/>
              <w:jc w:val="center"/>
              <w:rPr>
                <w:rFonts w:hint="eastAsia" w:ascii="宋体" w:hAnsi="宋体" w:eastAsia="宋体" w:cs="宋体"/>
                <w:color w:val="auto"/>
                <w:kern w:val="0"/>
                <w:sz w:val="24"/>
                <w:highlight w:val="none"/>
              </w:rPr>
            </w:pPr>
          </w:p>
        </w:tc>
        <w:tc>
          <w:tcPr>
            <w:tcW w:w="1431" w:type="dxa"/>
            <w:noWrap w:val="0"/>
            <w:vAlign w:val="center"/>
          </w:tcPr>
          <w:p w14:paraId="69041ABD">
            <w:pPr>
              <w:keepNext/>
              <w:widowControl/>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供应商应考虑多方因素</w:t>
            </w:r>
          </w:p>
        </w:tc>
        <w:tc>
          <w:tcPr>
            <w:tcW w:w="7721" w:type="dxa"/>
            <w:noWrap w:val="0"/>
            <w:vAlign w:val="center"/>
          </w:tcPr>
          <w:p w14:paraId="36B05A45">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供应商应自行考虑各种因素（如电脑配置、CA数字证书办理、CA驱动版本和客户端下载、电子CA签章调试等情形），因供应商自身原因导致无效投标处理的，由此产生的一切费用和损失由供应商自行承担，采购人不承担任何责任。</w:t>
            </w:r>
          </w:p>
        </w:tc>
      </w:tr>
      <w:tr w14:paraId="78246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006" w:hRule="atLeast"/>
          <w:jc w:val="center"/>
        </w:trPr>
        <w:tc>
          <w:tcPr>
            <w:tcW w:w="688" w:type="dxa"/>
            <w:noWrap w:val="0"/>
            <w:vAlign w:val="center"/>
          </w:tcPr>
          <w:p w14:paraId="0AE3226B">
            <w:pPr>
              <w:numPr>
                <w:ilvl w:val="0"/>
                <w:numId w:val="3"/>
              </w:numPr>
              <w:spacing w:line="440" w:lineRule="exact"/>
              <w:jc w:val="center"/>
              <w:rPr>
                <w:rFonts w:hint="eastAsia" w:ascii="宋体" w:hAnsi="宋体" w:eastAsia="宋体" w:cs="宋体"/>
                <w:color w:val="auto"/>
                <w:sz w:val="24"/>
                <w:highlight w:val="none"/>
              </w:rPr>
            </w:pPr>
          </w:p>
        </w:tc>
        <w:tc>
          <w:tcPr>
            <w:tcW w:w="1431" w:type="dxa"/>
            <w:noWrap w:val="0"/>
            <w:vAlign w:val="center"/>
          </w:tcPr>
          <w:p w14:paraId="5FCC07FB">
            <w:pPr>
              <w:widowControl/>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w:t>
            </w:r>
          </w:p>
          <w:p w14:paraId="223E156E">
            <w:pPr>
              <w:widowControl/>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服务费</w:t>
            </w:r>
          </w:p>
        </w:tc>
        <w:tc>
          <w:tcPr>
            <w:tcW w:w="7721" w:type="dxa"/>
            <w:noWrap w:val="0"/>
            <w:vAlign w:val="center"/>
          </w:tcPr>
          <w:p w14:paraId="47BFEAD1">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1.经与采购人协商，本项目招标代理服务费由中标人支付，招标代理服务费</w:t>
            </w:r>
            <w:r>
              <w:rPr>
                <w:rFonts w:hint="eastAsia" w:ascii="宋体" w:hAnsi="宋体" w:cs="宋体"/>
                <w:color w:val="auto"/>
                <w:sz w:val="24"/>
                <w:highlight w:val="none"/>
                <w:u w:val="single"/>
                <w:lang w:val="en-US" w:eastAsia="zh-CN"/>
              </w:rPr>
              <w:t>2500</w:t>
            </w:r>
            <w:r>
              <w:rPr>
                <w:rFonts w:hint="eastAsia" w:ascii="宋体" w:hAnsi="宋体" w:eastAsia="宋体" w:cs="宋体"/>
                <w:color w:val="auto"/>
                <w:sz w:val="24"/>
                <w:highlight w:val="none"/>
                <w:u w:val="single"/>
              </w:rPr>
              <w:t>元（</w:t>
            </w:r>
            <w:r>
              <w:rPr>
                <w:rFonts w:hint="eastAsia" w:ascii="宋体" w:hAnsi="宋体" w:cs="宋体"/>
                <w:color w:val="auto"/>
                <w:sz w:val="24"/>
                <w:highlight w:val="none"/>
                <w:u w:val="single"/>
                <w:lang w:val="en-US" w:eastAsia="zh-CN"/>
              </w:rPr>
              <w:t>贰仟伍佰元</w:t>
            </w:r>
            <w:r>
              <w:rPr>
                <w:rFonts w:hint="eastAsia" w:ascii="宋体" w:hAnsi="宋体" w:eastAsia="宋体" w:cs="宋体"/>
                <w:color w:val="auto"/>
                <w:sz w:val="24"/>
                <w:highlight w:val="none"/>
                <w:u w:val="single"/>
              </w:rPr>
              <w:t>整）</w:t>
            </w:r>
            <w:r>
              <w:rPr>
                <w:rFonts w:hint="eastAsia" w:ascii="宋体" w:hAnsi="宋体" w:eastAsia="宋体" w:cs="宋体"/>
                <w:color w:val="auto"/>
                <w:sz w:val="24"/>
                <w:highlight w:val="none"/>
              </w:rPr>
              <w:t>，在领取中标通知书前一次性支付。</w:t>
            </w:r>
          </w:p>
          <w:p w14:paraId="41B33049">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2.招标代理费缴纳账户信息：</w:t>
            </w:r>
          </w:p>
          <w:p w14:paraId="2576B35A">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收款单位（户名）：新疆元誉工程项目管理有限公司独山子区分公司</w:t>
            </w:r>
          </w:p>
          <w:p w14:paraId="64484A39">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开户行：中国工商银行股份有限公司克拉玛依独山子支行</w:t>
            </w:r>
          </w:p>
          <w:p w14:paraId="7FDF1EB3">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银行账号：3003 0230 0920 0146 501</w:t>
            </w:r>
          </w:p>
          <w:p w14:paraId="737E78C5">
            <w:pPr>
              <w:widowControl/>
              <w:spacing w:line="440" w:lineRule="exact"/>
              <w:jc w:val="left"/>
              <w:rPr>
                <w:rFonts w:hint="eastAsia" w:ascii="宋体" w:hAnsi="宋体" w:eastAsia="宋体" w:cs="宋体"/>
                <w:bCs/>
                <w:color w:val="auto"/>
                <w:kern w:val="0"/>
                <w:sz w:val="24"/>
                <w:highlight w:val="none"/>
                <w:lang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eastAsia="zh-CN"/>
              </w:rPr>
              <w:t>程先生</w:t>
            </w:r>
            <w:r>
              <w:rPr>
                <w:rFonts w:hint="eastAsia" w:ascii="宋体" w:hAnsi="宋体" w:eastAsia="宋体" w:cs="宋体"/>
                <w:color w:val="auto"/>
                <w:sz w:val="24"/>
                <w:highlight w:val="none"/>
              </w:rPr>
              <w:t xml:space="preserve">            联系电话：</w:t>
            </w:r>
            <w:r>
              <w:rPr>
                <w:rFonts w:hint="eastAsia" w:ascii="宋体" w:hAnsi="宋体" w:eastAsia="宋体" w:cs="宋体"/>
                <w:color w:val="auto"/>
                <w:sz w:val="24"/>
                <w:highlight w:val="none"/>
                <w:lang w:eastAsia="zh-CN"/>
              </w:rPr>
              <w:t>18999507776</w:t>
            </w:r>
          </w:p>
        </w:tc>
      </w:tr>
      <w:tr w14:paraId="3AFE3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49" w:hRule="atLeast"/>
          <w:jc w:val="center"/>
        </w:trPr>
        <w:tc>
          <w:tcPr>
            <w:tcW w:w="688" w:type="dxa"/>
            <w:noWrap w:val="0"/>
            <w:vAlign w:val="center"/>
          </w:tcPr>
          <w:p w14:paraId="143A8F2E">
            <w:pPr>
              <w:numPr>
                <w:ilvl w:val="0"/>
                <w:numId w:val="3"/>
              </w:numPr>
              <w:spacing w:line="440" w:lineRule="exact"/>
              <w:jc w:val="center"/>
              <w:rPr>
                <w:rFonts w:hint="eastAsia" w:ascii="宋体" w:hAnsi="宋体" w:eastAsia="宋体" w:cs="宋体"/>
                <w:color w:val="auto"/>
                <w:sz w:val="24"/>
                <w:highlight w:val="none"/>
              </w:rPr>
            </w:pPr>
          </w:p>
        </w:tc>
        <w:tc>
          <w:tcPr>
            <w:tcW w:w="1431" w:type="dxa"/>
            <w:noWrap w:val="0"/>
            <w:vAlign w:val="center"/>
          </w:tcPr>
          <w:p w14:paraId="16EEFC18">
            <w:pPr>
              <w:widowControl/>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tc>
        <w:tc>
          <w:tcPr>
            <w:tcW w:w="7721" w:type="dxa"/>
            <w:noWrap w:val="0"/>
            <w:vAlign w:val="center"/>
          </w:tcPr>
          <w:p w14:paraId="00706226">
            <w:pPr>
              <w:spacing w:line="440" w:lineRule="exact"/>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1.本次采用不见面开标，开标时请各供应商准时在新疆政府采购网参加开标会，准时签到；未递交投标文件及未签到的视为无效投标；</w:t>
            </w:r>
          </w:p>
          <w:p w14:paraId="794EBECC">
            <w:pPr>
              <w:spacing w:line="440" w:lineRule="exact"/>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2.各供应商需办理政采云CA锁，开标时需现场投标文件解密；</w:t>
            </w:r>
          </w:p>
          <w:p w14:paraId="70C704AE">
            <w:pPr>
              <w:spacing w:line="440" w:lineRule="exact"/>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3.开标时各供应商需在线等待评标结果，及时回复对于投标文件中指出的需要澄清及确认的信息。</w:t>
            </w:r>
          </w:p>
        </w:tc>
      </w:tr>
    </w:tbl>
    <w:p w14:paraId="01D7AD9D">
      <w:pPr>
        <w:jc w:val="left"/>
        <w:rPr>
          <w:rFonts w:hint="eastAsia" w:ascii="宋体" w:hAnsi="宋体" w:cs="宋体"/>
          <w:b/>
          <w:bCs/>
          <w:color w:val="auto"/>
          <w:sz w:val="22"/>
          <w:szCs w:val="22"/>
          <w:highlight w:val="none"/>
        </w:rPr>
      </w:pPr>
    </w:p>
    <w:p w14:paraId="0C429FA6">
      <w:pPr>
        <w:spacing w:line="360" w:lineRule="auto"/>
        <w:jc w:val="lef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本表是本招标项目的具体资料，是对供应商须知的具体补充和修改，如有矛盾，以本表为准。</w:t>
      </w:r>
    </w:p>
    <w:p w14:paraId="288D95F3">
      <w:pPr>
        <w:tabs>
          <w:tab w:val="center" w:pos="4832"/>
          <w:tab w:val="left" w:pos="7140"/>
        </w:tabs>
        <w:spacing w:line="360" w:lineRule="auto"/>
        <w:jc w:val="center"/>
        <w:outlineLvl w:val="1"/>
        <w:rPr>
          <w:rFonts w:hint="eastAsia" w:ascii="宋体" w:hAnsi="宋体" w:cs="宋体"/>
          <w:b/>
          <w:color w:val="auto"/>
          <w:sz w:val="28"/>
          <w:szCs w:val="28"/>
          <w:highlight w:val="none"/>
        </w:rPr>
      </w:pPr>
      <w:bookmarkStart w:id="197" w:name="_Toc14256"/>
      <w:bookmarkStart w:id="198" w:name="_Toc17393"/>
      <w:bookmarkStart w:id="199" w:name="_Toc20563"/>
      <w:bookmarkStart w:id="200" w:name="_Toc7944"/>
      <w:bookmarkStart w:id="201" w:name="_Toc15179"/>
      <w:bookmarkStart w:id="202" w:name="_Toc21482"/>
      <w:bookmarkStart w:id="203" w:name="_Toc10990"/>
      <w:bookmarkStart w:id="204" w:name="_Toc7152"/>
      <w:bookmarkStart w:id="205" w:name="_Toc29029"/>
      <w:bookmarkStart w:id="206" w:name="_Toc24697"/>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一、  总则</w:t>
      </w:r>
      <w:bookmarkEnd w:id="197"/>
      <w:bookmarkEnd w:id="198"/>
      <w:bookmarkEnd w:id="199"/>
      <w:bookmarkEnd w:id="200"/>
      <w:bookmarkEnd w:id="201"/>
      <w:bookmarkEnd w:id="202"/>
      <w:bookmarkEnd w:id="203"/>
      <w:bookmarkEnd w:id="204"/>
      <w:bookmarkEnd w:id="205"/>
      <w:bookmarkEnd w:id="206"/>
    </w:p>
    <w:p w14:paraId="573639EE">
      <w:pPr>
        <w:pStyle w:val="16"/>
        <w:spacing w:line="360" w:lineRule="auto"/>
        <w:ind w:firstLine="482" w:firstLineChars="200"/>
        <w:outlineLvl w:val="2"/>
        <w:rPr>
          <w:rFonts w:hint="eastAsia" w:hAnsi="宋体" w:cs="宋体"/>
          <w:b/>
          <w:bCs/>
          <w:color w:val="auto"/>
          <w:sz w:val="24"/>
          <w:szCs w:val="24"/>
          <w:highlight w:val="none"/>
        </w:rPr>
      </w:pPr>
      <w:bookmarkStart w:id="207" w:name="_Toc243906311"/>
      <w:bookmarkStart w:id="208" w:name="_Toc246216180"/>
      <w:bookmarkStart w:id="209" w:name="_Toc233274811"/>
      <w:bookmarkStart w:id="210" w:name="_Toc243907571"/>
      <w:r>
        <w:rPr>
          <w:rFonts w:hint="eastAsia" w:hAnsi="宋体" w:cs="宋体"/>
          <w:b/>
          <w:bCs/>
          <w:color w:val="auto"/>
          <w:sz w:val="24"/>
          <w:szCs w:val="24"/>
          <w:highlight w:val="none"/>
        </w:rPr>
        <w:t>1、  适用范围</w:t>
      </w:r>
      <w:bookmarkEnd w:id="207"/>
      <w:bookmarkEnd w:id="208"/>
      <w:bookmarkEnd w:id="209"/>
      <w:bookmarkEnd w:id="210"/>
    </w:p>
    <w:p w14:paraId="4C365A1E">
      <w:pPr>
        <w:pStyle w:val="16"/>
        <w:spacing w:line="360" w:lineRule="auto"/>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1.1 适用范围</w:t>
      </w:r>
    </w:p>
    <w:p w14:paraId="5C779413">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本磋商文件仅适用于</w:t>
      </w:r>
      <w:r>
        <w:rPr>
          <w:rFonts w:hint="eastAsia" w:ascii="宋体" w:hAnsi="宋体" w:cs="宋体"/>
          <w:b w:val="0"/>
          <w:bCs w:val="0"/>
          <w:color w:val="auto"/>
          <w:sz w:val="24"/>
          <w:szCs w:val="24"/>
          <w:highlight w:val="none"/>
          <w:lang w:eastAsia="zh-CN"/>
        </w:rPr>
        <w:t>克拉玛依市独山子区农业和水务局2025年度独山子区兽医社会化服务采购项目</w:t>
      </w:r>
    </w:p>
    <w:p w14:paraId="279BCF0C">
      <w:pPr>
        <w:pStyle w:val="16"/>
        <w:spacing w:line="360" w:lineRule="auto"/>
        <w:ind w:firstLine="482" w:firstLineChars="200"/>
        <w:outlineLvl w:val="3"/>
        <w:rPr>
          <w:rFonts w:hint="eastAsia" w:hAnsi="宋体" w:cs="宋体"/>
          <w:b/>
          <w:bCs/>
          <w:color w:val="auto"/>
          <w:sz w:val="24"/>
          <w:szCs w:val="24"/>
          <w:highlight w:val="none"/>
        </w:rPr>
      </w:pPr>
      <w:r>
        <w:rPr>
          <w:rFonts w:hint="eastAsia" w:hAnsi="宋体" w:cs="宋体"/>
          <w:b/>
          <w:bCs/>
          <w:color w:val="auto"/>
          <w:sz w:val="24"/>
          <w:szCs w:val="24"/>
          <w:highlight w:val="none"/>
        </w:rPr>
        <w:t>1.2磋商依据</w:t>
      </w:r>
    </w:p>
    <w:p w14:paraId="55DC7EDA">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依据《中华人民共和国政府采购法》《中华人民共和国政府采购法实施条例》《财政部关于印发〈政府采购竞争性磋商采购方式管理暂行办法〉的通知》（财库〔2014〕214号）及有关法律法规。</w:t>
      </w:r>
    </w:p>
    <w:p w14:paraId="016A7EF9">
      <w:pPr>
        <w:pStyle w:val="16"/>
        <w:spacing w:line="360" w:lineRule="auto"/>
        <w:ind w:firstLine="482" w:firstLineChars="200"/>
        <w:outlineLvl w:val="2"/>
        <w:rPr>
          <w:rFonts w:hint="eastAsia" w:hAnsi="宋体" w:cs="宋体"/>
          <w:b/>
          <w:bCs/>
          <w:color w:val="auto"/>
          <w:sz w:val="24"/>
          <w:szCs w:val="24"/>
          <w:highlight w:val="none"/>
        </w:rPr>
      </w:pPr>
      <w:bookmarkStart w:id="211" w:name="_Toc233274812"/>
      <w:bookmarkStart w:id="212" w:name="_Toc243907572"/>
      <w:bookmarkStart w:id="213" w:name="_Toc246216181"/>
      <w:bookmarkStart w:id="214" w:name="_Toc243906312"/>
      <w:r>
        <w:rPr>
          <w:rFonts w:hint="eastAsia" w:hAnsi="宋体" w:cs="宋体"/>
          <w:b/>
          <w:bCs/>
          <w:color w:val="auto"/>
          <w:sz w:val="24"/>
          <w:szCs w:val="24"/>
          <w:highlight w:val="none"/>
        </w:rPr>
        <w:t>2、定义</w:t>
      </w:r>
      <w:bookmarkEnd w:id="211"/>
      <w:bookmarkEnd w:id="212"/>
      <w:bookmarkEnd w:id="213"/>
      <w:bookmarkEnd w:id="214"/>
    </w:p>
    <w:p w14:paraId="4A9CD810">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2.1 “采购人”系指克拉玛依市独山子区农业和水务局，在签订和执行合同阶段称“甲方”。</w:t>
      </w:r>
    </w:p>
    <w:p w14:paraId="08489CB9">
      <w:pPr>
        <w:pStyle w:val="16"/>
        <w:spacing w:line="360" w:lineRule="auto"/>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2.2“采购代理机构”系指新疆元誉工程项目管理有限公司。</w:t>
      </w:r>
    </w:p>
    <w:p w14:paraId="18AE6751">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2.3 “供应商”系指具备资格并响应磋商文件要求提交响应文件的供应商（即法人、其他组织或者自然人），供应商若成交，在签订和执行合同阶段称“乙方”。</w:t>
      </w:r>
    </w:p>
    <w:p w14:paraId="7491A23B">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2.4 “磋商文件”系指由采购人向供应商发出的本采购项目的全部文件（包括修改文件、项目采购需求、补充文件、答疑纪要、各种通知和附件等）。</w:t>
      </w:r>
    </w:p>
    <w:p w14:paraId="2D6AD457">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2.5 “响应文件”系指供应商根据磋商文件提交的所有文件及电子文档（电子投标书或不加密光盘或U盘）。</w:t>
      </w:r>
    </w:p>
    <w:p w14:paraId="3C275B5B">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2.6“合同货物”系指按合同条款、技术规范及标准、项目采购需求、本采购文件规定，成交供应商须向采购人提供</w:t>
      </w:r>
      <w:r>
        <w:rPr>
          <w:rFonts w:hint="eastAsia" w:hAnsi="宋体" w:cs="宋体"/>
          <w:color w:val="auto"/>
          <w:sz w:val="24"/>
          <w:szCs w:val="24"/>
          <w:highlight w:val="none"/>
          <w:lang w:eastAsia="zh-CN"/>
        </w:rPr>
        <w:t>克拉玛依市独山子区农业和水务局2025年度独山子区兽医社会化服务采购项目</w:t>
      </w:r>
      <w:r>
        <w:rPr>
          <w:rFonts w:hint="eastAsia" w:hAnsi="宋体" w:cs="宋体"/>
          <w:color w:val="auto"/>
          <w:sz w:val="24"/>
          <w:szCs w:val="24"/>
          <w:highlight w:val="none"/>
        </w:rPr>
        <w:t>验收合格并正常使用所需的全部设备、材料等 （含手册、规范、标准及相关技术资料等） 。</w:t>
      </w:r>
    </w:p>
    <w:p w14:paraId="6DF02560">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2.7“服务”系指合同条款、技术规范及标准、项目采购需求、本磋商文件规定，成交供应商为保证完成</w:t>
      </w:r>
      <w:r>
        <w:rPr>
          <w:rFonts w:hint="eastAsia" w:hAnsi="宋体" w:cs="宋体"/>
          <w:color w:val="auto"/>
          <w:sz w:val="24"/>
          <w:szCs w:val="24"/>
          <w:highlight w:val="none"/>
          <w:lang w:eastAsia="zh-CN"/>
        </w:rPr>
        <w:t>克拉玛依市独山子区农业和水务局2025年度独山子区兽医社会化服务采购项目</w:t>
      </w:r>
      <w:r>
        <w:rPr>
          <w:rFonts w:hint="eastAsia" w:hAnsi="宋体" w:cs="宋体"/>
          <w:color w:val="auto"/>
          <w:sz w:val="24"/>
          <w:szCs w:val="24"/>
          <w:highlight w:val="none"/>
        </w:rPr>
        <w:t>应承担的所有工作，以及与本服务相关的管理协调配合服务，并协助办理相关部门对此项目的审查、审批等相关手续，对相关部门的审核意见进行回复、修改，配合采购人完成与此服务相关的合同条款、技术规范及标准、项目采购需求、采购文件约定的全部内容及责任和义务。</w:t>
      </w:r>
    </w:p>
    <w:p w14:paraId="3A5943A7">
      <w:pPr>
        <w:pStyle w:val="16"/>
        <w:spacing w:line="360" w:lineRule="auto"/>
        <w:ind w:firstLine="480" w:firstLineChars="200"/>
        <w:rPr>
          <w:rFonts w:hint="eastAsia" w:hAnsi="宋体" w:cs="宋体"/>
          <w:color w:val="auto"/>
          <w:sz w:val="24"/>
          <w:szCs w:val="24"/>
          <w:highlight w:val="none"/>
        </w:rPr>
      </w:pPr>
      <w:bookmarkStart w:id="215" w:name="_Toc243907573"/>
      <w:bookmarkStart w:id="216" w:name="_Toc233274813"/>
      <w:bookmarkStart w:id="217" w:name="_Toc246216182"/>
      <w:bookmarkStart w:id="218" w:name="_Toc243906313"/>
      <w:bookmarkStart w:id="219" w:name="_Toc233274814"/>
      <w:bookmarkStart w:id="220" w:name="_Toc246216183"/>
      <w:bookmarkStart w:id="221" w:name="_Toc243906314"/>
      <w:bookmarkStart w:id="222" w:name="_Toc243907574"/>
      <w:r>
        <w:rPr>
          <w:rFonts w:hint="eastAsia" w:hAnsi="宋体" w:cs="宋体"/>
          <w:color w:val="auto"/>
          <w:sz w:val="24"/>
          <w:highlight w:val="none"/>
        </w:rPr>
        <w:t>2.8凡提及的“天、日期、星期、月份和年份”系指公历日历的日历天、日期、星期、月份和年份。</w:t>
      </w:r>
    </w:p>
    <w:p w14:paraId="6D181250">
      <w:pPr>
        <w:pStyle w:val="16"/>
        <w:spacing w:line="360" w:lineRule="auto"/>
        <w:ind w:firstLine="482" w:firstLineChars="200"/>
        <w:outlineLvl w:val="2"/>
        <w:rPr>
          <w:rFonts w:hint="eastAsia" w:hAnsi="宋体" w:cs="宋体"/>
          <w:b/>
          <w:bCs/>
          <w:color w:val="auto"/>
          <w:sz w:val="24"/>
          <w:szCs w:val="24"/>
          <w:highlight w:val="none"/>
        </w:rPr>
      </w:pPr>
      <w:r>
        <w:rPr>
          <w:rFonts w:hint="eastAsia" w:hAnsi="宋体" w:cs="宋体"/>
          <w:b/>
          <w:bCs/>
          <w:color w:val="auto"/>
          <w:sz w:val="24"/>
          <w:szCs w:val="24"/>
          <w:highlight w:val="none"/>
        </w:rPr>
        <w:t>3、招标范围</w:t>
      </w:r>
      <w:bookmarkEnd w:id="215"/>
      <w:bookmarkEnd w:id="216"/>
      <w:bookmarkEnd w:id="217"/>
      <w:bookmarkEnd w:id="218"/>
    </w:p>
    <w:p w14:paraId="7C7F8F21">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3.1招标范围：</w:t>
      </w:r>
      <w:r>
        <w:rPr>
          <w:rFonts w:hint="eastAsia" w:ascii="宋体" w:hAnsi="宋体" w:cs="宋体"/>
          <w:color w:val="auto"/>
          <w:kern w:val="0"/>
          <w:sz w:val="24"/>
          <w:highlight w:val="none"/>
          <w:lang w:eastAsia="zh-CN"/>
        </w:rPr>
        <w:t>克拉玛依市独山子区农业和水务局2025年度独山子区兽医社会化服务采购项目</w:t>
      </w:r>
      <w:r>
        <w:rPr>
          <w:rFonts w:hint="eastAsia" w:ascii="宋体" w:hAnsi="宋体" w:cs="宋体"/>
          <w:color w:val="auto"/>
          <w:kern w:val="0"/>
          <w:sz w:val="24"/>
          <w:highlight w:val="none"/>
        </w:rPr>
        <w:t>应承担的所有工作，并配合采购人完成与此服务相关的合同条款、技术规范及标准、项目采购需求、采购</w:t>
      </w:r>
      <w:r>
        <w:rPr>
          <w:rFonts w:hint="eastAsia" w:ascii="宋体" w:hAnsi="宋体" w:cs="宋体"/>
          <w:color w:val="auto"/>
          <w:sz w:val="24"/>
          <w:highlight w:val="none"/>
        </w:rPr>
        <w:t>文件约定的全部内容及责任和义务。</w:t>
      </w:r>
    </w:p>
    <w:bookmarkEnd w:id="219"/>
    <w:bookmarkEnd w:id="220"/>
    <w:bookmarkEnd w:id="221"/>
    <w:bookmarkEnd w:id="222"/>
    <w:p w14:paraId="66ABFB61">
      <w:pPr>
        <w:spacing w:line="360" w:lineRule="auto"/>
        <w:ind w:firstLine="482" w:firstLineChars="200"/>
        <w:outlineLvl w:val="2"/>
        <w:rPr>
          <w:rFonts w:hint="eastAsia" w:ascii="宋体" w:hAnsi="宋体" w:cs="宋体"/>
          <w:b/>
          <w:bCs/>
          <w:color w:val="auto"/>
          <w:sz w:val="24"/>
          <w:highlight w:val="none"/>
        </w:rPr>
      </w:pPr>
      <w:bookmarkStart w:id="223" w:name="_Toc25209"/>
      <w:r>
        <w:rPr>
          <w:rFonts w:hint="eastAsia" w:ascii="宋体" w:hAnsi="宋体" w:cs="宋体"/>
          <w:b/>
          <w:bCs/>
          <w:color w:val="auto"/>
          <w:sz w:val="24"/>
          <w:highlight w:val="none"/>
        </w:rPr>
        <w:t>4、合格供应商资格要求</w:t>
      </w:r>
      <w:bookmarkEnd w:id="223"/>
    </w:p>
    <w:p w14:paraId="7A73A1A4">
      <w:pPr>
        <w:spacing w:line="360" w:lineRule="auto"/>
        <w:ind w:firstLine="480" w:firstLineChars="200"/>
        <w:outlineLvl w:val="3"/>
        <w:rPr>
          <w:rFonts w:hint="eastAsia" w:ascii="宋体" w:hAnsi="宋体" w:cs="宋体"/>
          <w:color w:val="auto"/>
          <w:sz w:val="24"/>
          <w:highlight w:val="none"/>
        </w:rPr>
      </w:pPr>
      <w:r>
        <w:rPr>
          <w:rFonts w:hint="eastAsia" w:ascii="宋体" w:hAnsi="宋体" w:cs="宋体"/>
          <w:color w:val="auto"/>
          <w:sz w:val="24"/>
          <w:highlight w:val="none"/>
        </w:rPr>
        <w:t>4.1详见第一章“竞争性磋商采购公告”中的供应商资格要求。</w:t>
      </w:r>
    </w:p>
    <w:p w14:paraId="51388F29">
      <w:pPr>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4.2单位负责人为同一人或者存在直接控股、管理关系的不同供应商，不得参加同一合同项下的政府采购活动。</w:t>
      </w:r>
    </w:p>
    <w:p w14:paraId="4E4CBDCF">
      <w:pPr>
        <w:spacing w:line="360" w:lineRule="auto"/>
        <w:ind w:firstLine="477" w:firstLineChars="199"/>
        <w:rPr>
          <w:rFonts w:ascii="宋体" w:hAnsi="宋体" w:cs="宋体"/>
          <w:color w:val="auto"/>
          <w:sz w:val="24"/>
          <w:highlight w:val="none"/>
        </w:rPr>
      </w:pPr>
      <w:r>
        <w:rPr>
          <w:rFonts w:hint="eastAsia" w:ascii="宋体" w:hAnsi="宋体" w:cs="宋体"/>
          <w:color w:val="auto"/>
          <w:sz w:val="24"/>
          <w:highlight w:val="none"/>
        </w:rPr>
        <w:t>4.3在单一品目的货物采购招标中，同一品牌同一型号的产品有多家供应商参加磋商，只能按照一家供应商计算。（仅适用于货物招标）</w:t>
      </w:r>
    </w:p>
    <w:p w14:paraId="55CDB261">
      <w:pPr>
        <w:pStyle w:val="84"/>
        <w:spacing w:line="360" w:lineRule="auto"/>
        <w:ind w:firstLine="475" w:firstLineChars="198"/>
        <w:rPr>
          <w:rFonts w:hint="eastAsia" w:ascii="宋体" w:hAnsi="宋体" w:cs="宋体"/>
          <w:color w:val="auto"/>
          <w:sz w:val="24"/>
          <w:highlight w:val="none"/>
        </w:rPr>
      </w:pPr>
      <w:r>
        <w:rPr>
          <w:rFonts w:hint="eastAsia" w:ascii="宋体" w:hAnsi="宋体" w:cs="宋体"/>
          <w:color w:val="auto"/>
          <w:sz w:val="24"/>
          <w:highlight w:val="none"/>
        </w:rPr>
        <w:t>4.4同一分包的货物，制造商参与磋商的，不得再委托代理商参与磋商。（仅适用于货物招标）</w:t>
      </w:r>
    </w:p>
    <w:p w14:paraId="20CA9348">
      <w:pPr>
        <w:pStyle w:val="103"/>
        <w:numPr>
          <w:ilvl w:val="0"/>
          <w:numId w:val="4"/>
        </w:numPr>
        <w:adjustRightInd/>
        <w:spacing w:line="360" w:lineRule="auto"/>
        <w:ind w:firstLine="482" w:firstLineChars="200"/>
        <w:outlineLvl w:val="2"/>
        <w:rPr>
          <w:rFonts w:hint="eastAsia" w:hAnsi="宋体" w:cs="宋体"/>
          <w:b/>
          <w:bCs/>
          <w:color w:val="auto"/>
          <w:kern w:val="2"/>
          <w:sz w:val="24"/>
          <w:szCs w:val="24"/>
          <w:highlight w:val="none"/>
        </w:rPr>
      </w:pPr>
      <w:r>
        <w:rPr>
          <w:rFonts w:hint="eastAsia" w:hAnsi="宋体" w:cs="宋体"/>
          <w:b/>
          <w:bCs/>
          <w:color w:val="auto"/>
          <w:kern w:val="2"/>
          <w:sz w:val="24"/>
          <w:szCs w:val="24"/>
          <w:highlight w:val="none"/>
        </w:rPr>
        <w:t>回避</w:t>
      </w:r>
    </w:p>
    <w:p w14:paraId="71C064DA">
      <w:pPr>
        <w:pStyle w:val="103"/>
        <w:adjustRightInd/>
        <w:spacing w:line="360" w:lineRule="auto"/>
        <w:ind w:left="420" w:leftChars="200"/>
        <w:rPr>
          <w:rFonts w:hint="eastAsia" w:hAnsi="宋体" w:cs="宋体"/>
          <w:color w:val="auto"/>
          <w:kern w:val="2"/>
          <w:sz w:val="24"/>
          <w:szCs w:val="24"/>
          <w:highlight w:val="none"/>
        </w:rPr>
      </w:pPr>
      <w:r>
        <w:rPr>
          <w:rFonts w:hint="eastAsia" w:hAnsi="宋体" w:cs="宋体"/>
          <w:color w:val="auto"/>
          <w:kern w:val="2"/>
          <w:sz w:val="24"/>
          <w:szCs w:val="24"/>
          <w:highlight w:val="none"/>
        </w:rPr>
        <w:t>政府采购活动中，采购人员及相关人员与供应商有下列利害关系之一的，应当回避：</w:t>
      </w:r>
    </w:p>
    <w:p w14:paraId="72F4595E">
      <w:pPr>
        <w:pStyle w:val="103"/>
        <w:adjustRightInd/>
        <w:spacing w:line="360" w:lineRule="auto"/>
        <w:ind w:firstLine="480" w:firstLineChars="200"/>
        <w:rPr>
          <w:rFonts w:hint="eastAsia" w:hAnsi="宋体" w:cs="宋体"/>
          <w:color w:val="auto"/>
          <w:kern w:val="2"/>
          <w:sz w:val="24"/>
          <w:szCs w:val="24"/>
          <w:highlight w:val="none"/>
        </w:rPr>
      </w:pPr>
      <w:r>
        <w:rPr>
          <w:rFonts w:hint="eastAsia" w:hAnsi="宋体" w:cs="宋体"/>
          <w:color w:val="auto"/>
          <w:kern w:val="2"/>
          <w:sz w:val="24"/>
          <w:szCs w:val="24"/>
          <w:highlight w:val="none"/>
        </w:rPr>
        <w:t>5.1参加采购活动前3年内与供应商存在劳动关系；</w:t>
      </w:r>
    </w:p>
    <w:p w14:paraId="4E7D5EAE">
      <w:pPr>
        <w:pStyle w:val="103"/>
        <w:adjustRightInd/>
        <w:spacing w:line="360" w:lineRule="auto"/>
        <w:ind w:firstLine="480" w:firstLineChars="200"/>
        <w:rPr>
          <w:rFonts w:hint="eastAsia" w:hAnsi="宋体" w:cs="宋体"/>
          <w:color w:val="auto"/>
          <w:kern w:val="2"/>
          <w:sz w:val="24"/>
          <w:szCs w:val="24"/>
          <w:highlight w:val="none"/>
        </w:rPr>
      </w:pPr>
      <w:r>
        <w:rPr>
          <w:rFonts w:hint="eastAsia" w:hAnsi="宋体" w:cs="宋体"/>
          <w:color w:val="auto"/>
          <w:kern w:val="2"/>
          <w:sz w:val="24"/>
          <w:szCs w:val="24"/>
          <w:highlight w:val="none"/>
        </w:rPr>
        <w:t>5.2参加采购活动前3年内担任供应商的董事、监事；</w:t>
      </w:r>
    </w:p>
    <w:p w14:paraId="2AB7485C">
      <w:pPr>
        <w:pStyle w:val="103"/>
        <w:adjustRightInd/>
        <w:spacing w:line="360" w:lineRule="auto"/>
        <w:ind w:firstLine="480" w:firstLineChars="200"/>
        <w:rPr>
          <w:rFonts w:hint="eastAsia" w:hAnsi="宋体" w:cs="宋体"/>
          <w:color w:val="auto"/>
          <w:kern w:val="2"/>
          <w:sz w:val="24"/>
          <w:szCs w:val="24"/>
          <w:highlight w:val="none"/>
        </w:rPr>
      </w:pPr>
      <w:r>
        <w:rPr>
          <w:rFonts w:hint="eastAsia" w:hAnsi="宋体" w:cs="宋体"/>
          <w:color w:val="auto"/>
          <w:kern w:val="2"/>
          <w:sz w:val="24"/>
          <w:szCs w:val="24"/>
          <w:highlight w:val="none"/>
        </w:rPr>
        <w:t>5.3参加采购活动前3年内是供应商的控股股东或者实际控制人；</w:t>
      </w:r>
    </w:p>
    <w:p w14:paraId="00198276">
      <w:pPr>
        <w:pStyle w:val="103"/>
        <w:adjustRightInd/>
        <w:spacing w:line="360" w:lineRule="auto"/>
        <w:ind w:firstLine="480" w:firstLineChars="200"/>
        <w:rPr>
          <w:rFonts w:hint="eastAsia" w:hAnsi="宋体" w:cs="宋体"/>
          <w:color w:val="auto"/>
          <w:kern w:val="2"/>
          <w:sz w:val="24"/>
          <w:szCs w:val="24"/>
          <w:highlight w:val="none"/>
        </w:rPr>
      </w:pPr>
      <w:r>
        <w:rPr>
          <w:rFonts w:hint="eastAsia" w:hAnsi="宋体" w:cs="宋体"/>
          <w:color w:val="auto"/>
          <w:kern w:val="2"/>
          <w:sz w:val="24"/>
          <w:szCs w:val="24"/>
          <w:highlight w:val="none"/>
        </w:rPr>
        <w:t>5.4与供应商的法定代表人或者负责人有夫妻、直系血亲、三代以内旁系血亲或者近姻亲关系；</w:t>
      </w:r>
    </w:p>
    <w:p w14:paraId="44DA6C0C">
      <w:pPr>
        <w:pStyle w:val="103"/>
        <w:adjustRightInd/>
        <w:spacing w:line="360" w:lineRule="auto"/>
        <w:ind w:firstLine="480" w:firstLineChars="200"/>
        <w:rPr>
          <w:rFonts w:hint="eastAsia" w:hAnsi="宋体" w:cs="宋体"/>
          <w:color w:val="auto"/>
          <w:kern w:val="2"/>
          <w:sz w:val="24"/>
          <w:szCs w:val="24"/>
          <w:highlight w:val="none"/>
        </w:rPr>
      </w:pPr>
      <w:r>
        <w:rPr>
          <w:rFonts w:hint="eastAsia" w:hAnsi="宋体" w:cs="宋体"/>
          <w:color w:val="auto"/>
          <w:kern w:val="2"/>
          <w:sz w:val="24"/>
          <w:szCs w:val="24"/>
          <w:highlight w:val="none"/>
        </w:rPr>
        <w:t>5.5与供应商有其他可能影响政府采购活动公平、公正进行的关系。</w:t>
      </w:r>
    </w:p>
    <w:p w14:paraId="46754EBE">
      <w:pPr>
        <w:pStyle w:val="103"/>
        <w:adjustRightInd/>
        <w:spacing w:line="360" w:lineRule="auto"/>
        <w:ind w:firstLine="480" w:firstLineChars="200"/>
        <w:rPr>
          <w:rFonts w:hint="eastAsia" w:hAnsi="宋体" w:cs="宋体"/>
          <w:color w:val="auto"/>
          <w:kern w:val="2"/>
          <w:sz w:val="24"/>
          <w:szCs w:val="24"/>
          <w:highlight w:val="none"/>
        </w:rPr>
      </w:pPr>
      <w:r>
        <w:rPr>
          <w:rFonts w:hint="eastAsia" w:hAnsi="宋体" w:cs="宋体"/>
          <w:color w:val="auto"/>
          <w:kern w:val="2"/>
          <w:sz w:val="24"/>
          <w:szCs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14:paraId="685892FC">
      <w:pPr>
        <w:pStyle w:val="103"/>
        <w:adjustRightInd/>
        <w:spacing w:line="360" w:lineRule="auto"/>
        <w:ind w:firstLine="480" w:firstLineChars="200"/>
        <w:rPr>
          <w:rFonts w:hint="eastAsia" w:hAnsi="宋体" w:cs="宋体"/>
          <w:color w:val="auto"/>
          <w:kern w:val="2"/>
          <w:sz w:val="24"/>
          <w:szCs w:val="24"/>
          <w:highlight w:val="none"/>
        </w:rPr>
      </w:pPr>
      <w:r>
        <w:rPr>
          <w:rFonts w:hint="eastAsia" w:hAnsi="宋体" w:cs="宋体"/>
          <w:color w:val="auto"/>
          <w:kern w:val="2"/>
          <w:sz w:val="24"/>
          <w:szCs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14:paraId="1E2F8CE3">
      <w:pPr>
        <w:spacing w:line="360" w:lineRule="auto"/>
        <w:ind w:firstLine="482" w:firstLineChars="200"/>
        <w:outlineLvl w:val="2"/>
        <w:rPr>
          <w:rFonts w:hint="eastAsia" w:ascii="宋体" w:hAnsi="宋体" w:cs="宋体"/>
          <w:b/>
          <w:bCs/>
          <w:color w:val="auto"/>
          <w:sz w:val="24"/>
          <w:highlight w:val="none"/>
        </w:rPr>
      </w:pPr>
      <w:bookmarkStart w:id="224" w:name="_Toc22100"/>
      <w:r>
        <w:rPr>
          <w:rFonts w:hint="eastAsia" w:ascii="宋体" w:hAnsi="宋体" w:cs="宋体"/>
          <w:b/>
          <w:bCs/>
          <w:color w:val="auto"/>
          <w:sz w:val="24"/>
          <w:highlight w:val="none"/>
        </w:rPr>
        <w:t>6、实地考察和费用</w:t>
      </w:r>
      <w:bookmarkEnd w:id="224"/>
    </w:p>
    <w:p w14:paraId="74A07DEA">
      <w:pPr>
        <w:pStyle w:val="16"/>
        <w:spacing w:line="360" w:lineRule="auto"/>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6.1实地考察</w:t>
      </w:r>
    </w:p>
    <w:p w14:paraId="7330523E">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w:t>
      </w:r>
      <w:r>
        <w:rPr>
          <w:rFonts w:hint="eastAsia" w:hAnsi="宋体" w:cs="宋体"/>
          <w:color w:val="auto"/>
          <w:kern w:val="2"/>
          <w:sz w:val="24"/>
          <w:szCs w:val="24"/>
          <w:highlight w:val="none"/>
        </w:rPr>
        <w:t>不组织</w:t>
      </w:r>
      <w:r>
        <w:rPr>
          <w:rFonts w:hint="eastAsia" w:hAnsi="宋体" w:cs="宋体"/>
          <w:color w:val="auto"/>
          <w:sz w:val="24"/>
          <w:szCs w:val="24"/>
          <w:highlight w:val="none"/>
        </w:rPr>
        <w:t>统一实地考察。供应商须对采购项目的现场及采购项目所涉及的国家、自治区、克拉玛依地区、相关部门等与此相关的政策进行充分的调查、研究，参观并考察项目情况及其周围环境（包括当地气候条件及自然环境等）以取得所有与准备磋商和实施磋商有关的必要资料及信息，</w:t>
      </w:r>
      <w:r>
        <w:rPr>
          <w:rFonts w:hint="eastAsia" w:hAnsi="宋体" w:cs="宋体"/>
          <w:color w:val="auto"/>
          <w:kern w:val="2"/>
          <w:sz w:val="24"/>
          <w:szCs w:val="24"/>
          <w:highlight w:val="none"/>
        </w:rPr>
        <w:t>实地考察所发生的任何费用均由供应商自理。</w:t>
      </w:r>
    </w:p>
    <w:p w14:paraId="5145EA76">
      <w:pPr>
        <w:pStyle w:val="16"/>
        <w:spacing w:line="360" w:lineRule="auto"/>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6.2参与磋商费用</w:t>
      </w:r>
    </w:p>
    <w:p w14:paraId="00544820">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6.2.1供应商应承担所有与磋商准备和磋商有关的全部费用，不论磋商结果如何，采购人和采购代理机构无义务和责任承担供应商所发生的一切费用。</w:t>
      </w:r>
    </w:p>
    <w:p w14:paraId="6292BEFD">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6.2.2供应商在磋商准备、实地考察和磋商的全过程中，如果发生人身伤亡、财物或其他任何损失，不论何种原因所造成，均由供应商自行承担全部责任和损失。</w:t>
      </w:r>
    </w:p>
    <w:p w14:paraId="12C6BEF8">
      <w:pPr>
        <w:pStyle w:val="16"/>
        <w:spacing w:line="360" w:lineRule="auto"/>
        <w:ind w:firstLine="482" w:firstLineChars="200"/>
        <w:outlineLvl w:val="2"/>
        <w:rPr>
          <w:rFonts w:hint="eastAsia" w:hAnsi="宋体" w:cs="宋体"/>
          <w:b/>
          <w:bCs/>
          <w:color w:val="auto"/>
          <w:sz w:val="24"/>
          <w:szCs w:val="24"/>
          <w:highlight w:val="none"/>
        </w:rPr>
      </w:pPr>
      <w:bookmarkStart w:id="225" w:name="_Toc1417"/>
      <w:bookmarkStart w:id="226" w:name="_Toc4964"/>
      <w:r>
        <w:rPr>
          <w:rFonts w:hint="eastAsia" w:hAnsi="宋体" w:cs="宋体"/>
          <w:b/>
          <w:bCs/>
          <w:color w:val="auto"/>
          <w:sz w:val="24"/>
          <w:szCs w:val="24"/>
          <w:highlight w:val="none"/>
        </w:rPr>
        <w:t>7、磋商文件的约束力</w:t>
      </w:r>
      <w:bookmarkEnd w:id="225"/>
      <w:bookmarkEnd w:id="226"/>
    </w:p>
    <w:p w14:paraId="15A5BCFD">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7.1供应商若成交，即被认为接受了本磋商文件中的所有条件和规定。是采购人与成交供应商签订合同的依据且是合同的组成部分。</w:t>
      </w:r>
    </w:p>
    <w:p w14:paraId="0F10DD78">
      <w:pPr>
        <w:spacing w:line="360" w:lineRule="auto"/>
        <w:ind w:firstLine="480" w:firstLineChars="200"/>
        <w:outlineLvl w:val="3"/>
        <w:rPr>
          <w:rFonts w:hint="eastAsia" w:ascii="宋体" w:hAnsi="宋体" w:cs="宋体"/>
          <w:color w:val="auto"/>
          <w:sz w:val="24"/>
          <w:highlight w:val="none"/>
        </w:rPr>
      </w:pPr>
      <w:r>
        <w:rPr>
          <w:rFonts w:hint="eastAsia" w:ascii="宋体" w:hAnsi="宋体" w:cs="宋体"/>
          <w:color w:val="auto"/>
          <w:sz w:val="24"/>
          <w:highlight w:val="none"/>
        </w:rPr>
        <w:t>7.2、技术资料</w:t>
      </w:r>
    </w:p>
    <w:p w14:paraId="7A6C079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7.2.1供应商确认采购人提供的技术资料（详见本磋商文件第三章）存在缺项、漏项或计算误差，应根据“供应商须知前附表”中规定的提问截止时间前，以书面方式向采购人提出。供应商未在规定的时间内对采购人提供的技术资料提出异议，视为供应商已认可采购人提供的资料包含了所需的技术资料全部内容。</w:t>
      </w:r>
    </w:p>
    <w:p w14:paraId="648E4A1E">
      <w:pPr>
        <w:spacing w:line="360" w:lineRule="auto"/>
        <w:ind w:firstLine="495"/>
        <w:outlineLvl w:val="3"/>
        <w:rPr>
          <w:rFonts w:hint="eastAsia" w:ascii="宋体" w:hAnsi="宋体" w:cs="宋体"/>
          <w:color w:val="auto"/>
          <w:sz w:val="24"/>
          <w:highlight w:val="none"/>
        </w:rPr>
      </w:pPr>
      <w:r>
        <w:rPr>
          <w:rFonts w:hint="eastAsia" w:ascii="宋体" w:hAnsi="宋体" w:cs="宋体"/>
          <w:color w:val="auto"/>
          <w:sz w:val="24"/>
          <w:highlight w:val="none"/>
        </w:rPr>
        <w:t>7.3、磋商报价</w:t>
      </w:r>
    </w:p>
    <w:p w14:paraId="6A95EC16">
      <w:pPr>
        <w:spacing w:line="360" w:lineRule="auto"/>
        <w:ind w:firstLine="495"/>
        <w:outlineLvl w:val="4"/>
        <w:rPr>
          <w:rFonts w:hint="eastAsia" w:ascii="宋体" w:hAnsi="宋体" w:cs="宋体"/>
          <w:color w:val="auto"/>
          <w:sz w:val="24"/>
          <w:highlight w:val="none"/>
        </w:rPr>
      </w:pPr>
      <w:r>
        <w:rPr>
          <w:rFonts w:hint="eastAsia" w:ascii="宋体" w:hAnsi="宋体" w:cs="宋体"/>
          <w:color w:val="auto"/>
          <w:sz w:val="24"/>
          <w:highlight w:val="none"/>
        </w:rPr>
        <w:t>7.3.1磋商报价内容</w:t>
      </w:r>
    </w:p>
    <w:p w14:paraId="26FFD609">
      <w:pPr>
        <w:spacing w:line="360" w:lineRule="auto"/>
        <w:ind w:firstLine="495"/>
        <w:rPr>
          <w:rFonts w:hint="eastAsia" w:ascii="宋体" w:hAnsi="宋体" w:cs="宋体"/>
          <w:color w:val="auto"/>
          <w:sz w:val="24"/>
          <w:highlight w:val="none"/>
        </w:rPr>
      </w:pPr>
      <w:r>
        <w:rPr>
          <w:rFonts w:hint="eastAsia" w:ascii="宋体" w:hAnsi="宋体" w:cs="宋体"/>
          <w:color w:val="auto"/>
          <w:sz w:val="24"/>
          <w:highlight w:val="none"/>
        </w:rPr>
        <w:t>7.3.1.1采购范围、本磋商文件及合同约定等完成本采购项目的全部费用（包括：用车、差旅、税金等所有相关费用）。</w:t>
      </w:r>
    </w:p>
    <w:p w14:paraId="44A68F4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7.3.1.2供应商认为需包含的其他费用。</w:t>
      </w:r>
    </w:p>
    <w:p w14:paraId="1A31C297">
      <w:pPr>
        <w:pStyle w:val="16"/>
        <w:spacing w:line="360" w:lineRule="auto"/>
        <w:ind w:firstLine="480" w:firstLineChars="200"/>
        <w:outlineLvl w:val="2"/>
        <w:rPr>
          <w:rFonts w:hint="eastAsia" w:hAnsi="宋体" w:cs="宋体"/>
          <w:color w:val="auto"/>
          <w:sz w:val="24"/>
          <w:szCs w:val="24"/>
          <w:highlight w:val="none"/>
        </w:rPr>
      </w:pPr>
      <w:r>
        <w:rPr>
          <w:rFonts w:hint="eastAsia" w:hAnsi="宋体" w:cs="宋体"/>
          <w:color w:val="auto"/>
          <w:sz w:val="24"/>
          <w:szCs w:val="24"/>
          <w:highlight w:val="none"/>
        </w:rPr>
        <w:t>7.3.2报价方式：各供应商应根据采购内容及市场行情，结合企业自身情况，自主报价，但不得高于采购人的预算金额。</w:t>
      </w:r>
      <w:bookmarkStart w:id="227" w:name="_Toc22844"/>
      <w:bookmarkStart w:id="228" w:name="_Toc31663"/>
    </w:p>
    <w:p w14:paraId="7EF867AA">
      <w:pPr>
        <w:pStyle w:val="16"/>
        <w:spacing w:line="360" w:lineRule="auto"/>
        <w:ind w:firstLine="482" w:firstLineChars="200"/>
        <w:outlineLvl w:val="2"/>
        <w:rPr>
          <w:rFonts w:hint="eastAsia" w:hAnsi="宋体" w:cs="宋体"/>
          <w:b/>
          <w:bCs/>
          <w:color w:val="auto"/>
          <w:sz w:val="24"/>
          <w:szCs w:val="24"/>
          <w:highlight w:val="none"/>
        </w:rPr>
      </w:pPr>
      <w:r>
        <w:rPr>
          <w:rFonts w:hint="eastAsia" w:hAnsi="宋体" w:cs="宋体"/>
          <w:b/>
          <w:bCs/>
          <w:color w:val="auto"/>
          <w:sz w:val="24"/>
          <w:szCs w:val="24"/>
          <w:highlight w:val="none"/>
        </w:rPr>
        <w:t>8、法律适用</w:t>
      </w:r>
      <w:bookmarkEnd w:id="227"/>
      <w:bookmarkEnd w:id="228"/>
    </w:p>
    <w:p w14:paraId="05ED7559">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8.1本次磋商活动及由本次磋商产生的合同受中国法律制约和保护。</w:t>
      </w:r>
    </w:p>
    <w:p w14:paraId="04E1852A">
      <w:pPr>
        <w:pStyle w:val="16"/>
        <w:spacing w:line="360" w:lineRule="auto"/>
        <w:jc w:val="center"/>
        <w:rPr>
          <w:rFonts w:hint="eastAsia" w:hAnsi="宋体" w:cs="宋体"/>
          <w:b/>
          <w:bCs/>
          <w:color w:val="auto"/>
          <w:sz w:val="28"/>
          <w:szCs w:val="28"/>
          <w:highlight w:val="none"/>
        </w:rPr>
      </w:pPr>
      <w:bookmarkStart w:id="229" w:name="_Toc31866"/>
      <w:bookmarkStart w:id="230" w:name="_Toc16193"/>
      <w:r>
        <w:rPr>
          <w:rFonts w:hint="eastAsia" w:hAnsi="宋体" w:cs="宋体"/>
          <w:b/>
          <w:bCs/>
          <w:color w:val="auto"/>
          <w:sz w:val="28"/>
          <w:szCs w:val="28"/>
          <w:highlight w:val="none"/>
        </w:rPr>
        <w:br w:type="page"/>
      </w:r>
      <w:bookmarkStart w:id="231" w:name="_Toc25740"/>
      <w:bookmarkStart w:id="232" w:name="_Toc13928"/>
      <w:bookmarkStart w:id="233" w:name="_Toc3498"/>
      <w:r>
        <w:rPr>
          <w:rFonts w:hint="eastAsia" w:hAnsi="宋体" w:cs="宋体"/>
          <w:b/>
          <w:bCs/>
          <w:color w:val="auto"/>
          <w:sz w:val="32"/>
          <w:szCs w:val="32"/>
          <w:highlight w:val="none"/>
        </w:rPr>
        <w:t>二、  磋 商 文 件</w:t>
      </w:r>
      <w:bookmarkEnd w:id="229"/>
      <w:bookmarkEnd w:id="230"/>
      <w:bookmarkEnd w:id="231"/>
      <w:bookmarkEnd w:id="232"/>
      <w:bookmarkEnd w:id="233"/>
    </w:p>
    <w:p w14:paraId="4FCCE42C">
      <w:pPr>
        <w:pStyle w:val="16"/>
        <w:spacing w:line="360" w:lineRule="auto"/>
        <w:ind w:firstLine="482" w:firstLineChars="200"/>
        <w:outlineLvl w:val="2"/>
        <w:rPr>
          <w:rFonts w:hint="eastAsia" w:hAnsi="宋体" w:cs="宋体"/>
          <w:b/>
          <w:bCs/>
          <w:color w:val="auto"/>
          <w:sz w:val="24"/>
          <w:szCs w:val="24"/>
          <w:highlight w:val="none"/>
        </w:rPr>
      </w:pPr>
      <w:bookmarkStart w:id="234" w:name="_Toc31397"/>
      <w:bookmarkStart w:id="235" w:name="_Toc29968"/>
      <w:bookmarkStart w:id="236" w:name="_Toc10610"/>
      <w:bookmarkStart w:id="237" w:name="_Toc246216188"/>
      <w:bookmarkStart w:id="238" w:name="_Toc233274819"/>
      <w:bookmarkStart w:id="239" w:name="_Toc243907579"/>
      <w:bookmarkStart w:id="240" w:name="_Toc15025"/>
      <w:bookmarkStart w:id="241" w:name="_Toc243906319"/>
      <w:r>
        <w:rPr>
          <w:rFonts w:hint="eastAsia" w:hAnsi="宋体" w:cs="宋体"/>
          <w:b/>
          <w:bCs/>
          <w:color w:val="auto"/>
          <w:sz w:val="24"/>
          <w:szCs w:val="24"/>
          <w:highlight w:val="none"/>
        </w:rPr>
        <w:t>9、磋商文件的组成</w:t>
      </w:r>
      <w:bookmarkEnd w:id="234"/>
      <w:bookmarkEnd w:id="235"/>
    </w:p>
    <w:p w14:paraId="01176CA8">
      <w:pPr>
        <w:pStyle w:val="31"/>
        <w:spacing w:before="0" w:beforeAutospacing="0" w:after="0" w:afterAutospacing="0" w:line="360" w:lineRule="auto"/>
        <w:ind w:firstLine="480" w:firstLineChars="200"/>
        <w:rPr>
          <w:rFonts w:hint="eastAsia"/>
          <w:color w:val="auto"/>
          <w:highlight w:val="none"/>
        </w:rPr>
      </w:pPr>
      <w:r>
        <w:rPr>
          <w:rFonts w:hint="eastAsia"/>
          <w:color w:val="auto"/>
          <w:highlight w:val="none"/>
        </w:rPr>
        <w:t>9.1 本磋商文件是对</w:t>
      </w:r>
      <w:r>
        <w:rPr>
          <w:rFonts w:hint="eastAsia"/>
          <w:color w:val="auto"/>
          <w:kern w:val="2"/>
          <w:highlight w:val="none"/>
          <w:lang w:eastAsia="zh-CN"/>
        </w:rPr>
        <w:t>克拉玛依市独山子区农业和水务局2025年度独山子区兽医社会化服务采购项目</w:t>
      </w:r>
      <w:r>
        <w:rPr>
          <w:rFonts w:hint="eastAsia"/>
          <w:color w:val="auto"/>
          <w:highlight w:val="none"/>
        </w:rPr>
        <w:t>的磋商程序、合同条款进行说明。磋商文件包括下列内容：</w:t>
      </w:r>
    </w:p>
    <w:p w14:paraId="3EA78CA7">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第一章  竞争性磋商公告</w:t>
      </w:r>
    </w:p>
    <w:p w14:paraId="671ED1C4">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第二章  供应商须知</w:t>
      </w:r>
    </w:p>
    <w:p w14:paraId="4DF45D7D">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第三章  项目采购需求</w:t>
      </w:r>
    </w:p>
    <w:p w14:paraId="5F0A05E5">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第四章  合同协议书</w:t>
      </w:r>
    </w:p>
    <w:p w14:paraId="3CC94BAD">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第五章  响应文件格式</w:t>
      </w:r>
    </w:p>
    <w:p w14:paraId="476BAD1F">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第六章  评审标准（综合评分法）</w:t>
      </w:r>
    </w:p>
    <w:p w14:paraId="1917D6AB">
      <w:pPr>
        <w:pStyle w:val="16"/>
        <w:spacing w:line="360" w:lineRule="auto"/>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9.2磋商文件以中文编印，以中文文本为准。</w:t>
      </w:r>
    </w:p>
    <w:p w14:paraId="48600A83">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9.3除非有特殊要求，磋商文件不单独提供采购项目使用地的自然环境、气候条件、劳动力及公用设施等情况，供应商被视为熟悉上述条件或若成交履行合同有关的一切情况。</w:t>
      </w:r>
    </w:p>
    <w:p w14:paraId="0F29E83D">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9.4采购人向供应商提供的有关数据和资料，是采购人现有的能被供应商利用的资料，供应商对此做出的推论、理解和结论自行负责。</w:t>
      </w:r>
    </w:p>
    <w:p w14:paraId="45584974">
      <w:pPr>
        <w:pStyle w:val="16"/>
        <w:spacing w:line="360" w:lineRule="auto"/>
        <w:ind w:firstLine="482" w:firstLineChars="200"/>
        <w:outlineLvl w:val="2"/>
        <w:rPr>
          <w:rFonts w:hint="eastAsia" w:hAnsi="宋体" w:cs="宋体"/>
          <w:color w:val="auto"/>
          <w:sz w:val="24"/>
          <w:szCs w:val="24"/>
          <w:highlight w:val="none"/>
        </w:rPr>
      </w:pPr>
      <w:bookmarkStart w:id="242" w:name="_Toc7130"/>
      <w:bookmarkStart w:id="243" w:name="_Toc19719"/>
      <w:r>
        <w:rPr>
          <w:rFonts w:hint="eastAsia" w:hAnsi="宋体" w:cs="宋体"/>
          <w:b/>
          <w:bCs/>
          <w:color w:val="auto"/>
          <w:sz w:val="24"/>
          <w:szCs w:val="24"/>
          <w:highlight w:val="none"/>
        </w:rPr>
        <w:t>10、磋商文件的澄清</w:t>
      </w:r>
      <w:bookmarkEnd w:id="242"/>
      <w:bookmarkEnd w:id="243"/>
    </w:p>
    <w:p w14:paraId="4AA20BAB">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10.1供应商对磋商文件如有疑问，可要求澄清，应按磋商文件“供应商须知前附表”以书面形式（必须加盖供应商公章）送达或传真至采购代理机构（</w:t>
      </w:r>
      <w:r>
        <w:rPr>
          <w:rFonts w:hint="eastAsia" w:hAnsi="宋体" w:cs="宋体"/>
          <w:color w:val="auto"/>
          <w:kern w:val="2"/>
          <w:sz w:val="24"/>
          <w:szCs w:val="24"/>
          <w:highlight w:val="none"/>
        </w:rPr>
        <w:t>同时将疑问电子版发至</w:t>
      </w:r>
      <w:r>
        <w:rPr>
          <w:rFonts w:hint="eastAsia" w:hAnsi="宋体" w:cs="宋体"/>
          <w:color w:val="auto"/>
          <w:sz w:val="24"/>
          <w:szCs w:val="24"/>
          <w:highlight w:val="none"/>
        </w:rPr>
        <w:t>78323999@qq.com</w:t>
      </w:r>
      <w:r>
        <w:rPr>
          <w:rFonts w:hint="eastAsia" w:hAnsi="宋体" w:cs="宋体"/>
          <w:color w:val="auto"/>
          <w:kern w:val="2"/>
          <w:sz w:val="24"/>
          <w:szCs w:val="24"/>
          <w:highlight w:val="none"/>
        </w:rPr>
        <w:t>）</w:t>
      </w:r>
      <w:r>
        <w:rPr>
          <w:rFonts w:hint="eastAsia" w:hAnsi="宋体" w:cs="宋体"/>
          <w:color w:val="auto"/>
          <w:sz w:val="24"/>
          <w:szCs w:val="24"/>
          <w:highlight w:val="none"/>
        </w:rPr>
        <w:t>。采购人和采购代理机构将视情况以书面形式予以答复，并发至领取磋商文件的每位供应商。答复中包括所提问题，但不包括问题的来源。</w:t>
      </w:r>
    </w:p>
    <w:p w14:paraId="7487B8C0">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10.2澄清内容包括所有需要回答的问题和答复，各供应商需登录新疆政府采购网政采云平台（</w:t>
      </w:r>
      <w:r>
        <w:rPr>
          <w:rFonts w:hint="eastAsia" w:hAnsi="宋体" w:cs="宋体"/>
          <w:color w:val="auto"/>
          <w:spacing w:val="-6"/>
          <w:sz w:val="24"/>
          <w:szCs w:val="24"/>
          <w:highlight w:val="none"/>
        </w:rPr>
        <w:t>https://www.zcygov.cn）</w:t>
      </w:r>
      <w:r>
        <w:rPr>
          <w:rFonts w:hint="eastAsia" w:hAnsi="宋体" w:cs="宋体"/>
          <w:color w:val="auto"/>
          <w:sz w:val="24"/>
          <w:szCs w:val="24"/>
          <w:highlight w:val="none"/>
        </w:rPr>
        <w:t>进行查看并下载。如果上述答复涉及对采购文件的修改或补充，则它将被视为采购文件的组成部分。凡原先所发采购文件中的内容与答复中的内容不一致之处，以最后书面答复为准。任何电话或口头咨询和答复的意思解释均不具有法律约束力。</w:t>
      </w:r>
    </w:p>
    <w:p w14:paraId="2FC6264C">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10.3各供应商随时关注新疆政府采购网发布的澄清、更正通知等。</w:t>
      </w:r>
    </w:p>
    <w:p w14:paraId="0571BC71">
      <w:pPr>
        <w:pStyle w:val="16"/>
        <w:spacing w:line="360" w:lineRule="auto"/>
        <w:ind w:firstLine="482" w:firstLineChars="200"/>
        <w:outlineLvl w:val="2"/>
        <w:rPr>
          <w:rFonts w:hint="eastAsia" w:hAnsi="宋体" w:cs="宋体"/>
          <w:b/>
          <w:bCs/>
          <w:color w:val="auto"/>
          <w:sz w:val="24"/>
          <w:szCs w:val="24"/>
          <w:highlight w:val="none"/>
        </w:rPr>
      </w:pPr>
      <w:bookmarkStart w:id="244" w:name="_Toc17345"/>
      <w:bookmarkStart w:id="245" w:name="_Toc15227"/>
      <w:r>
        <w:rPr>
          <w:rFonts w:hint="eastAsia" w:hAnsi="宋体" w:cs="宋体"/>
          <w:b/>
          <w:bCs/>
          <w:color w:val="auto"/>
          <w:sz w:val="24"/>
          <w:szCs w:val="24"/>
          <w:highlight w:val="none"/>
        </w:rPr>
        <w:t>11、磋商文件的修改和补充</w:t>
      </w:r>
      <w:bookmarkEnd w:id="244"/>
      <w:bookmarkEnd w:id="245"/>
    </w:p>
    <w:p w14:paraId="4A236FE8">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11.1在递交响应文件截止日期</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日前，采购人可主动地或依据供应商要求澄清的疑问而修改、补充磋商文件，采购代理机构将对修改和补充的内容以书面形式发至所有获取磋商文件的每位供应商，修改和补充文件将作为磋商文件的组成部分，对所有供应商具有约束力。</w:t>
      </w:r>
    </w:p>
    <w:p w14:paraId="19597F1D">
      <w:pPr>
        <w:wordWrap w:val="0"/>
        <w:spacing w:line="360" w:lineRule="auto"/>
        <w:ind w:firstLine="480" w:firstLineChars="200"/>
        <w:outlineLvl w:val="3"/>
        <w:rPr>
          <w:rFonts w:hint="eastAsia" w:ascii="宋体" w:hAnsi="宋体" w:cs="宋体"/>
          <w:color w:val="auto"/>
          <w:kern w:val="0"/>
          <w:sz w:val="24"/>
          <w:highlight w:val="none"/>
        </w:rPr>
      </w:pPr>
      <w:r>
        <w:rPr>
          <w:rFonts w:hint="eastAsia" w:ascii="宋体" w:hAnsi="宋体" w:cs="宋体"/>
          <w:color w:val="auto"/>
          <w:kern w:val="0"/>
          <w:sz w:val="24"/>
          <w:highlight w:val="none"/>
        </w:rPr>
        <w:t>11.2 对磋商文件的补充，采购代理机构将在新疆政府采购网政采云平台（</w:t>
      </w:r>
      <w:r>
        <w:rPr>
          <w:rFonts w:hint="eastAsia" w:ascii="宋体" w:hAnsi="宋体" w:cs="宋体"/>
          <w:color w:val="auto"/>
          <w:spacing w:val="-6"/>
          <w:kern w:val="0"/>
          <w:sz w:val="24"/>
          <w:highlight w:val="none"/>
        </w:rPr>
        <w:t>https://www.zcygov.cn）</w:t>
      </w:r>
      <w:r>
        <w:rPr>
          <w:rFonts w:hint="eastAsia" w:ascii="宋体" w:hAnsi="宋体" w:cs="宋体"/>
          <w:color w:val="auto"/>
          <w:kern w:val="0"/>
          <w:sz w:val="24"/>
          <w:highlight w:val="none"/>
        </w:rPr>
        <w:t>发布，补充文件将作为磋商文件的组成部分，对所有供应商具有约束力。</w:t>
      </w:r>
    </w:p>
    <w:p w14:paraId="663C393C">
      <w:pPr>
        <w:spacing w:line="360" w:lineRule="auto"/>
        <w:ind w:firstLine="498"/>
        <w:rPr>
          <w:rFonts w:hint="eastAsia" w:ascii="宋体" w:hAnsi="宋体" w:cs="宋体"/>
          <w:color w:val="auto"/>
          <w:kern w:val="0"/>
          <w:sz w:val="24"/>
          <w:highlight w:val="none"/>
        </w:rPr>
      </w:pPr>
      <w:r>
        <w:rPr>
          <w:rFonts w:hint="eastAsia" w:ascii="宋体" w:hAnsi="宋体" w:cs="宋体"/>
          <w:color w:val="auto"/>
          <w:kern w:val="0"/>
          <w:sz w:val="24"/>
          <w:highlight w:val="none"/>
        </w:rPr>
        <w:t>11.3 供应商如未提交疑问（疑问范围包含采购文件、采购文件附件、答疑、补遗、通知及其他资料等）则视为供应商完全接受、认可并理解磋商文件、采购文件附件、答疑、补遗、通知及其他资料等的所有条款及内容的各项约定、要求及条件，项目开标后，如对采购文件、采购文件附件、答疑、补遗、通知及其他资料等提出质疑、异议、歧义、解释的，采购人及采购代理机构均不予接受、回复、答复。</w:t>
      </w:r>
    </w:p>
    <w:bookmarkEnd w:id="236"/>
    <w:bookmarkEnd w:id="237"/>
    <w:bookmarkEnd w:id="238"/>
    <w:bookmarkEnd w:id="239"/>
    <w:bookmarkEnd w:id="240"/>
    <w:bookmarkEnd w:id="241"/>
    <w:p w14:paraId="01D29298">
      <w:pPr>
        <w:pStyle w:val="16"/>
        <w:spacing w:line="360" w:lineRule="auto"/>
        <w:ind w:firstLine="200"/>
        <w:jc w:val="center"/>
        <w:rPr>
          <w:rFonts w:hint="eastAsia" w:hAnsi="宋体" w:cs="宋体"/>
          <w:b/>
          <w:bCs/>
          <w:color w:val="auto"/>
          <w:sz w:val="28"/>
          <w:szCs w:val="28"/>
          <w:highlight w:val="none"/>
        </w:rPr>
      </w:pPr>
      <w:bookmarkStart w:id="246" w:name="_Toc246216191"/>
      <w:bookmarkStart w:id="247" w:name="_Toc2354"/>
      <w:bookmarkStart w:id="248" w:name="_Toc243907582"/>
      <w:bookmarkStart w:id="249" w:name="_Toc243906322"/>
      <w:bookmarkStart w:id="250" w:name="_Toc233274822"/>
      <w:bookmarkStart w:id="251" w:name="_Toc15851"/>
      <w:bookmarkStart w:id="252" w:name="_Toc154996580"/>
    </w:p>
    <w:p w14:paraId="7DA32B36">
      <w:pPr>
        <w:pStyle w:val="16"/>
        <w:spacing w:line="360" w:lineRule="auto"/>
        <w:jc w:val="center"/>
        <w:outlineLvl w:val="1"/>
        <w:rPr>
          <w:rFonts w:hint="eastAsia" w:hAnsi="宋体" w:cs="宋体"/>
          <w:b/>
          <w:bCs/>
          <w:color w:val="auto"/>
          <w:sz w:val="32"/>
          <w:szCs w:val="32"/>
          <w:highlight w:val="none"/>
        </w:rPr>
      </w:pPr>
      <w:bookmarkStart w:id="253" w:name="_Toc9529"/>
      <w:bookmarkStart w:id="254" w:name="_Toc18682"/>
      <w:bookmarkStart w:id="255" w:name="_Toc20502"/>
      <w:r>
        <w:rPr>
          <w:rFonts w:hint="eastAsia" w:hAnsi="宋体" w:cs="宋体"/>
          <w:b/>
          <w:bCs/>
          <w:color w:val="auto"/>
          <w:sz w:val="32"/>
          <w:szCs w:val="32"/>
          <w:highlight w:val="none"/>
        </w:rPr>
        <w:t>三、  响应文件的编写</w:t>
      </w:r>
      <w:bookmarkEnd w:id="246"/>
      <w:bookmarkEnd w:id="247"/>
      <w:bookmarkEnd w:id="248"/>
      <w:bookmarkEnd w:id="249"/>
      <w:bookmarkEnd w:id="250"/>
      <w:bookmarkEnd w:id="251"/>
      <w:bookmarkEnd w:id="253"/>
      <w:bookmarkEnd w:id="254"/>
      <w:bookmarkEnd w:id="255"/>
    </w:p>
    <w:p w14:paraId="1DBCCDF6">
      <w:pPr>
        <w:pStyle w:val="16"/>
        <w:spacing w:line="360" w:lineRule="auto"/>
        <w:ind w:firstLine="482" w:firstLineChars="200"/>
        <w:outlineLvl w:val="2"/>
        <w:rPr>
          <w:rFonts w:hint="eastAsia" w:hAnsi="宋体" w:cs="宋体"/>
          <w:b/>
          <w:bCs/>
          <w:color w:val="auto"/>
          <w:sz w:val="24"/>
          <w:szCs w:val="24"/>
          <w:highlight w:val="none"/>
        </w:rPr>
      </w:pPr>
      <w:bookmarkStart w:id="256" w:name="_Toc243906323"/>
      <w:bookmarkStart w:id="257" w:name="_Toc21124"/>
      <w:bookmarkStart w:id="258" w:name="_Toc7312"/>
      <w:bookmarkStart w:id="259" w:name="_Toc31184"/>
      <w:bookmarkStart w:id="260" w:name="_Toc245897283"/>
      <w:bookmarkStart w:id="261" w:name="_Toc14280"/>
      <w:bookmarkStart w:id="262" w:name="_Toc19104"/>
      <w:bookmarkStart w:id="263" w:name="_Toc243907583"/>
      <w:r>
        <w:rPr>
          <w:rFonts w:hint="eastAsia" w:hAnsi="宋体" w:cs="宋体"/>
          <w:b/>
          <w:bCs/>
          <w:color w:val="auto"/>
          <w:sz w:val="24"/>
          <w:szCs w:val="24"/>
          <w:highlight w:val="none"/>
        </w:rPr>
        <w:t>12、响应文件的编写</w:t>
      </w:r>
      <w:bookmarkEnd w:id="256"/>
      <w:bookmarkEnd w:id="257"/>
      <w:bookmarkEnd w:id="258"/>
      <w:bookmarkEnd w:id="259"/>
      <w:bookmarkEnd w:id="260"/>
      <w:bookmarkEnd w:id="261"/>
      <w:bookmarkEnd w:id="262"/>
      <w:bookmarkEnd w:id="263"/>
    </w:p>
    <w:p w14:paraId="5CA3958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必须详细阅读磋商文件的章、节、条款、格式等所有内容，按磋商文件的要求提交响应文件，并保证所提供的全部文件及相关资料的真实性，以使其对磋商文件作出实质性响应。供应商应仔细阅读并充分理解磋商文件、技术规范及标准、项目采购需求、合同条款后编制响应文件。</w:t>
      </w:r>
    </w:p>
    <w:p w14:paraId="30363637">
      <w:pPr>
        <w:pStyle w:val="16"/>
        <w:spacing w:line="360" w:lineRule="auto"/>
        <w:ind w:firstLine="482" w:firstLineChars="200"/>
        <w:outlineLvl w:val="2"/>
        <w:rPr>
          <w:rFonts w:hint="eastAsia" w:hAnsi="宋体" w:cs="宋体"/>
          <w:color w:val="auto"/>
          <w:sz w:val="24"/>
          <w:szCs w:val="24"/>
          <w:highlight w:val="none"/>
        </w:rPr>
      </w:pPr>
      <w:bookmarkStart w:id="264" w:name="_Toc243907584"/>
      <w:bookmarkStart w:id="265" w:name="_Toc27139"/>
      <w:bookmarkStart w:id="266" w:name="_Toc10065"/>
      <w:bookmarkStart w:id="267" w:name="_Toc245897284"/>
      <w:bookmarkStart w:id="268" w:name="_Toc23831"/>
      <w:bookmarkStart w:id="269" w:name="_Toc4318"/>
      <w:bookmarkStart w:id="270" w:name="_Toc243906324"/>
      <w:bookmarkStart w:id="271" w:name="_Toc233274824"/>
      <w:bookmarkStart w:id="272" w:name="_Toc3330"/>
      <w:r>
        <w:rPr>
          <w:rFonts w:hint="eastAsia" w:hAnsi="宋体" w:cs="宋体"/>
          <w:b/>
          <w:bCs/>
          <w:color w:val="auto"/>
          <w:sz w:val="24"/>
          <w:szCs w:val="24"/>
          <w:highlight w:val="none"/>
        </w:rPr>
        <w:t>13、响应文件的语言及计量单位</w:t>
      </w:r>
      <w:bookmarkEnd w:id="264"/>
      <w:bookmarkEnd w:id="265"/>
      <w:bookmarkEnd w:id="266"/>
      <w:bookmarkEnd w:id="267"/>
      <w:bookmarkEnd w:id="268"/>
      <w:bookmarkEnd w:id="269"/>
      <w:bookmarkEnd w:id="270"/>
      <w:bookmarkEnd w:id="271"/>
      <w:bookmarkEnd w:id="272"/>
    </w:p>
    <w:p w14:paraId="06860FAF">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13.1 响应文件及供应商和采购代理机构就有关磋商的所有文件和来往函件，应以中文书写。供应商可以提交用其他语言（原文）打印的资料，但必须翻译成中文，当原文和译文（中文）与采购人及采购代理机构就有关磋商的所有文件和来往函件，应以中文书写。供应商可以间存有差异或矛盾时，以中文为准。</w:t>
      </w:r>
    </w:p>
    <w:p w14:paraId="441D1317">
      <w:pPr>
        <w:pStyle w:val="16"/>
        <w:spacing w:line="360" w:lineRule="auto"/>
        <w:ind w:firstLine="480" w:firstLineChars="200"/>
        <w:rPr>
          <w:rFonts w:hint="eastAsia" w:hAnsi="宋体" w:cs="宋体"/>
          <w:b/>
          <w:bCs/>
          <w:color w:val="auto"/>
          <w:sz w:val="24"/>
          <w:szCs w:val="24"/>
          <w:highlight w:val="none"/>
        </w:rPr>
      </w:pPr>
      <w:r>
        <w:rPr>
          <w:rFonts w:hint="eastAsia" w:hAnsi="宋体" w:cs="宋体"/>
          <w:color w:val="auto"/>
          <w:sz w:val="24"/>
          <w:szCs w:val="24"/>
          <w:highlight w:val="none"/>
        </w:rPr>
        <w:t>13.2 除在磋商文件的项目采购需求中另有规定外，计量单位应使用中华人民共和国法定计量单位（国际单位制和国家选定的其他计量单位）。如供应商采用其他计量单位，需事先得到采购人的同意。</w:t>
      </w:r>
    </w:p>
    <w:p w14:paraId="32CA55DD">
      <w:pPr>
        <w:spacing w:line="360" w:lineRule="auto"/>
        <w:ind w:firstLine="482" w:firstLineChars="200"/>
        <w:outlineLvl w:val="2"/>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14、响应文件的组成</w:t>
      </w:r>
    </w:p>
    <w:p w14:paraId="02839C55">
      <w:pPr>
        <w:spacing w:line="360" w:lineRule="auto"/>
        <w:ind w:firstLine="482" w:firstLineChars="200"/>
        <w:rPr>
          <w:rFonts w:hint="eastAsia" w:ascii="宋体" w:hAnsi="宋体" w:cs="宋体"/>
          <w:color w:val="auto"/>
          <w:kern w:val="0"/>
          <w:sz w:val="24"/>
          <w:highlight w:val="none"/>
        </w:rPr>
      </w:pPr>
      <w:r>
        <w:rPr>
          <w:rFonts w:hint="eastAsia" w:ascii="宋体" w:hAnsi="宋体" w:cs="宋体"/>
          <w:b/>
          <w:bCs/>
          <w:color w:val="auto"/>
          <w:kern w:val="0"/>
          <w:sz w:val="24"/>
          <w:highlight w:val="none"/>
        </w:rPr>
        <w:t>响应文件为电子文档，电子文档格式按政采云系统要求进行编制上传，响应文件应编制完整的页码、目录（上传的响应文件应与相应模块对应）。</w:t>
      </w:r>
    </w:p>
    <w:p w14:paraId="04B4524F">
      <w:pPr>
        <w:pStyle w:val="16"/>
        <w:spacing w:line="360" w:lineRule="auto"/>
        <w:ind w:firstLine="480" w:firstLineChars="200"/>
        <w:outlineLvl w:val="2"/>
        <w:rPr>
          <w:rFonts w:hint="eastAsia" w:hAnsi="宋体" w:cs="宋体"/>
          <w:color w:val="auto"/>
          <w:sz w:val="24"/>
          <w:szCs w:val="24"/>
          <w:highlight w:val="none"/>
        </w:rPr>
      </w:pPr>
      <w:r>
        <w:rPr>
          <w:rFonts w:hint="eastAsia" w:hAnsi="宋体" w:cs="宋体"/>
          <w:color w:val="auto"/>
          <w:sz w:val="24"/>
          <w:highlight w:val="none"/>
        </w:rPr>
        <w:t>投标响应文件由商务文件、技术文件两部分组成，合并装订成一册，采用明标的形式，投标文件需编制目录及页码。</w:t>
      </w:r>
      <w:r>
        <w:rPr>
          <w:rFonts w:hint="eastAsia" w:hAnsi="宋体" w:cs="宋体"/>
          <w:color w:val="auto"/>
          <w:sz w:val="24"/>
          <w:szCs w:val="24"/>
          <w:highlight w:val="none"/>
        </w:rPr>
        <w:t>供应商应对照“第三章 项目采购需求、第四章合同条款”及“第六章 评审标准 （综合评分法） ”提供相关的证明资料：包括但不限于以下内容：</w:t>
      </w:r>
    </w:p>
    <w:p w14:paraId="7B3A8137">
      <w:pPr>
        <w:pStyle w:val="16"/>
        <w:spacing w:line="360" w:lineRule="auto"/>
        <w:ind w:firstLine="482" w:firstLineChars="200"/>
        <w:outlineLvl w:val="2"/>
        <w:rPr>
          <w:rFonts w:hint="eastAsia" w:hAnsi="宋体" w:cs="宋体"/>
          <w:b/>
          <w:bCs/>
          <w:color w:val="auto"/>
          <w:sz w:val="24"/>
          <w:szCs w:val="24"/>
          <w:highlight w:val="none"/>
        </w:rPr>
      </w:pPr>
      <w:r>
        <w:rPr>
          <w:rFonts w:hint="eastAsia" w:hAnsi="宋体" w:cs="宋体"/>
          <w:b/>
          <w:bCs/>
          <w:color w:val="auto"/>
          <w:sz w:val="24"/>
          <w:szCs w:val="24"/>
          <w:highlight w:val="none"/>
        </w:rPr>
        <w:t>14.1商务文件</w:t>
      </w:r>
    </w:p>
    <w:p w14:paraId="12E695C9">
      <w:pPr>
        <w:snapToGrid w:val="0"/>
        <w:spacing w:line="360" w:lineRule="auto"/>
        <w:ind w:left="210" w:leftChars="100" w:right="210" w:rightChars="100" w:firstLine="482" w:firstLineChars="200"/>
        <w:jc w:val="left"/>
        <w:rPr>
          <w:rFonts w:hint="eastAsia" w:ascii="宋体" w:hAnsi="宋体" w:cs="宋体"/>
          <w:b/>
          <w:bCs/>
          <w:color w:val="auto"/>
          <w:sz w:val="24"/>
          <w:highlight w:val="none"/>
        </w:rPr>
      </w:pPr>
      <w:bookmarkStart w:id="273" w:name="_Toc233274827"/>
      <w:bookmarkStart w:id="274" w:name="_Toc246216196"/>
      <w:bookmarkStart w:id="275" w:name="_Toc243907587"/>
      <w:bookmarkStart w:id="276" w:name="_Toc243906326"/>
      <w:bookmarkStart w:id="277" w:name="_Toc245897286"/>
      <w:r>
        <w:rPr>
          <w:rFonts w:hint="eastAsia" w:ascii="宋体" w:hAnsi="宋体" w:cs="宋体"/>
          <w:b/>
          <w:bCs/>
          <w:color w:val="auto"/>
          <w:sz w:val="24"/>
          <w:highlight w:val="none"/>
        </w:rPr>
        <w:t>（1）</w:t>
      </w:r>
      <w:r>
        <w:rPr>
          <w:rFonts w:hint="eastAsia" w:ascii="宋体" w:hAnsi="宋体" w:cs="宋体"/>
          <w:b/>
          <w:bCs/>
          <w:color w:val="auto"/>
          <w:kern w:val="0"/>
          <w:sz w:val="24"/>
          <w:highlight w:val="none"/>
        </w:rPr>
        <w:t>法定代表人资格证明书</w:t>
      </w:r>
      <w:r>
        <w:rPr>
          <w:rFonts w:hint="eastAsia" w:ascii="宋体" w:hAnsi="宋体" w:cs="宋体"/>
          <w:b/>
          <w:bCs/>
          <w:color w:val="auto"/>
          <w:sz w:val="24"/>
          <w:highlight w:val="none"/>
        </w:rPr>
        <w:t>（</w:t>
      </w:r>
      <w:r>
        <w:rPr>
          <w:rFonts w:hint="eastAsia" w:ascii="宋体" w:hAnsi="宋体" w:cs="宋体"/>
          <w:b/>
          <w:bCs/>
          <w:color w:val="auto"/>
          <w:kern w:val="0"/>
          <w:sz w:val="24"/>
          <w:highlight w:val="none"/>
        </w:rPr>
        <w:t>格式</w:t>
      </w:r>
      <w:r>
        <w:rPr>
          <w:rFonts w:hint="eastAsia" w:ascii="宋体" w:hAnsi="宋体" w:cs="宋体"/>
          <w:b/>
          <w:bCs/>
          <w:color w:val="auto"/>
          <w:sz w:val="24"/>
          <w:highlight w:val="none"/>
        </w:rPr>
        <w:t>1）</w:t>
      </w:r>
    </w:p>
    <w:p w14:paraId="283A1513">
      <w:pPr>
        <w:snapToGrid w:val="0"/>
        <w:spacing w:line="360" w:lineRule="auto"/>
        <w:ind w:left="210" w:leftChars="100" w:right="210" w:rightChars="100"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kern w:val="0"/>
          <w:sz w:val="24"/>
          <w:highlight w:val="none"/>
        </w:rPr>
        <w:t>法定代表人授权委托书</w:t>
      </w:r>
      <w:r>
        <w:rPr>
          <w:rFonts w:hint="eastAsia" w:ascii="宋体" w:hAnsi="宋体" w:cs="宋体"/>
          <w:b/>
          <w:bCs/>
          <w:color w:val="auto"/>
          <w:sz w:val="24"/>
          <w:highlight w:val="none"/>
        </w:rPr>
        <w:t>（</w:t>
      </w:r>
      <w:r>
        <w:rPr>
          <w:rFonts w:hint="eastAsia" w:ascii="宋体" w:hAnsi="宋体" w:cs="宋体"/>
          <w:b/>
          <w:bCs/>
          <w:color w:val="auto"/>
          <w:kern w:val="0"/>
          <w:sz w:val="24"/>
          <w:highlight w:val="none"/>
        </w:rPr>
        <w:t>格式</w:t>
      </w:r>
      <w:r>
        <w:rPr>
          <w:rFonts w:hint="eastAsia" w:ascii="宋体" w:hAnsi="宋体" w:cs="宋体"/>
          <w:b/>
          <w:bCs/>
          <w:color w:val="auto"/>
          <w:sz w:val="24"/>
          <w:highlight w:val="none"/>
        </w:rPr>
        <w:t>2）</w:t>
      </w:r>
    </w:p>
    <w:p w14:paraId="3C2CEC73">
      <w:pPr>
        <w:snapToGrid w:val="0"/>
        <w:spacing w:line="360" w:lineRule="auto"/>
        <w:ind w:left="210" w:leftChars="100" w:right="210" w:rightChars="100"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（3）</w:t>
      </w:r>
      <w:r>
        <w:rPr>
          <w:rFonts w:hint="eastAsia" w:ascii="宋体" w:hAnsi="宋体" w:cs="宋体"/>
          <w:b/>
          <w:bCs/>
          <w:color w:val="auto"/>
          <w:sz w:val="24"/>
          <w:highlight w:val="none"/>
          <w:lang w:eastAsia="zh-CN"/>
        </w:rPr>
        <w:t>营业执照</w:t>
      </w:r>
      <w:r>
        <w:rPr>
          <w:rFonts w:hint="eastAsia" w:ascii="宋体" w:hAnsi="宋体" w:cs="宋体"/>
          <w:b/>
          <w:bCs/>
          <w:color w:val="auto"/>
          <w:sz w:val="24"/>
          <w:highlight w:val="none"/>
        </w:rPr>
        <w:t>（</w:t>
      </w:r>
      <w:r>
        <w:rPr>
          <w:rFonts w:hint="eastAsia" w:ascii="宋体" w:hAnsi="宋体" w:cs="宋体"/>
          <w:b/>
          <w:bCs/>
          <w:color w:val="auto"/>
          <w:kern w:val="0"/>
          <w:sz w:val="24"/>
          <w:highlight w:val="none"/>
        </w:rPr>
        <w:t>格式</w:t>
      </w:r>
      <w:r>
        <w:rPr>
          <w:rFonts w:hint="eastAsia" w:ascii="宋体" w:hAnsi="宋体" w:cs="宋体"/>
          <w:b/>
          <w:bCs/>
          <w:color w:val="auto"/>
          <w:sz w:val="24"/>
          <w:highlight w:val="none"/>
        </w:rPr>
        <w:t>3）</w:t>
      </w:r>
    </w:p>
    <w:p w14:paraId="6D924FEF">
      <w:pPr>
        <w:snapToGrid w:val="0"/>
        <w:spacing w:line="360" w:lineRule="auto"/>
        <w:ind w:left="210" w:leftChars="100" w:right="210" w:rightChars="100" w:firstLine="482" w:firstLineChars="2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（4）</w:t>
      </w:r>
      <w:r>
        <w:rPr>
          <w:rFonts w:hint="eastAsia" w:ascii="宋体" w:hAnsi="宋体" w:cs="宋体"/>
          <w:b/>
          <w:bCs/>
          <w:color w:val="auto"/>
          <w:sz w:val="24"/>
          <w:highlight w:val="none"/>
          <w:lang w:bidi="ar"/>
        </w:rPr>
        <w:t>供应商基本情况表</w:t>
      </w:r>
      <w:r>
        <w:rPr>
          <w:rFonts w:hint="eastAsia" w:ascii="宋体" w:hAnsi="宋体" w:cs="宋体"/>
          <w:b/>
          <w:bCs/>
          <w:color w:val="auto"/>
          <w:kern w:val="0"/>
          <w:sz w:val="24"/>
          <w:highlight w:val="none"/>
        </w:rPr>
        <w:t>（格式4）</w:t>
      </w:r>
    </w:p>
    <w:p w14:paraId="104CCF06">
      <w:pPr>
        <w:snapToGrid w:val="0"/>
        <w:spacing w:line="360" w:lineRule="auto"/>
        <w:ind w:left="210" w:leftChars="100" w:right="210" w:rightChars="100" w:firstLine="482" w:firstLineChars="2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（5）</w:t>
      </w:r>
      <w:r>
        <w:rPr>
          <w:rFonts w:hint="eastAsia" w:ascii="宋体" w:hAnsi="宋体" w:cs="宋体"/>
          <w:b/>
          <w:bCs/>
          <w:color w:val="auto"/>
          <w:kern w:val="0"/>
          <w:sz w:val="24"/>
          <w:highlight w:val="none"/>
          <w:lang w:val="en-US" w:eastAsia="zh-CN"/>
        </w:rPr>
        <w:t>2024年</w:t>
      </w:r>
      <w:r>
        <w:rPr>
          <w:rFonts w:hint="eastAsia" w:ascii="宋体" w:hAnsi="宋体" w:cs="宋体"/>
          <w:b/>
          <w:bCs/>
          <w:color w:val="auto"/>
          <w:kern w:val="0"/>
          <w:sz w:val="24"/>
          <w:highlight w:val="none"/>
        </w:rPr>
        <w:t>度财务审计报告</w:t>
      </w:r>
      <w:r>
        <w:rPr>
          <w:rFonts w:hint="eastAsia" w:ascii="宋体" w:hAnsi="宋体" w:cs="宋体"/>
          <w:b/>
          <w:bCs/>
          <w:color w:val="auto"/>
          <w:kern w:val="0"/>
          <w:sz w:val="24"/>
          <w:highlight w:val="none"/>
          <w:lang w:eastAsia="zh-CN"/>
        </w:rPr>
        <w:t>或财务报表</w:t>
      </w:r>
      <w:r>
        <w:rPr>
          <w:rFonts w:hint="eastAsia" w:ascii="宋体" w:hAnsi="宋体" w:cs="宋体"/>
          <w:b/>
          <w:bCs/>
          <w:color w:val="auto"/>
          <w:kern w:val="0"/>
          <w:sz w:val="24"/>
          <w:highlight w:val="none"/>
        </w:rPr>
        <w:t>（格式5）</w:t>
      </w:r>
    </w:p>
    <w:p w14:paraId="44FEC63E">
      <w:pPr>
        <w:snapToGrid w:val="0"/>
        <w:spacing w:line="360" w:lineRule="auto"/>
        <w:ind w:left="210" w:leftChars="100" w:right="210" w:rightChars="100" w:firstLine="482" w:firstLineChars="2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（6）</w:t>
      </w:r>
      <w:r>
        <w:rPr>
          <w:rFonts w:hint="eastAsia" w:ascii="宋体" w:hAnsi="宋体" w:cs="宋体"/>
          <w:b/>
          <w:color w:val="auto"/>
          <w:sz w:val="24"/>
          <w:highlight w:val="none"/>
        </w:rPr>
        <w:t>具有履行合同所必需的设备和专业技术能力声明</w:t>
      </w:r>
      <w:r>
        <w:rPr>
          <w:rFonts w:hint="eastAsia" w:ascii="宋体" w:hAnsi="宋体" w:cs="宋体"/>
          <w:b/>
          <w:bCs/>
          <w:color w:val="auto"/>
          <w:kern w:val="0"/>
          <w:sz w:val="24"/>
          <w:highlight w:val="none"/>
        </w:rPr>
        <w:t>（格式6）</w:t>
      </w:r>
    </w:p>
    <w:p w14:paraId="3D3D63D4">
      <w:pPr>
        <w:snapToGrid w:val="0"/>
        <w:spacing w:line="360" w:lineRule="auto"/>
        <w:ind w:left="210" w:leftChars="100" w:right="210" w:rightChars="100" w:firstLine="482" w:firstLineChars="200"/>
        <w:jc w:val="left"/>
        <w:rPr>
          <w:rFonts w:hint="eastAsia" w:ascii="宋体" w:hAnsi="宋体" w:cs="宋体"/>
          <w:b/>
          <w:bCs/>
          <w:color w:val="auto"/>
          <w:sz w:val="24"/>
          <w:highlight w:val="none"/>
        </w:rPr>
      </w:pPr>
      <w:r>
        <w:rPr>
          <w:rFonts w:hint="eastAsia" w:ascii="宋体" w:hAnsi="宋体" w:cs="宋体"/>
          <w:b/>
          <w:bCs/>
          <w:color w:val="auto"/>
          <w:kern w:val="0"/>
          <w:sz w:val="24"/>
          <w:highlight w:val="none"/>
        </w:rPr>
        <w:t>（7）近六个月</w:t>
      </w:r>
      <w:r>
        <w:rPr>
          <w:rFonts w:hint="eastAsia" w:ascii="宋体" w:hAnsi="宋体" w:cs="宋体"/>
          <w:b/>
          <w:color w:val="auto"/>
          <w:sz w:val="24"/>
          <w:highlight w:val="none"/>
        </w:rPr>
        <w:t>依法缴纳税收和社会保障资金的</w:t>
      </w:r>
      <w:r>
        <w:rPr>
          <w:rFonts w:hint="eastAsia" w:ascii="宋体" w:hAnsi="宋体" w:cs="宋体"/>
          <w:b/>
          <w:bCs/>
          <w:color w:val="auto"/>
          <w:sz w:val="24"/>
          <w:highlight w:val="none"/>
        </w:rPr>
        <w:t>良好记录（格式7）</w:t>
      </w:r>
    </w:p>
    <w:p w14:paraId="214EFCCF">
      <w:pPr>
        <w:snapToGrid w:val="0"/>
        <w:spacing w:line="360" w:lineRule="auto"/>
        <w:ind w:left="210" w:leftChars="100" w:right="210" w:rightChars="100"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（8）近三年内（2022年1月至今）在经营活动中没有重大违法记录的书面声明（格式8）</w:t>
      </w:r>
    </w:p>
    <w:p w14:paraId="6721B230">
      <w:pPr>
        <w:snapToGrid w:val="0"/>
        <w:spacing w:line="360" w:lineRule="auto"/>
        <w:ind w:left="210" w:leftChars="100" w:right="210" w:rightChars="100"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（9）信用查询及截图（格式9）</w:t>
      </w:r>
    </w:p>
    <w:p w14:paraId="5B98C3FB">
      <w:pPr>
        <w:snapToGrid w:val="0"/>
        <w:spacing w:line="360" w:lineRule="auto"/>
        <w:ind w:left="210" w:leftChars="100" w:right="210" w:rightChars="100"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（10）具有相应履约能力声明（格式10）</w:t>
      </w:r>
    </w:p>
    <w:p w14:paraId="6D9522DD">
      <w:pPr>
        <w:snapToGrid w:val="0"/>
        <w:spacing w:line="360" w:lineRule="auto"/>
        <w:ind w:left="210" w:leftChars="100" w:right="210" w:rightChars="100"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（11）书面声明（格式11）</w:t>
      </w:r>
    </w:p>
    <w:p w14:paraId="447BB9A1">
      <w:pPr>
        <w:snapToGrid w:val="0"/>
        <w:spacing w:line="360" w:lineRule="auto"/>
        <w:ind w:left="210" w:leftChars="100" w:right="210" w:rightChars="100"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（12）诚信承诺书（格式12）</w:t>
      </w:r>
    </w:p>
    <w:p w14:paraId="6B0C0C1B">
      <w:pPr>
        <w:snapToGrid w:val="0"/>
        <w:spacing w:line="360" w:lineRule="auto"/>
        <w:ind w:left="210" w:leftChars="100" w:right="210" w:rightChars="100"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（13）响应函（格式13）</w:t>
      </w:r>
    </w:p>
    <w:p w14:paraId="665C4FBE">
      <w:pPr>
        <w:snapToGrid w:val="0"/>
        <w:spacing w:line="360" w:lineRule="auto"/>
        <w:ind w:left="210" w:leftChars="100" w:right="210" w:rightChars="100"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（14）商务条款偏离表（格式14）</w:t>
      </w:r>
    </w:p>
    <w:p w14:paraId="2641F44C">
      <w:pPr>
        <w:snapToGrid w:val="0"/>
        <w:spacing w:line="360" w:lineRule="auto"/>
        <w:ind w:left="210" w:leftChars="100" w:right="210" w:rightChars="100" w:firstLine="482" w:firstLineChars="200"/>
        <w:jc w:val="left"/>
        <w:rPr>
          <w:rFonts w:hint="eastAsia" w:ascii="宋体" w:hAnsi="宋体" w:cs="宋体"/>
          <w:b/>
          <w:color w:val="auto"/>
          <w:sz w:val="24"/>
          <w:highlight w:val="none"/>
        </w:rPr>
      </w:pPr>
      <w:r>
        <w:rPr>
          <w:rFonts w:hint="eastAsia" w:ascii="宋体" w:hAnsi="宋体" w:cs="宋体"/>
          <w:b/>
          <w:bCs/>
          <w:color w:val="auto"/>
          <w:sz w:val="24"/>
          <w:highlight w:val="none"/>
        </w:rPr>
        <w:t>（15）中小企业声明函（服务）（格式</w:t>
      </w:r>
      <w:r>
        <w:rPr>
          <w:rFonts w:hint="eastAsia" w:ascii="宋体" w:hAnsi="宋体" w:cs="宋体"/>
          <w:b/>
          <w:color w:val="auto"/>
          <w:sz w:val="24"/>
          <w:highlight w:val="none"/>
        </w:rPr>
        <w:t>15）</w:t>
      </w:r>
    </w:p>
    <w:p w14:paraId="2BBC02D6">
      <w:pPr>
        <w:snapToGrid w:val="0"/>
        <w:spacing w:line="360" w:lineRule="auto"/>
        <w:ind w:left="210" w:leftChars="100" w:right="210" w:rightChars="100"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（16）商务报价一览表（首次）（格式16）</w:t>
      </w:r>
    </w:p>
    <w:p w14:paraId="72C35433">
      <w:pPr>
        <w:snapToGrid w:val="0"/>
        <w:spacing w:line="360" w:lineRule="auto"/>
        <w:ind w:left="210" w:leftChars="100" w:right="210" w:rightChars="100"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（17）近三年（2022年1月至今）类似项目业绩表（格式21）</w:t>
      </w:r>
    </w:p>
    <w:p w14:paraId="0735931C">
      <w:pPr>
        <w:snapToGrid w:val="0"/>
        <w:spacing w:line="360" w:lineRule="auto"/>
        <w:ind w:left="210" w:leftChars="100" w:right="210" w:rightChars="100" w:firstLine="482" w:firstLineChars="200"/>
        <w:jc w:val="left"/>
        <w:rPr>
          <w:color w:val="auto"/>
          <w:highlight w:val="none"/>
        </w:rPr>
      </w:pPr>
      <w:r>
        <w:rPr>
          <w:rFonts w:hint="eastAsia" w:ascii="宋体" w:hAnsi="宋体" w:cs="宋体"/>
          <w:b/>
          <w:color w:val="auto"/>
          <w:sz w:val="24"/>
          <w:highlight w:val="none"/>
        </w:rPr>
        <w:t>（18）</w:t>
      </w:r>
      <w:r>
        <w:rPr>
          <w:rFonts w:hint="eastAsia" w:ascii="宋体" w:hAnsi="宋体" w:cs="宋体"/>
          <w:b/>
          <w:bCs/>
          <w:color w:val="auto"/>
          <w:sz w:val="24"/>
          <w:highlight w:val="none"/>
          <w:lang w:val="en-GB"/>
        </w:rPr>
        <w:t>项目采购需求、磋商文件第六章</w:t>
      </w:r>
      <w:r>
        <w:rPr>
          <w:rFonts w:hint="eastAsia" w:ascii="宋体" w:hAnsi="宋体" w:cs="宋体"/>
          <w:b/>
          <w:bCs/>
          <w:color w:val="auto"/>
          <w:sz w:val="24"/>
          <w:highlight w:val="none"/>
        </w:rPr>
        <w:t>评审标准</w:t>
      </w:r>
      <w:r>
        <w:rPr>
          <w:rFonts w:hint="eastAsia" w:ascii="宋体" w:hAnsi="宋体" w:cs="宋体"/>
          <w:b/>
          <w:bCs/>
          <w:color w:val="auto"/>
          <w:sz w:val="24"/>
          <w:highlight w:val="none"/>
          <w:lang w:val="en-GB"/>
        </w:rPr>
        <w:t>所需提供的其他资料</w:t>
      </w:r>
      <w:r>
        <w:rPr>
          <w:rFonts w:hint="eastAsia" w:ascii="宋体" w:hAnsi="宋体" w:cs="宋体"/>
          <w:b/>
          <w:bCs/>
          <w:color w:val="auto"/>
          <w:sz w:val="24"/>
          <w:highlight w:val="none"/>
        </w:rPr>
        <w:t>；</w:t>
      </w:r>
    </w:p>
    <w:p w14:paraId="40D30242">
      <w:pPr>
        <w:pStyle w:val="16"/>
        <w:spacing w:line="360" w:lineRule="auto"/>
        <w:ind w:firstLine="482" w:firstLineChars="200"/>
        <w:outlineLvl w:val="2"/>
        <w:rPr>
          <w:rFonts w:hint="eastAsia" w:hAnsi="宋体" w:cs="宋体"/>
          <w:b/>
          <w:bCs/>
          <w:color w:val="auto"/>
          <w:sz w:val="24"/>
          <w:szCs w:val="24"/>
          <w:highlight w:val="none"/>
        </w:rPr>
      </w:pPr>
      <w:r>
        <w:rPr>
          <w:rFonts w:hint="eastAsia" w:hAnsi="宋体" w:cs="宋体"/>
          <w:b/>
          <w:bCs/>
          <w:color w:val="auto"/>
          <w:sz w:val="24"/>
          <w:szCs w:val="24"/>
          <w:highlight w:val="none"/>
        </w:rPr>
        <w:t>14.2技术文件</w:t>
      </w:r>
    </w:p>
    <w:p w14:paraId="5FEFA4AB">
      <w:pPr>
        <w:snapToGrid w:val="0"/>
        <w:spacing w:line="360" w:lineRule="auto"/>
        <w:ind w:left="210" w:leftChars="100" w:right="210" w:rightChars="100" w:firstLine="482" w:firstLineChars="200"/>
        <w:jc w:val="left"/>
        <w:rPr>
          <w:rFonts w:ascii="宋体" w:hAnsi="宋体" w:cs="宋体"/>
          <w:b/>
          <w:bCs/>
          <w:color w:val="auto"/>
          <w:sz w:val="24"/>
          <w:highlight w:val="none"/>
        </w:rPr>
      </w:pPr>
      <w:r>
        <w:rPr>
          <w:rFonts w:hint="eastAsia" w:ascii="宋体" w:hAnsi="宋体" w:cs="宋体"/>
          <w:b/>
          <w:color w:val="auto"/>
          <w:sz w:val="24"/>
          <w:highlight w:val="none"/>
        </w:rPr>
        <w:t>（1）</w:t>
      </w:r>
      <w:r>
        <w:rPr>
          <w:rFonts w:hint="eastAsia" w:ascii="宋体" w:hAnsi="宋体" w:cs="宋体"/>
          <w:b/>
          <w:bCs/>
          <w:color w:val="auto"/>
          <w:sz w:val="24"/>
          <w:highlight w:val="none"/>
        </w:rPr>
        <w:t>拟投入人员服务标准及要求（格式17）</w:t>
      </w:r>
    </w:p>
    <w:p w14:paraId="7965EACF">
      <w:pPr>
        <w:snapToGrid w:val="0"/>
        <w:spacing w:line="360" w:lineRule="auto"/>
        <w:ind w:left="210" w:leftChars="100" w:right="210" w:rightChars="100" w:firstLine="482" w:firstLineChars="200"/>
        <w:jc w:val="left"/>
        <w:rPr>
          <w:rFonts w:ascii="宋体" w:hAnsi="宋体" w:cs="宋体"/>
          <w:b/>
          <w:color w:val="auto"/>
          <w:sz w:val="24"/>
          <w:highlight w:val="none"/>
        </w:rPr>
      </w:pPr>
      <w:r>
        <w:rPr>
          <w:rFonts w:hint="eastAsia" w:ascii="宋体" w:hAnsi="宋体" w:cs="宋体"/>
          <w:b/>
          <w:color w:val="auto"/>
          <w:sz w:val="24"/>
          <w:highlight w:val="none"/>
        </w:rPr>
        <w:t>（2）技术条款偏离表（格式18）</w:t>
      </w:r>
    </w:p>
    <w:p w14:paraId="003EAB89">
      <w:pPr>
        <w:snapToGrid w:val="0"/>
        <w:spacing w:line="360" w:lineRule="auto"/>
        <w:ind w:left="210" w:leftChars="100" w:right="210" w:rightChars="100"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（3）项目负责人简历表（格式19）</w:t>
      </w:r>
    </w:p>
    <w:p w14:paraId="3D70628A">
      <w:pPr>
        <w:snapToGrid w:val="0"/>
        <w:spacing w:line="360" w:lineRule="auto"/>
        <w:ind w:left="210" w:leftChars="100" w:right="210" w:rightChars="100"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（4）拟投入的专业技术人员一览表（格式20）</w:t>
      </w:r>
    </w:p>
    <w:p w14:paraId="153EDBF8">
      <w:pPr>
        <w:snapToGrid w:val="0"/>
        <w:spacing w:line="360" w:lineRule="auto"/>
        <w:ind w:left="210" w:leftChars="100" w:right="210" w:rightChars="100"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（5）服务方案（格式22）</w:t>
      </w:r>
    </w:p>
    <w:p w14:paraId="513DBD14">
      <w:pPr>
        <w:snapToGrid w:val="0"/>
        <w:spacing w:line="360" w:lineRule="auto"/>
        <w:ind w:left="210" w:leftChars="100" w:right="210" w:rightChars="100" w:firstLine="482" w:firstLineChars="200"/>
        <w:jc w:val="left"/>
        <w:rPr>
          <w:rFonts w:hint="eastAsia"/>
          <w:color w:val="auto"/>
          <w:highlight w:val="none"/>
        </w:rPr>
      </w:pPr>
      <w:r>
        <w:rPr>
          <w:rFonts w:hint="eastAsia" w:ascii="宋体" w:hAnsi="宋体" w:cs="宋体"/>
          <w:b/>
          <w:color w:val="auto"/>
          <w:sz w:val="24"/>
          <w:highlight w:val="none"/>
        </w:rPr>
        <w:t>（6）其他材料（格式23）</w:t>
      </w:r>
    </w:p>
    <w:p w14:paraId="673AA3A4">
      <w:pPr>
        <w:snapToGrid w:val="0"/>
        <w:spacing w:line="360" w:lineRule="auto"/>
        <w:ind w:left="210" w:leftChars="100" w:right="210" w:rightChars="100"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①</w:t>
      </w:r>
      <w:r>
        <w:rPr>
          <w:rFonts w:hint="eastAsia" w:ascii="宋体" w:hAnsi="宋体" w:cs="宋体"/>
          <w:b/>
          <w:bCs/>
          <w:color w:val="auto"/>
          <w:sz w:val="24"/>
          <w:highlight w:val="none"/>
          <w:lang w:val="en-GB"/>
        </w:rPr>
        <w:t>项目采购需求、磋商文件、第六章</w:t>
      </w:r>
      <w:r>
        <w:rPr>
          <w:rFonts w:hint="eastAsia" w:ascii="宋体" w:hAnsi="宋体" w:cs="宋体"/>
          <w:b/>
          <w:bCs/>
          <w:color w:val="auto"/>
          <w:sz w:val="24"/>
          <w:highlight w:val="none"/>
        </w:rPr>
        <w:t>评审标准</w:t>
      </w:r>
      <w:r>
        <w:rPr>
          <w:rFonts w:hint="eastAsia" w:ascii="宋体" w:hAnsi="宋体" w:cs="宋体"/>
          <w:b/>
          <w:bCs/>
          <w:color w:val="auto"/>
          <w:sz w:val="24"/>
          <w:highlight w:val="none"/>
          <w:lang w:val="en-GB"/>
        </w:rPr>
        <w:t>所需提供的其他资料</w:t>
      </w:r>
      <w:r>
        <w:rPr>
          <w:rFonts w:hint="eastAsia" w:ascii="宋体" w:hAnsi="宋体" w:cs="宋体"/>
          <w:b/>
          <w:bCs/>
          <w:color w:val="auto"/>
          <w:sz w:val="24"/>
          <w:highlight w:val="none"/>
        </w:rPr>
        <w:t>；</w:t>
      </w:r>
    </w:p>
    <w:p w14:paraId="6EF8A2BC">
      <w:pPr>
        <w:snapToGrid w:val="0"/>
        <w:spacing w:line="360" w:lineRule="auto"/>
        <w:ind w:left="210" w:leftChars="100" w:right="210" w:rightChars="100" w:firstLine="482" w:firstLineChars="200"/>
        <w:jc w:val="left"/>
        <w:rPr>
          <w:rFonts w:hint="eastAsia" w:ascii="宋体" w:hAnsi="宋体" w:cs="宋体"/>
          <w:b/>
          <w:bCs/>
          <w:color w:val="auto"/>
          <w:sz w:val="24"/>
          <w:highlight w:val="none"/>
          <w:lang w:val="en-GB"/>
        </w:rPr>
      </w:pPr>
      <w:r>
        <w:rPr>
          <w:rFonts w:hint="eastAsia" w:ascii="宋体" w:hAnsi="宋体" w:cs="宋体"/>
          <w:b/>
          <w:bCs/>
          <w:color w:val="auto"/>
          <w:sz w:val="24"/>
          <w:highlight w:val="none"/>
        </w:rPr>
        <w:t>②</w:t>
      </w:r>
      <w:r>
        <w:rPr>
          <w:rFonts w:hint="eastAsia" w:ascii="宋体" w:hAnsi="宋体" w:cs="宋体"/>
          <w:b/>
          <w:bCs/>
          <w:color w:val="auto"/>
          <w:sz w:val="24"/>
          <w:highlight w:val="none"/>
          <w:lang w:val="en-GB"/>
        </w:rPr>
        <w:t>供应商认为需要提交的材料。</w:t>
      </w:r>
    </w:p>
    <w:p w14:paraId="1E0FA027">
      <w:pPr>
        <w:pStyle w:val="16"/>
        <w:spacing w:line="360" w:lineRule="auto"/>
        <w:ind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特别说明：</w:t>
      </w:r>
    </w:p>
    <w:p w14:paraId="776F11FE">
      <w:pPr>
        <w:pStyle w:val="16"/>
        <w:spacing w:line="360" w:lineRule="auto"/>
        <w:ind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（1）上述各种证件、证书复印件须加盖供应商公章；如未按要求加盖供应商公章者，可能导致其响应文件无效。</w:t>
      </w:r>
    </w:p>
    <w:p w14:paraId="080491EE">
      <w:pPr>
        <w:pStyle w:val="16"/>
        <w:spacing w:line="360" w:lineRule="auto"/>
        <w:ind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（2）供应商应如实提供资料，并保证真实可靠，不得弄虚作假；如供应商隐瞒事实真相、弄虚作假，一经查实，没收投标保证金，取消该供应商的磋商资格，若成交的，取消其成交资格。</w:t>
      </w:r>
    </w:p>
    <w:bookmarkEnd w:id="252"/>
    <w:bookmarkEnd w:id="273"/>
    <w:bookmarkEnd w:id="274"/>
    <w:bookmarkEnd w:id="275"/>
    <w:bookmarkEnd w:id="276"/>
    <w:bookmarkEnd w:id="277"/>
    <w:p w14:paraId="3CE3FA66">
      <w:pPr>
        <w:pStyle w:val="16"/>
        <w:spacing w:line="360" w:lineRule="auto"/>
        <w:ind w:firstLine="482" w:firstLineChars="200"/>
        <w:outlineLvl w:val="2"/>
        <w:rPr>
          <w:rFonts w:hint="eastAsia" w:hAnsi="宋体" w:cs="宋体"/>
          <w:b/>
          <w:bCs/>
          <w:color w:val="auto"/>
          <w:sz w:val="24"/>
          <w:szCs w:val="24"/>
          <w:highlight w:val="none"/>
        </w:rPr>
      </w:pPr>
      <w:bookmarkStart w:id="278" w:name="_Toc243906333"/>
      <w:bookmarkStart w:id="279" w:name="_Toc246216203"/>
      <w:bookmarkStart w:id="280" w:name="_Toc233274834"/>
      <w:bookmarkStart w:id="281" w:name="_Toc243907594"/>
      <w:r>
        <w:rPr>
          <w:rFonts w:hint="eastAsia" w:hAnsi="宋体" w:cs="宋体"/>
          <w:b/>
          <w:bCs/>
          <w:color w:val="auto"/>
          <w:sz w:val="24"/>
          <w:szCs w:val="24"/>
          <w:highlight w:val="none"/>
        </w:rPr>
        <w:t>15、响应文件格式</w:t>
      </w:r>
    </w:p>
    <w:p w14:paraId="6C7D7B31">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15.1供应商应按磋商文件提供的格式及投标报价说明完整地填写所提供的服务以及数量、单价和合价等内容。</w:t>
      </w:r>
    </w:p>
    <w:p w14:paraId="1FFE28E6">
      <w:pPr>
        <w:pStyle w:val="16"/>
        <w:spacing w:line="360" w:lineRule="auto"/>
        <w:ind w:firstLine="482" w:firstLineChars="200"/>
        <w:outlineLvl w:val="2"/>
        <w:rPr>
          <w:rFonts w:hint="eastAsia" w:hAnsi="宋体" w:cs="宋体"/>
          <w:b/>
          <w:bCs/>
          <w:color w:val="auto"/>
          <w:sz w:val="24"/>
          <w:szCs w:val="24"/>
          <w:highlight w:val="none"/>
        </w:rPr>
      </w:pPr>
      <w:bookmarkStart w:id="282" w:name="_Toc23997"/>
      <w:bookmarkStart w:id="283" w:name="_Toc17205"/>
      <w:bookmarkStart w:id="284" w:name="_Toc25875"/>
      <w:bookmarkStart w:id="285" w:name="_Toc23758"/>
      <w:bookmarkStart w:id="286" w:name="_Toc22325"/>
      <w:r>
        <w:rPr>
          <w:rFonts w:hint="eastAsia" w:hAnsi="宋体" w:cs="宋体"/>
          <w:b/>
          <w:bCs/>
          <w:color w:val="auto"/>
          <w:sz w:val="24"/>
          <w:szCs w:val="24"/>
          <w:highlight w:val="none"/>
        </w:rPr>
        <w:t>16、商务投标报价</w:t>
      </w:r>
      <w:bookmarkEnd w:id="282"/>
      <w:bookmarkEnd w:id="283"/>
      <w:bookmarkEnd w:id="284"/>
      <w:bookmarkEnd w:id="285"/>
      <w:bookmarkEnd w:id="286"/>
    </w:p>
    <w:p w14:paraId="2F512EA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16.1供应商的商务报价应是为采购人提供全部服务，以及合同条款、技术规范及标准、项目采购需求、本磋商文件约定的所有费用的总和。</w:t>
      </w:r>
    </w:p>
    <w:p w14:paraId="0C24EE1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任何因供应商忽视或误解采购范围、技术规范及标准、项目采购需求、合同条款和项目现场情况，若成交，采购人将不予批准由此而产生的索赔或服务期延长申请。</w:t>
      </w:r>
    </w:p>
    <w:p w14:paraId="76511F9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商务报价中不得包含合同条款、技术规范及标准、项目采购需求、本磋商文件要求以外的其他内容。</w:t>
      </w:r>
    </w:p>
    <w:p w14:paraId="7D5B1A55">
      <w:pPr>
        <w:spacing w:line="360" w:lineRule="auto"/>
        <w:ind w:firstLine="482" w:firstLineChars="200"/>
        <w:outlineLvl w:val="3"/>
        <w:rPr>
          <w:rFonts w:hint="eastAsia" w:ascii="宋体" w:hAnsi="宋体" w:cs="宋体"/>
          <w:b/>
          <w:bCs/>
          <w:color w:val="auto"/>
          <w:sz w:val="24"/>
          <w:highlight w:val="none"/>
        </w:rPr>
      </w:pPr>
      <w:r>
        <w:rPr>
          <w:rFonts w:hint="eastAsia" w:ascii="宋体" w:hAnsi="宋体" w:cs="宋体"/>
          <w:b/>
          <w:bCs/>
          <w:color w:val="auto"/>
          <w:sz w:val="24"/>
          <w:highlight w:val="none"/>
        </w:rPr>
        <w:t>16.2商务报价总价应包括的内容和计价因素</w:t>
      </w:r>
    </w:p>
    <w:p w14:paraId="28CCF0B2">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（1）完成</w:t>
      </w:r>
      <w:r>
        <w:rPr>
          <w:rFonts w:hint="eastAsia" w:hAnsi="宋体" w:cs="宋体"/>
          <w:color w:val="auto"/>
          <w:kern w:val="2"/>
          <w:sz w:val="24"/>
          <w:szCs w:val="24"/>
          <w:highlight w:val="none"/>
          <w:lang w:eastAsia="zh-CN"/>
        </w:rPr>
        <w:t>克拉玛依市独山子区农业和水务局2025年度独山子区兽医社会化服务采购项目</w:t>
      </w:r>
      <w:r>
        <w:rPr>
          <w:rFonts w:hint="eastAsia" w:hAnsi="宋体" w:cs="宋体"/>
          <w:color w:val="auto"/>
          <w:kern w:val="2"/>
          <w:sz w:val="24"/>
          <w:szCs w:val="24"/>
          <w:highlight w:val="none"/>
        </w:rPr>
        <w:t>的采购范围内包括的全部内容，以及保修责任和义务、项目实施过程中的管理及协调配合服务等工作内容。</w:t>
      </w:r>
    </w:p>
    <w:p w14:paraId="1970609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供应商根据对本磋商文件、技术规范和标准、项目采购需求、合同条款的理解，应达到的技术指标、检验及验收标准等要求，结合市场情况进行商务报价。供应商应充分考虑合同执行期内的市场风险和国家政策性调整风险等因素对商务报价的影响。</w:t>
      </w:r>
      <w:bookmarkStart w:id="287" w:name="_Toc246216197"/>
      <w:bookmarkStart w:id="288" w:name="_Toc243906327"/>
      <w:bookmarkStart w:id="289" w:name="_Toc233274828"/>
      <w:bookmarkStart w:id="290" w:name="_Toc243907588"/>
    </w:p>
    <w:p w14:paraId="0F0D626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16.3供应商应按照磋商文件所附的格式完整地填写商务报价一览表，供应商应对采购范围内的全部内容进行报价。</w:t>
      </w:r>
    </w:p>
    <w:p w14:paraId="59CBEA4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16.4供应商若成交，不得以任何理由在合同执行期间予以价格调整，任何包含价格调整的要求将被认为是非响应而予以拒绝。</w:t>
      </w:r>
    </w:p>
    <w:p w14:paraId="566BEFAE">
      <w:pPr>
        <w:pStyle w:val="16"/>
        <w:spacing w:line="360" w:lineRule="auto"/>
        <w:ind w:firstLine="482" w:firstLineChars="200"/>
        <w:outlineLvl w:val="2"/>
        <w:rPr>
          <w:rFonts w:hint="eastAsia" w:hAnsi="宋体" w:cs="宋体"/>
          <w:b/>
          <w:bCs/>
          <w:color w:val="auto"/>
          <w:sz w:val="24"/>
          <w:szCs w:val="24"/>
          <w:highlight w:val="none"/>
        </w:rPr>
      </w:pPr>
      <w:bookmarkStart w:id="291" w:name="_Toc20361"/>
      <w:bookmarkStart w:id="292" w:name="_Toc245897288"/>
      <w:bookmarkStart w:id="293" w:name="_Toc20239"/>
      <w:bookmarkStart w:id="294" w:name="_Toc27500"/>
      <w:bookmarkStart w:id="295" w:name="_Toc5365"/>
      <w:bookmarkStart w:id="296" w:name="_Toc12492"/>
      <w:r>
        <w:rPr>
          <w:rFonts w:hint="eastAsia" w:hAnsi="宋体" w:cs="宋体"/>
          <w:b/>
          <w:bCs/>
          <w:color w:val="auto"/>
          <w:sz w:val="24"/>
          <w:szCs w:val="24"/>
          <w:highlight w:val="none"/>
        </w:rPr>
        <w:t>17、商务报价货币</w:t>
      </w:r>
      <w:bookmarkEnd w:id="291"/>
      <w:bookmarkEnd w:id="292"/>
      <w:bookmarkEnd w:id="293"/>
      <w:bookmarkEnd w:id="294"/>
      <w:bookmarkEnd w:id="295"/>
      <w:bookmarkEnd w:id="296"/>
    </w:p>
    <w:p w14:paraId="10F87569">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17.1商务报价一览表和响应文件中的所有报价一律使用人民币（RMB）填报。</w:t>
      </w:r>
    </w:p>
    <w:p w14:paraId="321B72AF">
      <w:pPr>
        <w:pStyle w:val="16"/>
        <w:spacing w:line="360" w:lineRule="auto"/>
        <w:ind w:firstLine="482" w:firstLineChars="200"/>
        <w:outlineLvl w:val="2"/>
        <w:rPr>
          <w:rFonts w:hint="eastAsia" w:hAnsi="宋体" w:cs="宋体"/>
          <w:b/>
          <w:bCs/>
          <w:color w:val="auto"/>
          <w:sz w:val="24"/>
          <w:szCs w:val="24"/>
          <w:highlight w:val="none"/>
        </w:rPr>
      </w:pPr>
      <w:bookmarkStart w:id="297" w:name="_Toc243906328"/>
      <w:bookmarkStart w:id="298" w:name="_Toc22296"/>
      <w:bookmarkStart w:id="299" w:name="_Toc243907589"/>
      <w:bookmarkStart w:id="300" w:name="_Toc9924"/>
      <w:bookmarkStart w:id="301" w:name="_Toc233274829"/>
      <w:bookmarkStart w:id="302" w:name="_Toc245897289"/>
      <w:r>
        <w:rPr>
          <w:rFonts w:hint="eastAsia" w:hAnsi="宋体" w:cs="宋体"/>
          <w:b/>
          <w:bCs/>
          <w:color w:val="auto"/>
          <w:sz w:val="24"/>
          <w:szCs w:val="24"/>
          <w:highlight w:val="none"/>
        </w:rPr>
        <w:t>18、投标文件响应要求</w:t>
      </w:r>
    </w:p>
    <w:bookmarkEnd w:id="297"/>
    <w:bookmarkEnd w:id="298"/>
    <w:bookmarkEnd w:id="299"/>
    <w:bookmarkEnd w:id="300"/>
    <w:bookmarkEnd w:id="301"/>
    <w:bookmarkEnd w:id="302"/>
    <w:p w14:paraId="173D775A">
      <w:pPr>
        <w:pStyle w:val="16"/>
        <w:spacing w:line="360" w:lineRule="auto"/>
        <w:ind w:firstLine="480" w:firstLineChars="200"/>
        <w:outlineLvl w:val="2"/>
        <w:rPr>
          <w:rFonts w:hint="eastAsia" w:hAnsi="宋体" w:cs="宋体"/>
          <w:color w:val="auto"/>
          <w:sz w:val="24"/>
          <w:szCs w:val="24"/>
          <w:highlight w:val="none"/>
        </w:rPr>
      </w:pPr>
      <w:bookmarkStart w:id="303" w:name="_Toc8344"/>
      <w:bookmarkStart w:id="304" w:name="_Toc10445"/>
      <w:r>
        <w:rPr>
          <w:rFonts w:hint="eastAsia" w:hAnsi="宋体" w:cs="宋体"/>
          <w:color w:val="auto"/>
          <w:sz w:val="24"/>
          <w:szCs w:val="24"/>
          <w:highlight w:val="none"/>
        </w:rPr>
        <w:t>18.1</w:t>
      </w:r>
      <w:bookmarkEnd w:id="303"/>
      <w:bookmarkEnd w:id="304"/>
      <w:r>
        <w:rPr>
          <w:rFonts w:hint="eastAsia" w:hAnsi="宋体" w:cs="宋体"/>
          <w:color w:val="auto"/>
          <w:sz w:val="24"/>
          <w:szCs w:val="24"/>
          <w:highlight w:val="none"/>
        </w:rPr>
        <w:t>供应商须提交证明其拟提供服务符合磋商文件、技术规范及标准、项目采购需求规定的技术响应文件，作为响应文件的一部分。</w:t>
      </w:r>
    </w:p>
    <w:p w14:paraId="12C0B8D8">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18.2响应文件可以是文字资料、图纸和数据，并须提供主要技术性能的详细描述及设备清单和所提供服务的详细说明。</w:t>
      </w:r>
    </w:p>
    <w:p w14:paraId="294EB03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18.3供应商应逐条对磋商文件、项目采购需求、合同条款等进行仔细阅读，提出自己提供的服务是否对其做出了实质性的响应。</w:t>
      </w:r>
    </w:p>
    <w:p w14:paraId="7841F9D0">
      <w:pPr>
        <w:pStyle w:val="16"/>
        <w:spacing w:line="360" w:lineRule="auto"/>
        <w:ind w:firstLine="482" w:firstLineChars="200"/>
        <w:outlineLvl w:val="2"/>
        <w:rPr>
          <w:rFonts w:hint="eastAsia" w:hAnsi="宋体" w:cs="宋体"/>
          <w:b/>
          <w:bCs/>
          <w:color w:val="auto"/>
          <w:sz w:val="24"/>
          <w:szCs w:val="24"/>
          <w:highlight w:val="none"/>
        </w:rPr>
      </w:pPr>
      <w:bookmarkStart w:id="305" w:name="_Toc31994"/>
      <w:bookmarkStart w:id="306" w:name="_Toc10881"/>
      <w:r>
        <w:rPr>
          <w:rFonts w:hint="eastAsia" w:hAnsi="宋体" w:cs="宋体"/>
          <w:b/>
          <w:bCs/>
          <w:color w:val="auto"/>
          <w:sz w:val="24"/>
          <w:szCs w:val="24"/>
          <w:highlight w:val="none"/>
        </w:rPr>
        <w:t>19、投标保证金（本项目不收取投标保证金）</w:t>
      </w:r>
    </w:p>
    <w:p w14:paraId="3F8F1BDB">
      <w:pPr>
        <w:pStyle w:val="16"/>
        <w:spacing w:line="360" w:lineRule="auto"/>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19.1投标保证金的退还</w:t>
      </w:r>
    </w:p>
    <w:p w14:paraId="46836E42">
      <w:pPr>
        <w:pStyle w:val="16"/>
        <w:spacing w:line="360" w:lineRule="auto"/>
        <w:ind w:firstLine="480" w:firstLineChars="200"/>
        <w:outlineLvl w:val="2"/>
        <w:rPr>
          <w:rFonts w:hint="eastAsia" w:hAnsi="宋体" w:cs="宋体"/>
          <w:color w:val="auto"/>
          <w:sz w:val="24"/>
          <w:szCs w:val="24"/>
          <w:highlight w:val="none"/>
        </w:rPr>
      </w:pPr>
      <w:r>
        <w:rPr>
          <w:rFonts w:hint="eastAsia" w:hAnsi="宋体" w:cs="宋体"/>
          <w:color w:val="auto"/>
          <w:sz w:val="24"/>
          <w:szCs w:val="24"/>
          <w:highlight w:val="none"/>
        </w:rPr>
        <w:t>19.1.1未中标供应商的保证金，在中标通知书发放后五日内无息退还，到新疆元誉工程项目管理有限公司办理退款手续。</w:t>
      </w:r>
    </w:p>
    <w:p w14:paraId="1B6086A0">
      <w:pPr>
        <w:pStyle w:val="16"/>
        <w:spacing w:line="360" w:lineRule="auto"/>
        <w:ind w:firstLine="480" w:firstLineChars="200"/>
        <w:outlineLvl w:val="2"/>
        <w:rPr>
          <w:rFonts w:hint="eastAsia" w:hAnsi="宋体" w:cs="宋体"/>
          <w:color w:val="auto"/>
          <w:sz w:val="24"/>
          <w:szCs w:val="24"/>
          <w:highlight w:val="none"/>
        </w:rPr>
      </w:pPr>
      <w:r>
        <w:rPr>
          <w:rFonts w:hint="eastAsia" w:hAnsi="宋体" w:cs="宋体"/>
          <w:color w:val="auto"/>
          <w:sz w:val="24"/>
          <w:szCs w:val="24"/>
          <w:highlight w:val="none"/>
        </w:rPr>
        <w:t>19.1.2中标人的投标保证金，在中标人与采购人签订合同后五日内无息退还，到新疆元誉工程项目管理有限公司办理退款手续。</w:t>
      </w:r>
    </w:p>
    <w:p w14:paraId="15233D96">
      <w:pPr>
        <w:pStyle w:val="16"/>
        <w:spacing w:line="360" w:lineRule="auto"/>
        <w:ind w:firstLine="480" w:firstLineChars="200"/>
        <w:outlineLvl w:val="3"/>
        <w:rPr>
          <w:rFonts w:hint="eastAsia" w:hAnsi="宋体" w:cs="宋体"/>
          <w:color w:val="auto"/>
          <w:sz w:val="24"/>
          <w:szCs w:val="24"/>
          <w:highlight w:val="none"/>
        </w:rPr>
      </w:pPr>
      <w:r>
        <w:rPr>
          <w:rFonts w:hint="eastAsia" w:hAnsi="宋体" w:cs="宋体"/>
          <w:color w:val="auto"/>
          <w:sz w:val="24"/>
          <w:szCs w:val="24"/>
          <w:highlight w:val="none"/>
        </w:rPr>
        <w:t>19.2如供应商有下列情况之一，将被没收投标保证金；</w:t>
      </w:r>
    </w:p>
    <w:p w14:paraId="5DDBF680">
      <w:pPr>
        <w:pStyle w:val="16"/>
        <w:spacing w:line="360" w:lineRule="auto"/>
        <w:ind w:firstLine="480" w:firstLineChars="200"/>
        <w:outlineLvl w:val="4"/>
        <w:rPr>
          <w:rFonts w:hint="eastAsia" w:hAnsi="宋体" w:cs="宋体"/>
          <w:color w:val="auto"/>
          <w:sz w:val="24"/>
          <w:szCs w:val="24"/>
          <w:highlight w:val="none"/>
        </w:rPr>
      </w:pPr>
      <w:r>
        <w:rPr>
          <w:rFonts w:hint="eastAsia" w:hAnsi="宋体" w:cs="宋体"/>
          <w:color w:val="auto"/>
          <w:sz w:val="24"/>
          <w:szCs w:val="24"/>
          <w:highlight w:val="none"/>
        </w:rPr>
        <w:t>19.2.1供应商在规定的投标有效期内撤销或修改其投标文件；</w:t>
      </w:r>
    </w:p>
    <w:p w14:paraId="74CB6DA6">
      <w:pPr>
        <w:pStyle w:val="16"/>
        <w:spacing w:line="360" w:lineRule="auto"/>
        <w:ind w:firstLine="480" w:firstLineChars="200"/>
        <w:outlineLvl w:val="2"/>
        <w:rPr>
          <w:rFonts w:hint="eastAsia" w:hAnsi="宋体" w:cs="宋体"/>
          <w:color w:val="auto"/>
          <w:sz w:val="24"/>
          <w:szCs w:val="24"/>
          <w:highlight w:val="none"/>
        </w:rPr>
      </w:pPr>
      <w:r>
        <w:rPr>
          <w:rFonts w:hint="eastAsia" w:hAnsi="宋体" w:cs="宋体"/>
          <w:color w:val="auto"/>
          <w:sz w:val="24"/>
          <w:szCs w:val="24"/>
          <w:highlight w:val="none"/>
        </w:rPr>
        <w:t>19.2.2中标人在收到中标通知书后，无正当理由拒签合同书或未按招标文件规定提交履约担保。</w:t>
      </w:r>
    </w:p>
    <w:p w14:paraId="7B09B1A0">
      <w:pPr>
        <w:pStyle w:val="16"/>
        <w:spacing w:line="360" w:lineRule="auto"/>
        <w:ind w:firstLine="480" w:firstLineChars="200"/>
        <w:outlineLvl w:val="4"/>
        <w:rPr>
          <w:rFonts w:hint="eastAsia" w:hAnsi="宋体" w:cs="宋体"/>
          <w:color w:val="auto"/>
          <w:sz w:val="24"/>
          <w:szCs w:val="24"/>
          <w:highlight w:val="none"/>
        </w:rPr>
      </w:pPr>
      <w:r>
        <w:rPr>
          <w:rFonts w:hint="eastAsia" w:hAnsi="宋体" w:cs="宋体"/>
          <w:color w:val="auto"/>
          <w:sz w:val="24"/>
          <w:szCs w:val="24"/>
          <w:highlight w:val="none"/>
        </w:rPr>
        <w:t>19.2.3供应商不接受按招标文件规定对其投标总报价进行修正的。</w:t>
      </w:r>
    </w:p>
    <w:p w14:paraId="2FCFD2A3">
      <w:pPr>
        <w:pStyle w:val="16"/>
        <w:spacing w:line="360" w:lineRule="auto"/>
        <w:ind w:firstLine="480" w:firstLineChars="200"/>
        <w:outlineLvl w:val="2"/>
        <w:rPr>
          <w:rFonts w:hint="eastAsia" w:hAnsi="宋体" w:cs="宋体"/>
          <w:color w:val="auto"/>
          <w:sz w:val="24"/>
          <w:szCs w:val="24"/>
          <w:highlight w:val="none"/>
        </w:rPr>
      </w:pPr>
      <w:r>
        <w:rPr>
          <w:rFonts w:hint="eastAsia" w:hAnsi="宋体" w:cs="宋体"/>
          <w:color w:val="auto"/>
          <w:sz w:val="24"/>
          <w:szCs w:val="24"/>
          <w:highlight w:val="none"/>
        </w:rPr>
        <w:t>19.2.4供应商应如实提供投标资料，并保证真实可靠，不得弄虚作假。如供应商隐瞒事实真相、弄虚作假，一经查实，取消该供应商的投标资格并不予退还其全部投标保证金，若中标的，取消其中标资格，并不予退还其全部投标保证金。</w:t>
      </w:r>
    </w:p>
    <w:p w14:paraId="24694A0F">
      <w:pPr>
        <w:pStyle w:val="16"/>
        <w:spacing w:line="360" w:lineRule="auto"/>
        <w:ind w:left="479" w:leftChars="228"/>
        <w:outlineLvl w:val="2"/>
        <w:rPr>
          <w:rFonts w:hint="eastAsia" w:hAnsi="宋体" w:cs="宋体"/>
          <w:color w:val="auto"/>
          <w:sz w:val="24"/>
          <w:szCs w:val="24"/>
          <w:highlight w:val="none"/>
        </w:rPr>
      </w:pPr>
      <w:r>
        <w:rPr>
          <w:rFonts w:hint="eastAsia" w:hAnsi="宋体" w:cs="宋体"/>
          <w:color w:val="auto"/>
          <w:sz w:val="24"/>
          <w:szCs w:val="24"/>
          <w:highlight w:val="none"/>
        </w:rPr>
        <w:t>19.2.5《中华人民共和国招标投标法》及相关法律法规及招标文件规定的没收投标保证金的其他情形。</w:t>
      </w:r>
    </w:p>
    <w:p w14:paraId="52A5C2C1">
      <w:pPr>
        <w:pStyle w:val="16"/>
        <w:spacing w:line="360" w:lineRule="auto"/>
        <w:ind w:left="479" w:leftChars="228"/>
        <w:outlineLvl w:val="2"/>
        <w:rPr>
          <w:rFonts w:hint="eastAsia" w:hAnsi="宋体" w:cs="宋体"/>
          <w:b/>
          <w:bCs/>
          <w:color w:val="auto"/>
          <w:sz w:val="24"/>
          <w:szCs w:val="24"/>
          <w:highlight w:val="none"/>
        </w:rPr>
      </w:pPr>
      <w:r>
        <w:rPr>
          <w:rFonts w:hint="eastAsia" w:hAnsi="宋体" w:cs="宋体"/>
          <w:b/>
          <w:bCs/>
          <w:color w:val="auto"/>
          <w:sz w:val="24"/>
          <w:szCs w:val="24"/>
          <w:highlight w:val="none"/>
        </w:rPr>
        <w:t>20、投标有效期</w:t>
      </w:r>
      <w:bookmarkEnd w:id="305"/>
      <w:bookmarkEnd w:id="306"/>
    </w:p>
    <w:p w14:paraId="5BCF4E1B">
      <w:pPr>
        <w:pStyle w:val="16"/>
        <w:spacing w:line="360" w:lineRule="auto"/>
        <w:ind w:firstLine="482" w:firstLineChars="200"/>
        <w:rPr>
          <w:rFonts w:hint="eastAsia" w:hAnsi="宋体" w:cs="宋体"/>
          <w:color w:val="auto"/>
          <w:sz w:val="24"/>
          <w:szCs w:val="24"/>
          <w:highlight w:val="none"/>
        </w:rPr>
      </w:pPr>
      <w:r>
        <w:rPr>
          <w:rFonts w:hint="eastAsia" w:hAnsi="宋体" w:cs="宋体"/>
          <w:b/>
          <w:bCs/>
          <w:color w:val="auto"/>
          <w:sz w:val="24"/>
          <w:szCs w:val="24"/>
          <w:highlight w:val="none"/>
        </w:rPr>
        <w:t>20.1 投标有效期自递交投标响应文件</w:t>
      </w:r>
      <w:r>
        <w:rPr>
          <w:rFonts w:hint="eastAsia" w:hAnsi="宋体" w:cs="宋体"/>
          <w:b/>
          <w:bCs/>
          <w:color w:val="auto"/>
          <w:kern w:val="2"/>
          <w:sz w:val="24"/>
          <w:szCs w:val="24"/>
          <w:highlight w:val="none"/>
        </w:rPr>
        <w:t>截止之日起60天（日历天）</w:t>
      </w:r>
      <w:r>
        <w:rPr>
          <w:rFonts w:hint="eastAsia" w:hAnsi="宋体" w:cs="宋体"/>
          <w:b/>
          <w:bCs/>
          <w:color w:val="auto"/>
          <w:sz w:val="24"/>
          <w:szCs w:val="24"/>
          <w:highlight w:val="none"/>
        </w:rPr>
        <w:t>。</w:t>
      </w:r>
      <w:r>
        <w:rPr>
          <w:rFonts w:hint="eastAsia" w:hAnsi="宋体" w:cs="宋体"/>
          <w:color w:val="auto"/>
          <w:sz w:val="24"/>
          <w:szCs w:val="24"/>
          <w:highlight w:val="none"/>
        </w:rPr>
        <w:t>供应商的响应文件有效期比规定的有效期短的，将被视为非响应而予以拒绝。</w:t>
      </w:r>
    </w:p>
    <w:p w14:paraId="13DBC35C">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20.2 特殊情况下，在原有效期届满之前，采购人可征得供应商的同意延长其有效期，这种要求与答复均应以书面形式。供应商拒绝延长的，其响应文件失效。同意延长有效期的供应商，既不要求也不允许其修改响应文件。</w:t>
      </w:r>
    </w:p>
    <w:p w14:paraId="5C624CA4">
      <w:pPr>
        <w:pStyle w:val="16"/>
        <w:spacing w:line="360" w:lineRule="auto"/>
        <w:ind w:firstLine="482" w:firstLineChars="200"/>
        <w:outlineLvl w:val="2"/>
        <w:rPr>
          <w:rFonts w:hint="eastAsia" w:hAnsi="宋体" w:cs="宋体"/>
          <w:b/>
          <w:bCs/>
          <w:color w:val="auto"/>
          <w:sz w:val="24"/>
          <w:szCs w:val="24"/>
          <w:highlight w:val="none"/>
        </w:rPr>
      </w:pPr>
      <w:bookmarkStart w:id="307" w:name="_Toc17259"/>
      <w:bookmarkStart w:id="308" w:name="_Toc25058"/>
      <w:r>
        <w:rPr>
          <w:rFonts w:hint="eastAsia" w:hAnsi="宋体" w:cs="宋体"/>
          <w:b/>
          <w:bCs/>
          <w:color w:val="auto"/>
          <w:sz w:val="24"/>
          <w:szCs w:val="24"/>
          <w:highlight w:val="none"/>
        </w:rPr>
        <w:t>21、响应文件的签署及规定</w:t>
      </w:r>
      <w:bookmarkEnd w:id="307"/>
      <w:bookmarkEnd w:id="308"/>
    </w:p>
    <w:p w14:paraId="24167626">
      <w:pPr>
        <w:pStyle w:val="16"/>
        <w:spacing w:line="360" w:lineRule="auto"/>
        <w:ind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21.1供应商应提交本须知第14条规定的加密电子版响应文件，响应文件应编制完整的页码、目录（编制上传响应文件与响应模块对应）。</w:t>
      </w:r>
    </w:p>
    <w:p w14:paraId="192682E2">
      <w:pPr>
        <w:pStyle w:val="16"/>
        <w:spacing w:line="360" w:lineRule="auto"/>
        <w:ind w:firstLine="480" w:firstLineChars="200"/>
        <w:rPr>
          <w:rFonts w:hint="eastAsia" w:hAnsi="宋体" w:cs="宋体"/>
          <w:b/>
          <w:bCs/>
          <w:color w:val="auto"/>
          <w:sz w:val="24"/>
          <w:szCs w:val="24"/>
          <w:highlight w:val="none"/>
        </w:rPr>
      </w:pPr>
      <w:r>
        <w:rPr>
          <w:rFonts w:hint="eastAsia" w:hAnsi="宋体" w:cs="宋体"/>
          <w:color w:val="auto"/>
          <w:sz w:val="24"/>
          <w:szCs w:val="24"/>
          <w:highlight w:val="none"/>
        </w:rPr>
        <w:t>21.2</w:t>
      </w:r>
      <w:r>
        <w:rPr>
          <w:rFonts w:hint="eastAsia" w:hAnsi="宋体" w:cs="宋体"/>
          <w:b/>
          <w:bCs/>
          <w:color w:val="auto"/>
          <w:sz w:val="24"/>
          <w:szCs w:val="24"/>
          <w:highlight w:val="none"/>
        </w:rPr>
        <w:t>加密电子版响应文件应按照采购文件“第五章 响应文件格式”中规定签字、盖章的地方必须按要求签字盖章。</w:t>
      </w:r>
    </w:p>
    <w:p w14:paraId="3FE490AA">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21.3 除供应商对错误做必要修改外，响应文件中不许有增删、涂改或改写。若确有修改必须由签署响应文件的委托代理人签字或盖章。</w:t>
      </w:r>
    </w:p>
    <w:p w14:paraId="573C7F65">
      <w:pPr>
        <w:pStyle w:val="16"/>
        <w:spacing w:line="360" w:lineRule="auto"/>
        <w:ind w:firstLine="480" w:firstLineChars="200"/>
        <w:rPr>
          <w:rFonts w:hint="eastAsia" w:hAnsi="宋体" w:cs="宋体"/>
          <w:color w:val="auto"/>
          <w:kern w:val="2"/>
          <w:sz w:val="24"/>
          <w:szCs w:val="24"/>
          <w:highlight w:val="none"/>
        </w:rPr>
      </w:pPr>
      <w:r>
        <w:rPr>
          <w:rFonts w:hint="eastAsia" w:hAnsi="宋体" w:cs="宋体"/>
          <w:color w:val="auto"/>
          <w:sz w:val="24"/>
          <w:szCs w:val="24"/>
          <w:highlight w:val="none"/>
        </w:rPr>
        <w:t>21.4采购人概不接受电报、电传、电话、邮寄以及电子邮件等方式的磋商。</w:t>
      </w:r>
      <w:bookmarkEnd w:id="287"/>
      <w:bookmarkEnd w:id="288"/>
      <w:bookmarkEnd w:id="289"/>
      <w:bookmarkEnd w:id="290"/>
    </w:p>
    <w:p w14:paraId="6D22777E">
      <w:pPr>
        <w:spacing w:line="360" w:lineRule="auto"/>
        <w:outlineLvl w:val="1"/>
        <w:rPr>
          <w:rFonts w:hint="eastAsia" w:ascii="宋体" w:hAnsi="宋体" w:cs="宋体"/>
          <w:b/>
          <w:bCs/>
          <w:color w:val="auto"/>
          <w:sz w:val="28"/>
          <w:szCs w:val="28"/>
          <w:highlight w:val="none"/>
        </w:rPr>
      </w:pPr>
      <w:bookmarkStart w:id="309" w:name="_Toc21440"/>
      <w:bookmarkStart w:id="310" w:name="_Toc10522"/>
      <w:bookmarkStart w:id="311" w:name="_Toc10250"/>
      <w:bookmarkStart w:id="312" w:name="_Toc25009"/>
    </w:p>
    <w:p w14:paraId="004F9C56">
      <w:pPr>
        <w:spacing w:line="360" w:lineRule="auto"/>
        <w:jc w:val="center"/>
        <w:outlineLvl w:val="1"/>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四、  响应文件的递交、修改和撤回</w:t>
      </w:r>
      <w:bookmarkEnd w:id="309"/>
      <w:bookmarkEnd w:id="310"/>
      <w:bookmarkEnd w:id="311"/>
      <w:bookmarkEnd w:id="312"/>
    </w:p>
    <w:p w14:paraId="7C3D35D6">
      <w:pPr>
        <w:pStyle w:val="12"/>
        <w:ind w:left="210"/>
        <w:rPr>
          <w:rFonts w:hint="eastAsia" w:ascii="宋体" w:hAnsi="宋体" w:cs="宋体"/>
          <w:color w:val="auto"/>
          <w:highlight w:val="none"/>
        </w:rPr>
      </w:pPr>
    </w:p>
    <w:bookmarkEnd w:id="278"/>
    <w:bookmarkEnd w:id="279"/>
    <w:bookmarkEnd w:id="280"/>
    <w:bookmarkEnd w:id="281"/>
    <w:p w14:paraId="731D11A3">
      <w:pPr>
        <w:spacing w:line="360" w:lineRule="auto"/>
        <w:ind w:firstLine="482" w:firstLineChars="200"/>
        <w:outlineLvl w:val="2"/>
        <w:rPr>
          <w:rFonts w:hint="eastAsia" w:ascii="宋体" w:hAnsi="宋体" w:cs="宋体"/>
          <w:b/>
          <w:bCs/>
          <w:color w:val="auto"/>
          <w:sz w:val="24"/>
          <w:highlight w:val="none"/>
        </w:rPr>
      </w:pPr>
      <w:bookmarkStart w:id="313" w:name="_Toc5762"/>
      <w:bookmarkStart w:id="314" w:name="_Toc23971"/>
      <w:bookmarkStart w:id="315" w:name="_Toc233274835"/>
      <w:bookmarkStart w:id="316" w:name="_Toc243906334"/>
      <w:bookmarkStart w:id="317" w:name="_Toc13275"/>
      <w:bookmarkStart w:id="318" w:name="_Toc243907595"/>
      <w:bookmarkStart w:id="319" w:name="_Toc245897295"/>
      <w:bookmarkStart w:id="320" w:name="_Toc233274840"/>
      <w:bookmarkStart w:id="321" w:name="_Toc243907600"/>
      <w:bookmarkStart w:id="322" w:name="_Toc246216209"/>
      <w:bookmarkStart w:id="323" w:name="_Toc243906339"/>
      <w:r>
        <w:rPr>
          <w:rFonts w:hint="eastAsia" w:ascii="宋体" w:hAnsi="宋体" w:cs="宋体"/>
          <w:b/>
          <w:bCs/>
          <w:color w:val="auto"/>
          <w:sz w:val="24"/>
          <w:highlight w:val="none"/>
        </w:rPr>
        <w:t>22、响应文件的密封和标记</w:t>
      </w:r>
      <w:bookmarkEnd w:id="313"/>
      <w:bookmarkEnd w:id="314"/>
    </w:p>
    <w:p w14:paraId="6568C6C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22.1 响应文件均按采购文件要求制作并进行电子签章。电子签章完成后，供应商进入生成电子标书页面，将响应文件加密、上传。在供应商须知前附表中规定的递交响应文件截止时间之前至新疆政府采购网政采云平台 (https://www.zcygov.cn) 。</w:t>
      </w:r>
    </w:p>
    <w:p w14:paraId="5856AC4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22.2未按要求制作、签章、提交的响应文件，采购人和采购代理机构不对后果负责。</w:t>
      </w:r>
    </w:p>
    <w:p w14:paraId="4E5B72F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22.3未按本要求加密、递交的响应文件，采购人和采购代理机构不对后果负责。</w:t>
      </w:r>
    </w:p>
    <w:p w14:paraId="1655F375">
      <w:pPr>
        <w:pStyle w:val="16"/>
        <w:spacing w:line="360" w:lineRule="auto"/>
        <w:ind w:firstLine="482" w:firstLineChars="200"/>
        <w:outlineLvl w:val="2"/>
        <w:rPr>
          <w:rFonts w:hint="eastAsia" w:hAnsi="宋体" w:cs="宋体"/>
          <w:b/>
          <w:bCs/>
          <w:color w:val="auto"/>
          <w:sz w:val="24"/>
          <w:szCs w:val="24"/>
          <w:highlight w:val="none"/>
        </w:rPr>
      </w:pPr>
      <w:bookmarkStart w:id="324" w:name="_Toc7410"/>
      <w:r>
        <w:rPr>
          <w:rFonts w:hint="eastAsia" w:hAnsi="宋体" w:cs="宋体"/>
          <w:b/>
          <w:bCs/>
          <w:color w:val="auto"/>
          <w:sz w:val="24"/>
          <w:szCs w:val="24"/>
          <w:highlight w:val="none"/>
        </w:rPr>
        <w:t>23、递交响应文件截止时间</w:t>
      </w:r>
      <w:bookmarkEnd w:id="324"/>
    </w:p>
    <w:p w14:paraId="4BB49731">
      <w:pPr>
        <w:pStyle w:val="16"/>
        <w:spacing w:line="360" w:lineRule="auto"/>
        <w:ind w:firstLine="480" w:firstLineChars="200"/>
        <w:rPr>
          <w:rFonts w:hint="eastAsia" w:hAnsi="宋体" w:cs="宋体"/>
          <w:color w:val="auto"/>
          <w:sz w:val="24"/>
          <w:highlight w:val="none"/>
        </w:rPr>
      </w:pPr>
      <w:r>
        <w:rPr>
          <w:rFonts w:hint="eastAsia" w:hAnsi="宋体" w:cs="宋体"/>
          <w:color w:val="auto"/>
          <w:sz w:val="24"/>
          <w:szCs w:val="24"/>
          <w:highlight w:val="none"/>
        </w:rPr>
        <w:t>23.1所有响应文件都必须按采购人</w:t>
      </w:r>
      <w:r>
        <w:rPr>
          <w:rFonts w:hint="eastAsia" w:hAnsi="宋体" w:cs="宋体"/>
          <w:color w:val="auto"/>
          <w:sz w:val="24"/>
          <w:highlight w:val="none"/>
        </w:rPr>
        <w:t>在供应商须知前附表中规定的截止时间之前递交。</w:t>
      </w:r>
    </w:p>
    <w:p w14:paraId="1D941F2E">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23.2 出现因磋商文件的修改推迟截止日期时，则按采购代理机构修改通知规定的时间递交响应文件。在此情况下，采购人和采购代理机构与供应商之间受截止期制约的所有权利和义务应延长至新的截止期。</w:t>
      </w:r>
    </w:p>
    <w:p w14:paraId="47CDBB99">
      <w:pPr>
        <w:pStyle w:val="16"/>
        <w:spacing w:line="360" w:lineRule="auto"/>
        <w:ind w:firstLine="482" w:firstLineChars="200"/>
        <w:outlineLvl w:val="2"/>
        <w:rPr>
          <w:rFonts w:hint="eastAsia" w:hAnsi="宋体" w:cs="宋体"/>
          <w:b/>
          <w:bCs/>
          <w:color w:val="auto"/>
          <w:sz w:val="24"/>
          <w:szCs w:val="24"/>
          <w:highlight w:val="none"/>
        </w:rPr>
      </w:pPr>
      <w:bookmarkStart w:id="325" w:name="_Toc5658"/>
      <w:r>
        <w:rPr>
          <w:rFonts w:hint="eastAsia" w:hAnsi="宋体" w:cs="宋体"/>
          <w:b/>
          <w:bCs/>
          <w:color w:val="auto"/>
          <w:sz w:val="24"/>
          <w:szCs w:val="24"/>
          <w:highlight w:val="none"/>
        </w:rPr>
        <w:t>24、迟交的响应文件</w:t>
      </w:r>
      <w:bookmarkEnd w:id="325"/>
    </w:p>
    <w:p w14:paraId="5689C57C">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24.1递交响应文件截止时间之后将无法递交响应文件，采购人或采购代理机构不对后果负责。</w:t>
      </w:r>
    </w:p>
    <w:p w14:paraId="1B88CBA0">
      <w:pPr>
        <w:pStyle w:val="16"/>
        <w:spacing w:line="360" w:lineRule="auto"/>
        <w:ind w:firstLine="482" w:firstLineChars="200"/>
        <w:outlineLvl w:val="2"/>
        <w:rPr>
          <w:rFonts w:hint="eastAsia" w:hAnsi="宋体" w:cs="宋体"/>
          <w:b/>
          <w:bCs/>
          <w:color w:val="auto"/>
          <w:sz w:val="24"/>
          <w:szCs w:val="24"/>
          <w:highlight w:val="none"/>
        </w:rPr>
      </w:pPr>
      <w:bookmarkStart w:id="326" w:name="_Toc29229"/>
      <w:r>
        <w:rPr>
          <w:rFonts w:hint="eastAsia" w:hAnsi="宋体" w:cs="宋体"/>
          <w:b/>
          <w:bCs/>
          <w:color w:val="auto"/>
          <w:sz w:val="24"/>
          <w:szCs w:val="24"/>
          <w:highlight w:val="none"/>
        </w:rPr>
        <w:t>25、响应文件的修改和撤回</w:t>
      </w:r>
      <w:bookmarkEnd w:id="326"/>
    </w:p>
    <w:p w14:paraId="5B185514">
      <w:pPr>
        <w:pStyle w:val="16"/>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25.1供应商在提交响应文件后可在截止时间前对其响应文件进行修改或撤回。</w:t>
      </w:r>
    </w:p>
    <w:p w14:paraId="507561E0">
      <w:pPr>
        <w:pStyle w:val="16"/>
        <w:spacing w:line="360" w:lineRule="auto"/>
        <w:ind w:firstLine="480" w:firstLineChars="200"/>
        <w:outlineLvl w:val="3"/>
        <w:rPr>
          <w:rFonts w:hint="eastAsia" w:hAnsi="宋体" w:cs="宋体"/>
          <w:color w:val="auto"/>
          <w:sz w:val="24"/>
          <w:highlight w:val="none"/>
        </w:rPr>
      </w:pPr>
      <w:r>
        <w:rPr>
          <w:rFonts w:hint="eastAsia" w:hAnsi="宋体" w:cs="宋体"/>
          <w:color w:val="auto"/>
          <w:sz w:val="24"/>
          <w:highlight w:val="none"/>
        </w:rPr>
        <w:t>25.2截止时间之后，供应商不得对响应文件做任何修改。</w:t>
      </w:r>
    </w:p>
    <w:p w14:paraId="64095E41">
      <w:pPr>
        <w:pStyle w:val="16"/>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25.3供应商不得在截止时间起至响应文件有效期期满前撤回响应文件。</w:t>
      </w:r>
    </w:p>
    <w:p w14:paraId="7A1D46DC">
      <w:pPr>
        <w:spacing w:line="360" w:lineRule="auto"/>
        <w:ind w:firstLine="482" w:firstLineChars="200"/>
        <w:outlineLvl w:val="2"/>
        <w:rPr>
          <w:rFonts w:hint="eastAsia" w:ascii="宋体" w:hAnsi="宋体" w:cs="宋体"/>
          <w:b/>
          <w:bCs/>
          <w:color w:val="auto"/>
          <w:sz w:val="24"/>
          <w:highlight w:val="none"/>
        </w:rPr>
      </w:pPr>
      <w:bookmarkStart w:id="327" w:name="_Toc126"/>
      <w:r>
        <w:rPr>
          <w:rFonts w:hint="eastAsia" w:ascii="宋体" w:hAnsi="宋体" w:cs="宋体"/>
          <w:b/>
          <w:bCs/>
          <w:color w:val="auto"/>
          <w:sz w:val="24"/>
          <w:highlight w:val="none"/>
        </w:rPr>
        <w:t>26、递交响应文件</w:t>
      </w:r>
      <w:bookmarkEnd w:id="327"/>
    </w:p>
    <w:p w14:paraId="25D9F96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26.1供应商应按本供应商须知前附表中规定的时间及地点递交响应文件。</w:t>
      </w:r>
    </w:p>
    <w:p w14:paraId="4425F08C">
      <w:pPr>
        <w:spacing w:line="360" w:lineRule="auto"/>
        <w:ind w:firstLine="480" w:firstLineChars="200"/>
        <w:outlineLvl w:val="3"/>
        <w:rPr>
          <w:rFonts w:hint="eastAsia" w:ascii="宋体" w:hAnsi="宋体" w:cs="宋体"/>
          <w:color w:val="auto"/>
          <w:sz w:val="24"/>
          <w:highlight w:val="none"/>
        </w:rPr>
      </w:pPr>
      <w:r>
        <w:rPr>
          <w:rFonts w:hint="eastAsia" w:ascii="宋体" w:hAnsi="宋体" w:cs="宋体"/>
          <w:color w:val="auto"/>
          <w:sz w:val="24"/>
          <w:highlight w:val="none"/>
        </w:rPr>
        <w:t>26.2有下列情形之一的，采购人不予接收其响应文件：</w:t>
      </w:r>
    </w:p>
    <w:p w14:paraId="52C44B6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26.2.1供应商在递交响应文件截止时间后上传或未上传到指定电子投标模块；</w:t>
      </w:r>
    </w:p>
    <w:p w14:paraId="2BB4CA0D">
      <w:pPr>
        <w:spacing w:line="360" w:lineRule="auto"/>
        <w:ind w:firstLine="480" w:firstLineChars="200"/>
        <w:outlineLvl w:val="4"/>
        <w:rPr>
          <w:rFonts w:hint="eastAsia" w:ascii="宋体" w:hAnsi="宋体" w:cs="宋体"/>
          <w:color w:val="auto"/>
          <w:sz w:val="24"/>
          <w:highlight w:val="none"/>
        </w:rPr>
      </w:pPr>
      <w:r>
        <w:rPr>
          <w:rFonts w:hint="eastAsia" w:ascii="宋体" w:hAnsi="宋体" w:cs="宋体"/>
          <w:color w:val="auto"/>
          <w:sz w:val="24"/>
          <w:highlight w:val="none"/>
        </w:rPr>
        <w:t>26.2.2 响应文件未按磋商文件要求上传的。</w:t>
      </w:r>
    </w:p>
    <w:bookmarkEnd w:id="315"/>
    <w:bookmarkEnd w:id="316"/>
    <w:bookmarkEnd w:id="317"/>
    <w:bookmarkEnd w:id="318"/>
    <w:bookmarkEnd w:id="319"/>
    <w:p w14:paraId="7D16612B">
      <w:pPr>
        <w:spacing w:line="360" w:lineRule="auto"/>
        <w:ind w:firstLine="562" w:firstLineChars="200"/>
        <w:jc w:val="center"/>
        <w:rPr>
          <w:rFonts w:hint="eastAsia" w:ascii="宋体" w:hAnsi="宋体" w:cs="宋体"/>
          <w:b/>
          <w:bCs/>
          <w:color w:val="auto"/>
          <w:sz w:val="28"/>
          <w:szCs w:val="28"/>
          <w:highlight w:val="none"/>
        </w:rPr>
      </w:pPr>
      <w:bookmarkStart w:id="328" w:name="_Toc25501"/>
      <w:bookmarkStart w:id="329" w:name="_Toc28924"/>
    </w:p>
    <w:p w14:paraId="2FAB4CC0">
      <w:pPr>
        <w:spacing w:line="360" w:lineRule="auto"/>
        <w:jc w:val="center"/>
        <w:outlineLvl w:val="1"/>
        <w:rPr>
          <w:rFonts w:hint="eastAsia" w:ascii="宋体" w:hAnsi="宋体" w:cs="宋体"/>
          <w:b/>
          <w:bCs/>
          <w:color w:val="auto"/>
          <w:sz w:val="32"/>
          <w:szCs w:val="32"/>
          <w:highlight w:val="none"/>
        </w:rPr>
      </w:pPr>
      <w:bookmarkStart w:id="330" w:name="_Toc21502"/>
      <w:bookmarkStart w:id="331" w:name="_Toc3624"/>
      <w:bookmarkStart w:id="332" w:name="_Toc5726"/>
      <w:r>
        <w:rPr>
          <w:rFonts w:hint="eastAsia" w:ascii="宋体" w:hAnsi="宋体" w:cs="宋体"/>
          <w:b/>
          <w:bCs/>
          <w:color w:val="auto"/>
          <w:sz w:val="32"/>
          <w:szCs w:val="32"/>
          <w:highlight w:val="none"/>
        </w:rPr>
        <w:t>五、  磋商、评审、</w:t>
      </w:r>
      <w:bookmarkEnd w:id="320"/>
      <w:bookmarkEnd w:id="321"/>
      <w:bookmarkEnd w:id="322"/>
      <w:bookmarkEnd w:id="323"/>
      <w:r>
        <w:rPr>
          <w:rFonts w:hint="eastAsia" w:ascii="宋体" w:hAnsi="宋体" w:cs="宋体"/>
          <w:b/>
          <w:bCs/>
          <w:color w:val="auto"/>
          <w:sz w:val="32"/>
          <w:szCs w:val="32"/>
          <w:highlight w:val="none"/>
        </w:rPr>
        <w:t>确定成交供应商</w:t>
      </w:r>
      <w:bookmarkEnd w:id="328"/>
      <w:bookmarkEnd w:id="329"/>
      <w:bookmarkEnd w:id="330"/>
      <w:bookmarkEnd w:id="331"/>
      <w:bookmarkEnd w:id="332"/>
    </w:p>
    <w:p w14:paraId="4C6A4707">
      <w:pPr>
        <w:spacing w:line="360" w:lineRule="auto"/>
        <w:ind w:firstLine="482" w:firstLineChars="200"/>
        <w:outlineLvl w:val="2"/>
        <w:rPr>
          <w:rFonts w:hint="eastAsia" w:ascii="宋体" w:hAnsi="宋体" w:cs="宋体"/>
          <w:b/>
          <w:bCs/>
          <w:color w:val="auto"/>
          <w:sz w:val="24"/>
          <w:highlight w:val="none"/>
        </w:rPr>
      </w:pPr>
      <w:bookmarkStart w:id="333" w:name="_Toc233274841"/>
      <w:bookmarkStart w:id="334" w:name="_Toc243906340"/>
      <w:bookmarkStart w:id="335" w:name="_Toc245897301"/>
      <w:bookmarkStart w:id="336" w:name="_Toc243907601"/>
      <w:bookmarkStart w:id="337" w:name="_Toc30977"/>
      <w:bookmarkStart w:id="338" w:name="_Toc32215"/>
      <w:bookmarkStart w:id="339" w:name="_Toc16597"/>
      <w:r>
        <w:rPr>
          <w:rFonts w:hint="eastAsia" w:ascii="宋体" w:hAnsi="宋体" w:cs="宋体"/>
          <w:b/>
          <w:bCs/>
          <w:color w:val="auto"/>
          <w:sz w:val="24"/>
          <w:highlight w:val="none"/>
        </w:rPr>
        <w:t>27、</w:t>
      </w:r>
      <w:bookmarkEnd w:id="333"/>
      <w:bookmarkEnd w:id="334"/>
      <w:bookmarkEnd w:id="335"/>
      <w:bookmarkEnd w:id="336"/>
      <w:r>
        <w:rPr>
          <w:rFonts w:hint="eastAsia" w:ascii="宋体" w:hAnsi="宋体" w:cs="宋体"/>
          <w:b/>
          <w:bCs/>
          <w:color w:val="auto"/>
          <w:sz w:val="24"/>
          <w:highlight w:val="none"/>
        </w:rPr>
        <w:t>磋商会议</w:t>
      </w:r>
      <w:bookmarkEnd w:id="337"/>
    </w:p>
    <w:p w14:paraId="6F5FDFF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27.1采购人在本供应商须知前附表中规定的时间和地点组织磋商会议。</w:t>
      </w:r>
    </w:p>
    <w:p w14:paraId="753B6C85">
      <w:pPr>
        <w:spacing w:line="360" w:lineRule="auto"/>
        <w:ind w:firstLine="480"/>
        <w:rPr>
          <w:rFonts w:hint="eastAsia" w:ascii="宋体" w:hAnsi="宋体" w:cs="宋体"/>
          <w:b/>
          <w:bCs/>
          <w:color w:val="auto"/>
          <w:sz w:val="24"/>
          <w:highlight w:val="none"/>
        </w:rPr>
      </w:pPr>
      <w:r>
        <w:rPr>
          <w:rFonts w:hint="eastAsia" w:ascii="宋体" w:hAnsi="宋体" w:cs="宋体"/>
          <w:color w:val="auto"/>
          <w:sz w:val="24"/>
          <w:highlight w:val="none"/>
        </w:rPr>
        <w:t>27.2</w:t>
      </w:r>
      <w:r>
        <w:rPr>
          <w:rFonts w:hint="eastAsia" w:ascii="宋体" w:hAnsi="宋体" w:cs="宋体"/>
          <w:b/>
          <w:bCs/>
          <w:color w:val="auto"/>
          <w:sz w:val="24"/>
          <w:highlight w:val="none"/>
        </w:rPr>
        <w:t>本次采用网上评标系统，供应商在线参加磋商（无需到开标现场），磋商前供应商完成设备测试，保证摄像头及麦克风正常使用。自磋商时间起至评审结束，供应商须登录新疆政府采购网政采云平台并保持网络畅通，随时答复磋商小组的疑问，若供应商未在规定时间内答复的，由此产生的后果将由供应商自行承担。</w:t>
      </w:r>
    </w:p>
    <w:p w14:paraId="3CD84E1E">
      <w:pPr>
        <w:spacing w:line="360" w:lineRule="auto"/>
        <w:ind w:firstLine="479"/>
        <w:rPr>
          <w:rFonts w:hint="eastAsia" w:ascii="宋体" w:hAnsi="宋体" w:cs="宋体"/>
          <w:b/>
          <w:bCs/>
          <w:color w:val="auto"/>
          <w:sz w:val="24"/>
          <w:highlight w:val="none"/>
        </w:rPr>
      </w:pPr>
      <w:r>
        <w:rPr>
          <w:rFonts w:hint="eastAsia" w:ascii="宋体" w:hAnsi="宋体" w:cs="宋体"/>
          <w:b/>
          <w:bCs/>
          <w:color w:val="auto"/>
          <w:sz w:val="24"/>
          <w:highlight w:val="none"/>
        </w:rPr>
        <w:t>27.3供应商登录政采云平台，在磋商时间后30分钟内用“项目采购－开标评标”功能进行解密电子版响应文件。若供应商在规定时间内未按时解密的，视为无效响应。解密与加密电子版响应文件须使用同一个CA。</w:t>
      </w:r>
    </w:p>
    <w:p w14:paraId="228256F8">
      <w:pPr>
        <w:spacing w:line="360" w:lineRule="auto"/>
        <w:ind w:firstLine="480" w:firstLineChars="200"/>
        <w:outlineLvl w:val="3"/>
        <w:rPr>
          <w:rFonts w:hint="eastAsia" w:ascii="宋体" w:hAnsi="宋体" w:cs="宋体"/>
          <w:color w:val="auto"/>
          <w:sz w:val="24"/>
          <w:highlight w:val="none"/>
        </w:rPr>
      </w:pPr>
      <w:r>
        <w:rPr>
          <w:rFonts w:hint="eastAsia" w:ascii="宋体" w:hAnsi="宋体" w:cs="宋体"/>
          <w:color w:val="auto"/>
          <w:sz w:val="24"/>
          <w:highlight w:val="none"/>
        </w:rPr>
        <w:t>27.4磋商会议由采购代理机构组织并主持。</w:t>
      </w:r>
    </w:p>
    <w:p w14:paraId="2C54B05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27.5在磋商过程中，工作人员如发现响应文件组成部分不齐全，由磋商小组认定其有效性。磋商小组认定的无效响应文件将不进入磋商、评审阶段。</w:t>
      </w:r>
    </w:p>
    <w:bookmarkEnd w:id="338"/>
    <w:p w14:paraId="32057D62">
      <w:pPr>
        <w:spacing w:line="360" w:lineRule="auto"/>
        <w:ind w:firstLine="482" w:firstLineChars="200"/>
        <w:outlineLvl w:val="2"/>
        <w:rPr>
          <w:rFonts w:hint="eastAsia" w:ascii="宋体" w:hAnsi="宋体" w:cs="宋体"/>
          <w:b/>
          <w:bCs/>
          <w:color w:val="auto"/>
          <w:sz w:val="24"/>
          <w:highlight w:val="none"/>
        </w:rPr>
      </w:pPr>
      <w:bookmarkStart w:id="340" w:name="_Toc22600"/>
      <w:bookmarkStart w:id="341" w:name="_Toc9132"/>
      <w:r>
        <w:rPr>
          <w:rFonts w:hint="eastAsia" w:ascii="宋体" w:hAnsi="宋体" w:cs="宋体"/>
          <w:b/>
          <w:bCs/>
          <w:color w:val="auto"/>
          <w:sz w:val="24"/>
          <w:highlight w:val="none"/>
        </w:rPr>
        <w:t>28、磋商小组</w:t>
      </w:r>
      <w:bookmarkEnd w:id="340"/>
    </w:p>
    <w:p w14:paraId="2641AA36">
      <w:pPr>
        <w:spacing w:line="360" w:lineRule="auto"/>
        <w:ind w:firstLine="480" w:firstLineChars="200"/>
        <w:outlineLvl w:val="2"/>
        <w:rPr>
          <w:rFonts w:hint="eastAsia" w:ascii="宋体" w:hAnsi="宋体" w:cs="宋体"/>
          <w:color w:val="auto"/>
          <w:sz w:val="24"/>
          <w:highlight w:val="none"/>
        </w:rPr>
      </w:pPr>
      <w:r>
        <w:rPr>
          <w:rFonts w:hint="eastAsia" w:ascii="宋体" w:hAnsi="宋体" w:cs="宋体"/>
          <w:color w:val="auto"/>
          <w:sz w:val="24"/>
          <w:highlight w:val="none"/>
        </w:rPr>
        <w:t>28.1磋商小组成员组成：按照《中华人民共和国政府采购法》《政府采购竞争性磋商采购方式管理暂行办法》及相关法律法规规定组建，由采购人代表和评审专家组成评审小组。磋商小组将负责对供应商提交的响应文件进行磋商、评审，确保磋商、评审过程公正、合法、保密，并向采购人推荐成交供应商。</w:t>
      </w:r>
    </w:p>
    <w:p w14:paraId="7A073676">
      <w:pPr>
        <w:spacing w:line="360" w:lineRule="auto"/>
        <w:ind w:firstLine="480" w:firstLineChars="200"/>
        <w:outlineLvl w:val="2"/>
        <w:rPr>
          <w:rFonts w:hint="eastAsia" w:ascii="宋体" w:hAnsi="宋体" w:cs="宋体"/>
          <w:color w:val="auto"/>
          <w:sz w:val="24"/>
          <w:highlight w:val="none"/>
        </w:rPr>
      </w:pPr>
      <w:r>
        <w:rPr>
          <w:rFonts w:hint="eastAsia" w:ascii="宋体" w:hAnsi="宋体" w:cs="宋体"/>
          <w:color w:val="auto"/>
          <w:sz w:val="24"/>
          <w:highlight w:val="none"/>
        </w:rPr>
        <w:t>28.2评标中各评委若发生意见分歧，以少数服从多数原则确定。</w:t>
      </w:r>
    </w:p>
    <w:p w14:paraId="54C749E7">
      <w:pPr>
        <w:spacing w:line="360" w:lineRule="auto"/>
        <w:ind w:firstLine="482" w:firstLineChars="200"/>
        <w:outlineLvl w:val="2"/>
        <w:rPr>
          <w:rFonts w:hint="eastAsia" w:ascii="宋体" w:hAnsi="宋体" w:cs="宋体"/>
          <w:b/>
          <w:bCs/>
          <w:color w:val="auto"/>
          <w:sz w:val="24"/>
          <w:highlight w:val="none"/>
        </w:rPr>
      </w:pPr>
      <w:bookmarkStart w:id="342" w:name="_Toc2300"/>
      <w:r>
        <w:rPr>
          <w:rFonts w:hint="eastAsia" w:ascii="宋体" w:hAnsi="宋体" w:cs="宋体"/>
          <w:b/>
          <w:bCs/>
          <w:color w:val="auto"/>
          <w:sz w:val="24"/>
          <w:highlight w:val="none"/>
        </w:rPr>
        <w:t>29、磋商</w:t>
      </w:r>
      <w:bookmarkEnd w:id="342"/>
    </w:p>
    <w:p w14:paraId="0714E98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29.1磋商小组所有成员集中与单一供应商分别进行磋商。供应商应由法定代表人或法定代表人授权的供应商代表及专业技术人员参与磋商。供应商所作的重要答复均应以书面形式予以补充，并经法定代表人或授权人签署，作为响应文件的一部分，对供应商具有约束力，但不得对磋商内容进行实质性修改。在磋商中，磋商的任何一方不得透露与磋商有关的其他供应商的技术资料和其他信息。</w:t>
      </w:r>
    </w:p>
    <w:p w14:paraId="77007E1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29.2在磋商小组与各供应商进行了相同轮次的磋商后，为了更好地实现采购目标，磋商小组可以修改磋商文件，但涉及实质性变动的，将以书面形式通知所有参加磋商的供应商。供应商收到修改磋商文件的通知后，可以决定是否继续参加磋商活动。</w:t>
      </w:r>
    </w:p>
    <w:p w14:paraId="35D11C5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29.3供应商应当按照磋商文件的变动情况和磋商小组的要求重新提交响应文件，并由其法定代表人或委托代理人签字或者加盖公章。由委托代理人签字的，应当附法定代表人授权书。</w:t>
      </w:r>
    </w:p>
    <w:p w14:paraId="183A97E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29.4磋商文件能够详细列明采购标的的技术、服务要求的，磋商小组在磋商结束后，磋商小组应当要求所有实质性响应的供应商在规定时间内提交最后报价，最后报价是供应商响应文件的有效组成部分。</w:t>
      </w:r>
    </w:p>
    <w:p w14:paraId="658784A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29.5磋商文件不能详细列明采购标的的技术、服务要求，需经磋商由供应商提供最终整修方案或解决方案的，磋商结束后，磋商小组应当按照少数服从多数的原则投票推荐3家以上供应商的整修方案或者解决方案，并要求其在规定时间内提交最后报价。</w:t>
      </w:r>
    </w:p>
    <w:p w14:paraId="7449F5A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29.6已提交响应文件的供应商，在提交最后报价之前，可以根据磋商情况退出磋商。</w:t>
      </w:r>
    </w:p>
    <w:p w14:paraId="43E82B1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29.7磋商小组判断响应文件的响应性仅基于响应文件本身而不依靠任何外部证据，但响应文件有不真实、不正确的内容除外。</w:t>
      </w:r>
    </w:p>
    <w:p w14:paraId="613D4E9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29.8如果响应文件实质上没有响应磋商文件的要求，磋商小组将予以拒绝，供应商不得通过修正或撤销不符合要求的偏离或保留，而使其成为实质上响应。</w:t>
      </w:r>
    </w:p>
    <w:bookmarkEnd w:id="341"/>
    <w:p w14:paraId="178609FE">
      <w:pPr>
        <w:spacing w:line="360" w:lineRule="auto"/>
        <w:ind w:firstLine="482" w:firstLineChars="200"/>
        <w:outlineLvl w:val="2"/>
        <w:rPr>
          <w:rFonts w:hint="eastAsia" w:ascii="宋体" w:hAnsi="宋体" w:cs="宋体"/>
          <w:b/>
          <w:bCs/>
          <w:color w:val="auto"/>
          <w:sz w:val="24"/>
          <w:highlight w:val="none"/>
        </w:rPr>
      </w:pPr>
      <w:bookmarkStart w:id="343" w:name="_Toc15548"/>
      <w:bookmarkStart w:id="344" w:name="_Toc17082"/>
      <w:bookmarkStart w:id="345" w:name="_Toc22582"/>
      <w:r>
        <w:rPr>
          <w:rFonts w:hint="eastAsia" w:ascii="宋体" w:hAnsi="宋体" w:cs="宋体"/>
          <w:b/>
          <w:bCs/>
          <w:color w:val="auto"/>
          <w:sz w:val="24"/>
          <w:szCs w:val="20"/>
          <w:highlight w:val="none"/>
        </w:rPr>
        <w:t>30、评标方法</w:t>
      </w:r>
      <w:bookmarkEnd w:id="343"/>
    </w:p>
    <w:p w14:paraId="40F4E9B9">
      <w:pPr>
        <w:spacing w:line="360" w:lineRule="auto"/>
        <w:ind w:firstLine="482" w:firstLineChars="200"/>
        <w:outlineLvl w:val="2"/>
        <w:rPr>
          <w:rFonts w:hint="eastAsia" w:ascii="宋体" w:hAnsi="宋体" w:cs="宋体"/>
          <w:color w:val="auto"/>
          <w:sz w:val="24"/>
          <w:highlight w:val="none"/>
        </w:rPr>
      </w:pPr>
      <w:bookmarkStart w:id="346" w:name="_Toc11793"/>
      <w:r>
        <w:rPr>
          <w:rFonts w:hint="eastAsia" w:ascii="宋体" w:hAnsi="宋体" w:cs="宋体"/>
          <w:b/>
          <w:bCs/>
          <w:color w:val="auto"/>
          <w:sz w:val="24"/>
          <w:highlight w:val="none"/>
        </w:rPr>
        <w:t>30.1本次评标采用综合评分法</w:t>
      </w:r>
      <w:r>
        <w:rPr>
          <w:rFonts w:hint="eastAsia" w:ascii="宋体" w:hAnsi="宋体" w:cs="宋体"/>
          <w:color w:val="auto"/>
          <w:sz w:val="24"/>
          <w:highlight w:val="none"/>
        </w:rPr>
        <w:t>。评标委员会对满足招标文件实质性要求的投标文件，按照招标文件规定的评审标准进行评审。</w:t>
      </w:r>
      <w:bookmarkEnd w:id="346"/>
    </w:p>
    <w:p w14:paraId="5F654FC8">
      <w:pPr>
        <w:spacing w:line="360" w:lineRule="auto"/>
        <w:ind w:firstLine="480" w:firstLineChars="200"/>
        <w:outlineLvl w:val="2"/>
        <w:rPr>
          <w:rFonts w:hint="eastAsia" w:ascii="宋体" w:hAnsi="宋体" w:cs="宋体"/>
          <w:color w:val="auto"/>
          <w:sz w:val="24"/>
          <w:highlight w:val="none"/>
        </w:rPr>
      </w:pPr>
      <w:bookmarkStart w:id="347" w:name="_Toc11952"/>
      <w:r>
        <w:rPr>
          <w:rFonts w:hint="eastAsia" w:ascii="宋体" w:hAnsi="宋体" w:cs="宋体"/>
          <w:color w:val="auto"/>
          <w:sz w:val="24"/>
          <w:highlight w:val="none"/>
        </w:rPr>
        <w:t>30.2经磋商确定最终采购需求和提交最后报价的供应商后，由磋商小组采用综合评分法对提交最后报价的供应商投标文件和最后报价进行综合评分。</w:t>
      </w:r>
      <w:bookmarkEnd w:id="347"/>
    </w:p>
    <w:p w14:paraId="24C32BA2">
      <w:pPr>
        <w:spacing w:line="360" w:lineRule="auto"/>
        <w:ind w:firstLine="480" w:firstLineChars="200"/>
        <w:outlineLvl w:val="2"/>
        <w:rPr>
          <w:rFonts w:hint="eastAsia" w:ascii="宋体" w:hAnsi="宋体" w:cs="宋体"/>
          <w:color w:val="auto"/>
          <w:sz w:val="24"/>
          <w:highlight w:val="none"/>
        </w:rPr>
      </w:pPr>
      <w:bookmarkStart w:id="348" w:name="_Toc15981"/>
      <w:r>
        <w:rPr>
          <w:rFonts w:hint="eastAsia" w:ascii="宋体" w:hAnsi="宋体" w:cs="宋体"/>
          <w:color w:val="auto"/>
          <w:sz w:val="24"/>
          <w:highlight w:val="none"/>
        </w:rPr>
        <w:t>30.3</w:t>
      </w:r>
      <w:r>
        <w:rPr>
          <w:rFonts w:ascii="宋体" w:hAnsi="宋体" w:cs="宋体"/>
          <w:color w:val="auto"/>
          <w:sz w:val="24"/>
          <w:highlight w:val="none"/>
        </w:rPr>
        <w:t>磋商小组将根据采购文件确定的评审办法</w:t>
      </w:r>
      <w:r>
        <w:rPr>
          <w:rFonts w:hint="eastAsia" w:ascii="宋体" w:hAnsi="宋体" w:cs="宋体"/>
          <w:color w:val="auto"/>
          <w:sz w:val="24"/>
          <w:highlight w:val="none"/>
        </w:rPr>
        <w:t>，对通过符合性审查的投标文件进行详细比较和评审。</w:t>
      </w:r>
      <w:bookmarkEnd w:id="348"/>
      <w:r>
        <w:rPr>
          <w:rFonts w:ascii="宋体" w:hAnsi="宋体" w:cs="宋体"/>
          <w:color w:val="auto"/>
          <w:sz w:val="24"/>
          <w:highlight w:val="none"/>
        </w:rPr>
        <w:t>对其技术、商务和</w:t>
      </w:r>
      <w:r>
        <w:rPr>
          <w:rFonts w:hint="eastAsia" w:ascii="宋体" w:hAnsi="宋体" w:cs="宋体"/>
          <w:color w:val="auto"/>
          <w:sz w:val="24"/>
          <w:highlight w:val="none"/>
        </w:rPr>
        <w:t>投标报价</w:t>
      </w:r>
      <w:r>
        <w:rPr>
          <w:rFonts w:ascii="宋体" w:hAnsi="宋体" w:cs="宋体"/>
          <w:color w:val="auto"/>
          <w:sz w:val="24"/>
          <w:highlight w:val="none"/>
        </w:rPr>
        <w:t>部分作详细评审和综合比较，从而进一步确定实质响应性和供应商的履约能力。</w:t>
      </w:r>
    </w:p>
    <w:bookmarkEnd w:id="344"/>
    <w:bookmarkEnd w:id="345"/>
    <w:p w14:paraId="3B43A167">
      <w:pPr>
        <w:spacing w:line="360" w:lineRule="auto"/>
        <w:ind w:firstLine="482" w:firstLineChars="200"/>
        <w:outlineLvl w:val="2"/>
        <w:rPr>
          <w:rFonts w:hint="eastAsia" w:ascii="宋体" w:hAnsi="宋体" w:cs="宋体"/>
          <w:b/>
          <w:bCs/>
          <w:color w:val="auto"/>
          <w:sz w:val="24"/>
          <w:szCs w:val="20"/>
          <w:highlight w:val="none"/>
        </w:rPr>
      </w:pPr>
      <w:bookmarkStart w:id="349" w:name="_Toc28840"/>
      <w:bookmarkStart w:id="350" w:name="_Toc4713"/>
      <w:bookmarkStart w:id="351" w:name="_Toc27674"/>
      <w:bookmarkStart w:id="352" w:name="_Toc20368"/>
      <w:r>
        <w:rPr>
          <w:rFonts w:hint="eastAsia" w:ascii="宋体" w:hAnsi="宋体" w:cs="宋体"/>
          <w:b/>
          <w:bCs/>
          <w:color w:val="auto"/>
          <w:sz w:val="24"/>
          <w:szCs w:val="20"/>
          <w:highlight w:val="none"/>
        </w:rPr>
        <w:t>31、评审标准</w:t>
      </w:r>
      <w:bookmarkEnd w:id="349"/>
      <w:bookmarkEnd w:id="350"/>
      <w:bookmarkEnd w:id="351"/>
      <w:bookmarkEnd w:id="352"/>
    </w:p>
    <w:p w14:paraId="7155ED75">
      <w:pPr>
        <w:spacing w:line="360" w:lineRule="auto"/>
        <w:ind w:firstLine="480" w:firstLineChars="200"/>
        <w:outlineLvl w:val="2"/>
        <w:rPr>
          <w:rFonts w:hint="eastAsia" w:ascii="宋体" w:hAnsi="宋体" w:cs="宋体"/>
          <w:color w:val="auto"/>
          <w:sz w:val="24"/>
          <w:highlight w:val="none"/>
        </w:rPr>
      </w:pPr>
      <w:bookmarkStart w:id="353" w:name="_Toc22353"/>
      <w:r>
        <w:rPr>
          <w:rFonts w:hint="eastAsia" w:ascii="宋体" w:hAnsi="宋体" w:cs="宋体"/>
          <w:color w:val="auto"/>
          <w:sz w:val="24"/>
          <w:highlight w:val="none"/>
        </w:rPr>
        <w:t>31.1</w:t>
      </w:r>
      <w:r>
        <w:rPr>
          <w:rFonts w:ascii="宋体" w:hAnsi="宋体" w:cs="宋体"/>
          <w:color w:val="auto"/>
          <w:sz w:val="24"/>
          <w:highlight w:val="none"/>
        </w:rPr>
        <w:t>评标活动遵循公平、公正、科学和择优的原则</w:t>
      </w:r>
      <w:r>
        <w:rPr>
          <w:rFonts w:hint="eastAsia" w:ascii="宋体" w:hAnsi="宋体" w:cs="宋体"/>
          <w:b/>
          <w:bCs/>
          <w:color w:val="auto"/>
          <w:sz w:val="24"/>
          <w:highlight w:val="none"/>
        </w:rPr>
        <w:t>，</w:t>
      </w:r>
      <w:r>
        <w:rPr>
          <w:rFonts w:hint="eastAsia" w:ascii="宋体" w:hAnsi="宋体" w:cs="宋体"/>
          <w:color w:val="auto"/>
          <w:sz w:val="24"/>
          <w:highlight w:val="none"/>
        </w:rPr>
        <w:t>严格按照磋商文件的要求和条件进行。根据综合评分法要求，最大限度地满足招标文件中规定的各项实质性要求，按照评审因素的量化指标评审，综合得分由高至低顺序排名推荐中标候选人，综合得分最高排名第一的中标候选人确定为中标人。</w:t>
      </w:r>
      <w:bookmarkEnd w:id="353"/>
    </w:p>
    <w:p w14:paraId="211D56B3">
      <w:pPr>
        <w:spacing w:line="360" w:lineRule="auto"/>
        <w:ind w:firstLine="480" w:firstLineChars="200"/>
        <w:outlineLvl w:val="2"/>
        <w:rPr>
          <w:rFonts w:hint="eastAsia" w:ascii="宋体" w:hAnsi="宋体" w:cs="宋体"/>
          <w:color w:val="auto"/>
          <w:sz w:val="24"/>
          <w:highlight w:val="none"/>
        </w:rPr>
      </w:pPr>
      <w:bookmarkStart w:id="354" w:name="_Toc22562"/>
      <w:r>
        <w:rPr>
          <w:rFonts w:hint="eastAsia" w:ascii="宋体" w:hAnsi="宋体" w:cs="宋体"/>
          <w:color w:val="auto"/>
          <w:sz w:val="24"/>
          <w:highlight w:val="none"/>
        </w:rPr>
        <w:t>31.2根据开标当日“信用中国”网站（</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"https://www.creditchina.gov.cn/"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fldChar w:fldCharType="end"/>
      </w:r>
      <w:r>
        <w:rPr>
          <w:rFonts w:hint="eastAsia" w:ascii="宋体" w:hAnsi="宋体" w:cs="宋体"/>
          <w:color w:val="auto"/>
          <w:sz w:val="24"/>
          <w:highlight w:val="none"/>
        </w:rPr>
        <w:t>www.creditchina.gov.cn）、“中国政府采购网”（www.ccgp.gov.cn）的信息，对列入失信被执行人名单、重大税收违法失信主体、政府采购严重违法失信行为记录名单及其他不符合《中华人民共和国政府采购法》第二十二条规定条件的供应商，拒绝参与政府采购活动，同时对信用信息查询记录和证据进行打印存档（如查询到该公司不良信用信息，说明该公司为失信被执行人）</w:t>
      </w:r>
      <w:bookmarkEnd w:id="354"/>
      <w:r>
        <w:rPr>
          <w:rFonts w:hint="eastAsia" w:ascii="宋体" w:hAnsi="宋体" w:cs="宋体"/>
          <w:color w:val="auto"/>
          <w:sz w:val="24"/>
          <w:highlight w:val="none"/>
        </w:rPr>
        <w:t>。</w:t>
      </w:r>
    </w:p>
    <w:p w14:paraId="020B1835">
      <w:pPr>
        <w:spacing w:line="360" w:lineRule="auto"/>
        <w:ind w:firstLine="480" w:firstLineChars="200"/>
        <w:outlineLvl w:val="3"/>
        <w:rPr>
          <w:rFonts w:hint="eastAsia" w:ascii="宋体" w:hAnsi="宋体" w:cs="宋体"/>
          <w:color w:val="auto"/>
          <w:sz w:val="24"/>
          <w:highlight w:val="none"/>
        </w:rPr>
      </w:pPr>
      <w:bookmarkStart w:id="355" w:name="_Toc28862"/>
      <w:r>
        <w:rPr>
          <w:rFonts w:hint="eastAsia" w:ascii="宋体" w:hAnsi="宋体" w:cs="宋体"/>
          <w:color w:val="auto"/>
          <w:sz w:val="24"/>
          <w:highlight w:val="none"/>
        </w:rPr>
        <w:t>31.3投标文件初审。初审分为资格性审查和符合性审查。</w:t>
      </w:r>
      <w:bookmarkEnd w:id="355"/>
    </w:p>
    <w:p w14:paraId="4E505C43">
      <w:pPr>
        <w:spacing w:line="360" w:lineRule="auto"/>
        <w:ind w:firstLine="480" w:firstLineChars="200"/>
        <w:outlineLvl w:val="4"/>
        <w:rPr>
          <w:rFonts w:hint="eastAsia" w:ascii="宋体" w:hAnsi="宋体" w:cs="宋体"/>
          <w:color w:val="auto"/>
          <w:sz w:val="24"/>
          <w:highlight w:val="none"/>
        </w:rPr>
      </w:pPr>
      <w:bookmarkStart w:id="356" w:name="_Toc28270"/>
      <w:r>
        <w:rPr>
          <w:rFonts w:hint="eastAsia" w:ascii="宋体" w:hAnsi="宋体" w:cs="宋体"/>
          <w:color w:val="auto"/>
          <w:sz w:val="24"/>
          <w:highlight w:val="none"/>
        </w:rPr>
        <w:t>31.3.1资格性检查。评审因素和评审标准见《资格审查标准》。</w:t>
      </w:r>
      <w:bookmarkEnd w:id="356"/>
    </w:p>
    <w:p w14:paraId="0828337A">
      <w:pPr>
        <w:spacing w:line="360" w:lineRule="auto"/>
        <w:ind w:firstLine="480" w:firstLineChars="200"/>
        <w:outlineLvl w:val="4"/>
        <w:rPr>
          <w:rFonts w:hint="eastAsia" w:ascii="宋体" w:hAnsi="宋体" w:cs="宋体"/>
          <w:color w:val="auto"/>
          <w:sz w:val="24"/>
          <w:highlight w:val="none"/>
        </w:rPr>
      </w:pPr>
      <w:bookmarkStart w:id="357" w:name="_Toc5312"/>
      <w:r>
        <w:rPr>
          <w:rFonts w:hint="eastAsia" w:ascii="宋体" w:hAnsi="宋体" w:cs="宋体"/>
          <w:color w:val="auto"/>
          <w:sz w:val="24"/>
          <w:highlight w:val="none"/>
        </w:rPr>
        <w:t>31.3.2符合性检查。评审因素和评审标准见《符合性审查标准》。</w:t>
      </w:r>
      <w:bookmarkEnd w:id="357"/>
    </w:p>
    <w:p w14:paraId="62D0A806">
      <w:pPr>
        <w:spacing w:line="360" w:lineRule="auto"/>
        <w:ind w:firstLine="480" w:firstLineChars="200"/>
        <w:outlineLvl w:val="3"/>
        <w:rPr>
          <w:rFonts w:hint="eastAsia" w:ascii="宋体" w:hAnsi="宋体" w:cs="宋体"/>
          <w:color w:val="auto"/>
          <w:sz w:val="24"/>
          <w:highlight w:val="none"/>
        </w:rPr>
      </w:pPr>
      <w:bookmarkStart w:id="358" w:name="_Toc8661"/>
      <w:r>
        <w:rPr>
          <w:rFonts w:hint="eastAsia" w:ascii="宋体" w:hAnsi="宋体" w:cs="宋体"/>
          <w:color w:val="auto"/>
          <w:sz w:val="24"/>
          <w:highlight w:val="none"/>
        </w:rPr>
        <w:t>31.4 详细评审，评审因素和评审标准见《详细评审标准》。</w:t>
      </w:r>
      <w:bookmarkEnd w:id="358"/>
    </w:p>
    <w:p w14:paraId="69306176">
      <w:pPr>
        <w:spacing w:line="360" w:lineRule="auto"/>
        <w:ind w:firstLine="482" w:firstLineChars="200"/>
        <w:outlineLvl w:val="2"/>
        <w:rPr>
          <w:rFonts w:hint="eastAsia" w:ascii="宋体" w:hAnsi="宋体" w:cs="宋体"/>
          <w:b/>
          <w:bCs/>
          <w:color w:val="auto"/>
          <w:sz w:val="24"/>
          <w:highlight w:val="none"/>
        </w:rPr>
      </w:pPr>
      <w:bookmarkStart w:id="359" w:name="_Toc8167"/>
      <w:r>
        <w:rPr>
          <w:rFonts w:hint="eastAsia" w:ascii="宋体" w:hAnsi="宋体" w:cs="宋体"/>
          <w:b/>
          <w:bCs/>
          <w:color w:val="auto"/>
          <w:sz w:val="24"/>
          <w:highlight w:val="none"/>
        </w:rPr>
        <w:t>①分值构成：总分值100分，其中价格分值</w:t>
      </w:r>
      <w:r>
        <w:rPr>
          <w:rFonts w:hint="eastAsia" w:ascii="宋体" w:hAnsi="宋体" w:cs="宋体"/>
          <w:b/>
          <w:bCs/>
          <w:color w:val="auto"/>
          <w:sz w:val="24"/>
          <w:highlight w:val="none"/>
          <w:lang w:val="en-US" w:eastAsia="zh-CN"/>
        </w:rPr>
        <w:t>20</w:t>
      </w:r>
      <w:r>
        <w:rPr>
          <w:rFonts w:hint="eastAsia" w:ascii="宋体" w:hAnsi="宋体" w:cs="宋体"/>
          <w:b/>
          <w:bCs/>
          <w:color w:val="auto"/>
          <w:sz w:val="24"/>
          <w:highlight w:val="none"/>
        </w:rPr>
        <w:t>分，商务技术分值</w:t>
      </w:r>
      <w:r>
        <w:rPr>
          <w:rFonts w:hint="eastAsia" w:ascii="宋体" w:hAnsi="宋体" w:cs="宋体"/>
          <w:b/>
          <w:bCs/>
          <w:color w:val="auto"/>
          <w:sz w:val="24"/>
          <w:highlight w:val="none"/>
          <w:lang w:val="en-US" w:eastAsia="zh-CN"/>
        </w:rPr>
        <w:t>80</w:t>
      </w:r>
      <w:r>
        <w:rPr>
          <w:rFonts w:hint="eastAsia" w:ascii="宋体" w:hAnsi="宋体" w:cs="宋体"/>
          <w:b/>
          <w:bCs/>
          <w:color w:val="auto"/>
          <w:sz w:val="24"/>
          <w:highlight w:val="none"/>
        </w:rPr>
        <w:t>分，具体评审办法详见第六章 评标标准（综合评分法）。</w:t>
      </w:r>
      <w:bookmarkEnd w:id="359"/>
    </w:p>
    <w:p w14:paraId="2259B141">
      <w:pPr>
        <w:spacing w:line="360" w:lineRule="auto"/>
        <w:ind w:firstLine="482" w:firstLineChars="200"/>
        <w:outlineLvl w:val="2"/>
        <w:rPr>
          <w:rFonts w:hint="eastAsia" w:ascii="宋体" w:hAnsi="宋体" w:cs="宋体"/>
          <w:b/>
          <w:bCs/>
          <w:color w:val="auto"/>
          <w:sz w:val="24"/>
          <w:highlight w:val="none"/>
        </w:rPr>
      </w:pPr>
      <w:bookmarkStart w:id="360" w:name="_Toc1393"/>
      <w:r>
        <w:rPr>
          <w:rFonts w:hint="eastAsia" w:ascii="宋体" w:hAnsi="宋体" w:cs="宋体"/>
          <w:b/>
          <w:bCs/>
          <w:color w:val="auto"/>
          <w:sz w:val="24"/>
          <w:highlight w:val="none"/>
        </w:rPr>
        <w:t>②评标基准价计算：满足采购文件要求且报价最低的供应商的价格为评标基准价，详见“第六章评审标准（综合评分法）”。</w:t>
      </w:r>
      <w:bookmarkEnd w:id="360"/>
    </w:p>
    <w:p w14:paraId="18704FB5">
      <w:pPr>
        <w:spacing w:line="360" w:lineRule="auto"/>
        <w:ind w:firstLine="482" w:firstLineChars="200"/>
        <w:outlineLvl w:val="4"/>
        <w:rPr>
          <w:rFonts w:hint="eastAsia" w:ascii="宋体" w:hAnsi="宋体" w:cs="宋体"/>
          <w:b/>
          <w:bCs/>
          <w:color w:val="auto"/>
          <w:sz w:val="24"/>
          <w:highlight w:val="none"/>
        </w:rPr>
      </w:pPr>
      <w:bookmarkStart w:id="361" w:name="_Toc1667"/>
      <w:r>
        <w:rPr>
          <w:rFonts w:hint="eastAsia" w:ascii="宋体" w:hAnsi="宋体" w:cs="宋体"/>
          <w:b/>
          <w:bCs/>
          <w:color w:val="auto"/>
          <w:sz w:val="24"/>
          <w:highlight w:val="none"/>
        </w:rPr>
        <w:t>③投标报价得分计算：评标基准价/投标报价×100×价格权重</w:t>
      </w:r>
      <w:bookmarkEnd w:id="361"/>
    </w:p>
    <w:p w14:paraId="2E9D3D82">
      <w:pPr>
        <w:spacing w:line="360" w:lineRule="auto"/>
        <w:ind w:firstLine="482" w:firstLineChars="200"/>
        <w:outlineLvl w:val="2"/>
        <w:rPr>
          <w:rFonts w:hint="eastAsia" w:ascii="宋体" w:hAnsi="宋体" w:cs="宋体"/>
          <w:b/>
          <w:bCs/>
          <w:color w:val="auto"/>
          <w:sz w:val="24"/>
          <w:highlight w:val="none"/>
        </w:rPr>
      </w:pPr>
      <w:bookmarkStart w:id="362" w:name="_Toc15210"/>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 4 \* GB3 \* MERGEFORMAT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④</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t>评分汇总：评标小组成员按照评分标准独立对供应商的商务、技术进行评分，报价评分由评审小组统一计算。每个供应商的总得分为所有评委打分的算术平均值，各项得分汇总后为该供应商的总得分</w:t>
      </w:r>
      <w:bookmarkEnd w:id="362"/>
      <w:r>
        <w:rPr>
          <w:rFonts w:hint="eastAsia" w:ascii="宋体" w:hAnsi="宋体" w:cs="宋体"/>
          <w:b/>
          <w:bCs/>
          <w:color w:val="auto"/>
          <w:sz w:val="24"/>
          <w:highlight w:val="none"/>
        </w:rPr>
        <w:t>。</w:t>
      </w:r>
    </w:p>
    <w:p w14:paraId="0F5B845B">
      <w:pPr>
        <w:spacing w:line="360" w:lineRule="auto"/>
        <w:ind w:firstLine="482" w:firstLineChars="200"/>
        <w:outlineLvl w:val="2"/>
        <w:rPr>
          <w:rFonts w:hint="eastAsia" w:ascii="宋体" w:hAnsi="宋体" w:cs="宋体"/>
          <w:b/>
          <w:bCs/>
          <w:color w:val="auto"/>
          <w:sz w:val="24"/>
          <w:szCs w:val="20"/>
          <w:highlight w:val="none"/>
        </w:rPr>
      </w:pPr>
      <w:bookmarkStart w:id="363" w:name="_Toc3676"/>
      <w:bookmarkStart w:id="364" w:name="_Toc16055"/>
      <w:bookmarkStart w:id="365" w:name="_Toc15215"/>
      <w:bookmarkStart w:id="366" w:name="_Toc19665"/>
      <w:r>
        <w:rPr>
          <w:rFonts w:hint="eastAsia" w:ascii="宋体" w:hAnsi="宋体" w:cs="宋体"/>
          <w:b/>
          <w:bCs/>
          <w:color w:val="auto"/>
          <w:sz w:val="24"/>
          <w:szCs w:val="20"/>
          <w:highlight w:val="none"/>
        </w:rPr>
        <w:t>32、商务报价错误的修正</w:t>
      </w:r>
      <w:bookmarkEnd w:id="363"/>
      <w:bookmarkEnd w:id="364"/>
      <w:bookmarkEnd w:id="365"/>
      <w:bookmarkEnd w:id="366"/>
    </w:p>
    <w:p w14:paraId="48AE1A7D">
      <w:pPr>
        <w:spacing w:line="360" w:lineRule="auto"/>
        <w:ind w:firstLine="480" w:firstLineChars="200"/>
        <w:outlineLvl w:val="3"/>
        <w:rPr>
          <w:rFonts w:hint="eastAsia" w:ascii="宋体" w:hAnsi="宋体" w:cs="宋体"/>
          <w:color w:val="auto"/>
          <w:sz w:val="24"/>
          <w:highlight w:val="none"/>
        </w:rPr>
      </w:pPr>
      <w:bookmarkStart w:id="367" w:name="_Toc16115"/>
      <w:r>
        <w:rPr>
          <w:rFonts w:hint="eastAsia" w:ascii="宋体" w:hAnsi="宋体" w:cs="宋体"/>
          <w:color w:val="auto"/>
          <w:sz w:val="24"/>
          <w:highlight w:val="none"/>
        </w:rPr>
        <w:t>32.1如果发现商务报价存在计算或表达上错误，则按下列原则进行修正：</w:t>
      </w:r>
      <w:bookmarkEnd w:id="367"/>
    </w:p>
    <w:p w14:paraId="62E1F48D">
      <w:pPr>
        <w:spacing w:line="360" w:lineRule="auto"/>
        <w:ind w:firstLine="480" w:firstLineChars="200"/>
        <w:outlineLvl w:val="2"/>
        <w:rPr>
          <w:rFonts w:hint="eastAsia" w:ascii="宋体" w:hAnsi="宋体" w:cs="宋体"/>
          <w:color w:val="auto"/>
          <w:sz w:val="24"/>
          <w:highlight w:val="none"/>
        </w:rPr>
      </w:pPr>
      <w:bookmarkStart w:id="368" w:name="_Toc4475"/>
      <w:r>
        <w:rPr>
          <w:rFonts w:hint="eastAsia" w:ascii="宋体" w:hAnsi="宋体" w:cs="宋体"/>
          <w:color w:val="auto"/>
          <w:sz w:val="24"/>
          <w:highlight w:val="none"/>
        </w:rPr>
        <w:t>（1）开标时，投标文件中开标一览表（报价表）内容与投标文件中明细表内容不一致的，以开标一览表（报价表）为准；</w:t>
      </w:r>
      <w:bookmarkEnd w:id="368"/>
    </w:p>
    <w:p w14:paraId="01710E7E">
      <w:pPr>
        <w:spacing w:line="360" w:lineRule="auto"/>
        <w:ind w:firstLine="480" w:firstLineChars="200"/>
        <w:outlineLvl w:val="4"/>
        <w:rPr>
          <w:rFonts w:hint="eastAsia" w:ascii="宋体" w:hAnsi="宋体" w:cs="宋体"/>
          <w:color w:val="auto"/>
          <w:sz w:val="24"/>
          <w:highlight w:val="none"/>
        </w:rPr>
      </w:pPr>
      <w:bookmarkStart w:id="369" w:name="_Toc2892"/>
      <w:r>
        <w:rPr>
          <w:rFonts w:hint="eastAsia" w:ascii="宋体" w:hAnsi="宋体" w:cs="宋体"/>
          <w:color w:val="auto"/>
          <w:sz w:val="24"/>
          <w:highlight w:val="none"/>
        </w:rPr>
        <w:t>（2）投标文件的大写金额和小写金额不一致的，以大写金额为准；</w:t>
      </w:r>
      <w:bookmarkEnd w:id="369"/>
    </w:p>
    <w:p w14:paraId="7952C272">
      <w:pPr>
        <w:spacing w:line="360" w:lineRule="auto"/>
        <w:ind w:firstLine="480" w:firstLineChars="200"/>
        <w:outlineLvl w:val="4"/>
        <w:rPr>
          <w:rFonts w:hint="eastAsia" w:ascii="宋体" w:hAnsi="宋体" w:cs="宋体"/>
          <w:color w:val="auto"/>
          <w:sz w:val="24"/>
          <w:highlight w:val="none"/>
        </w:rPr>
      </w:pPr>
      <w:bookmarkStart w:id="370" w:name="_Toc17680"/>
      <w:r>
        <w:rPr>
          <w:rFonts w:hint="eastAsia" w:ascii="宋体" w:hAnsi="宋体" w:cs="宋体"/>
          <w:color w:val="auto"/>
          <w:sz w:val="24"/>
          <w:highlight w:val="none"/>
        </w:rPr>
        <w:t>（3）总价金额与按单价汇总金额不一致的，以单价金额计算结果为准；</w:t>
      </w:r>
      <w:bookmarkEnd w:id="370"/>
    </w:p>
    <w:p w14:paraId="794136B2">
      <w:pPr>
        <w:spacing w:line="360" w:lineRule="auto"/>
        <w:ind w:firstLine="480" w:firstLineChars="200"/>
        <w:outlineLvl w:val="4"/>
        <w:rPr>
          <w:rFonts w:hint="eastAsia" w:ascii="宋体" w:hAnsi="宋体" w:cs="宋体"/>
          <w:color w:val="auto"/>
          <w:sz w:val="24"/>
          <w:highlight w:val="none"/>
        </w:rPr>
      </w:pPr>
      <w:bookmarkStart w:id="371" w:name="_Toc28621"/>
      <w:r>
        <w:rPr>
          <w:rFonts w:hint="eastAsia" w:ascii="宋体" w:hAnsi="宋体" w:cs="宋体"/>
          <w:color w:val="auto"/>
          <w:sz w:val="24"/>
          <w:highlight w:val="none"/>
        </w:rPr>
        <w:t>（4）单价金额小数点或者百分比有明显错位的，以开标一览表的总价为准，并修改单价；</w:t>
      </w:r>
      <w:bookmarkEnd w:id="371"/>
    </w:p>
    <w:p w14:paraId="506A6659">
      <w:pPr>
        <w:spacing w:line="360" w:lineRule="auto"/>
        <w:ind w:firstLine="480" w:firstLineChars="200"/>
        <w:outlineLvl w:val="4"/>
        <w:rPr>
          <w:rFonts w:hint="eastAsia" w:ascii="宋体" w:hAnsi="宋体" w:cs="宋体"/>
          <w:color w:val="auto"/>
          <w:sz w:val="24"/>
          <w:highlight w:val="none"/>
        </w:rPr>
      </w:pPr>
      <w:bookmarkStart w:id="372" w:name="_Toc15980"/>
      <w:r>
        <w:rPr>
          <w:rFonts w:hint="eastAsia" w:ascii="宋体" w:hAnsi="宋体" w:cs="宋体"/>
          <w:color w:val="auto"/>
          <w:sz w:val="24"/>
          <w:highlight w:val="none"/>
        </w:rPr>
        <w:t>（5）对不同文字文本投标文件的解释发生异议的，以中文文本为准。</w:t>
      </w:r>
      <w:bookmarkEnd w:id="372"/>
    </w:p>
    <w:p w14:paraId="4450ABBA">
      <w:pPr>
        <w:spacing w:line="360" w:lineRule="auto"/>
        <w:ind w:firstLine="480" w:firstLineChars="200"/>
        <w:outlineLvl w:val="2"/>
        <w:rPr>
          <w:rFonts w:hint="eastAsia" w:ascii="宋体" w:hAnsi="宋体" w:cs="宋体"/>
          <w:color w:val="auto"/>
          <w:sz w:val="24"/>
          <w:highlight w:val="none"/>
        </w:rPr>
      </w:pPr>
      <w:bookmarkStart w:id="373" w:name="_Toc8512"/>
      <w:r>
        <w:rPr>
          <w:rFonts w:hint="eastAsia" w:ascii="宋体" w:hAnsi="宋体" w:cs="宋体"/>
          <w:color w:val="auto"/>
          <w:sz w:val="24"/>
          <w:highlight w:val="none"/>
        </w:rPr>
        <w:t>32.4磋商小组将按第32.1条原则修正商务报价，并要求供应商进行确认。确认后的报价和文件将对供应商具有约束力。并以修正后的报价作为评审的依据。</w:t>
      </w:r>
      <w:bookmarkEnd w:id="373"/>
    </w:p>
    <w:p w14:paraId="75DD1FD6">
      <w:pPr>
        <w:spacing w:line="360" w:lineRule="auto"/>
        <w:ind w:firstLine="480" w:firstLineChars="200"/>
        <w:outlineLvl w:val="2"/>
        <w:rPr>
          <w:rFonts w:hint="eastAsia" w:ascii="宋体" w:hAnsi="宋体" w:cs="宋体"/>
          <w:color w:val="auto"/>
          <w:sz w:val="24"/>
          <w:highlight w:val="none"/>
        </w:rPr>
      </w:pPr>
      <w:bookmarkStart w:id="374" w:name="_Toc6944"/>
      <w:r>
        <w:rPr>
          <w:rFonts w:hint="eastAsia" w:ascii="宋体" w:hAnsi="宋体" w:cs="宋体"/>
          <w:color w:val="auto"/>
          <w:sz w:val="24"/>
          <w:highlight w:val="none"/>
        </w:rPr>
        <w:t>32.5评标委员会将按上述修正错误的原则调整投标文件的投标总报价，同时出现两种以上不一致的，按照前款规定的顺序修正。在供应商同意后，调整后的投标总报价对供应商起约束作用；如果供应商不接受修正的报价，则其投标文件将被拒绝。</w:t>
      </w:r>
      <w:bookmarkEnd w:id="374"/>
    </w:p>
    <w:p w14:paraId="00CD5829">
      <w:pPr>
        <w:spacing w:line="360" w:lineRule="auto"/>
        <w:ind w:firstLine="480" w:firstLineChars="200"/>
        <w:outlineLvl w:val="2"/>
        <w:rPr>
          <w:rFonts w:hint="eastAsia" w:ascii="宋体" w:hAnsi="宋体" w:cs="宋体"/>
          <w:color w:val="auto"/>
          <w:sz w:val="24"/>
          <w:highlight w:val="none"/>
        </w:rPr>
      </w:pPr>
      <w:bookmarkStart w:id="375" w:name="_Toc23318"/>
      <w:r>
        <w:rPr>
          <w:rFonts w:hint="eastAsia" w:ascii="宋体" w:hAnsi="宋体" w:cs="宋体"/>
          <w:color w:val="auto"/>
          <w:sz w:val="24"/>
          <w:highlight w:val="none"/>
        </w:rPr>
        <w:t>32.6评标委员会认为供应商的报价明显低于其他通过符合性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bookmarkEnd w:id="375"/>
    </w:p>
    <w:p w14:paraId="5EC8291D">
      <w:pPr>
        <w:spacing w:line="360" w:lineRule="auto"/>
        <w:ind w:firstLine="482" w:firstLineChars="200"/>
        <w:outlineLvl w:val="2"/>
        <w:rPr>
          <w:rFonts w:hint="eastAsia" w:ascii="宋体" w:hAnsi="宋体" w:cs="宋体"/>
          <w:b/>
          <w:bCs/>
          <w:color w:val="auto"/>
          <w:sz w:val="24"/>
          <w:highlight w:val="none"/>
        </w:rPr>
      </w:pPr>
      <w:bookmarkStart w:id="376" w:name="_Toc5214"/>
      <w:r>
        <w:rPr>
          <w:rFonts w:hint="eastAsia" w:ascii="宋体" w:hAnsi="宋体" w:cs="宋体"/>
          <w:b/>
          <w:bCs/>
          <w:color w:val="auto"/>
          <w:sz w:val="24"/>
          <w:szCs w:val="20"/>
          <w:highlight w:val="none"/>
        </w:rPr>
        <w:t>33、投标文件的澄清</w:t>
      </w:r>
      <w:bookmarkEnd w:id="376"/>
    </w:p>
    <w:p w14:paraId="53AFF8EC">
      <w:pPr>
        <w:spacing w:line="360" w:lineRule="auto"/>
        <w:ind w:firstLine="480" w:firstLineChars="200"/>
        <w:outlineLvl w:val="2"/>
        <w:rPr>
          <w:rFonts w:hint="eastAsia" w:ascii="宋体" w:hAnsi="宋体" w:cs="宋体"/>
          <w:color w:val="auto"/>
          <w:sz w:val="24"/>
          <w:highlight w:val="none"/>
        </w:rPr>
      </w:pPr>
      <w:bookmarkStart w:id="377" w:name="_Toc14141"/>
      <w:r>
        <w:rPr>
          <w:rFonts w:hint="eastAsia" w:ascii="宋体" w:hAnsi="宋体" w:cs="宋体"/>
          <w:color w:val="auto"/>
          <w:sz w:val="24"/>
          <w:highlight w:val="none"/>
        </w:rPr>
        <w:t>33.1为有助于投标文件的审查、评价和比较，磋商小组在评审过程中有权随时请供应商对其投标文件进行澄清，有关澄清的要求和答复应以书面形式提交，供应商对澄清问题的书面答复应有法定代表人或委托代理人签字或盖章，但不得寻求、提供或允许对最后报价或投标文件中的其他实质性内容做任何更改。</w:t>
      </w:r>
      <w:bookmarkEnd w:id="377"/>
    </w:p>
    <w:p w14:paraId="23F86E7C">
      <w:pPr>
        <w:spacing w:line="360" w:lineRule="auto"/>
        <w:ind w:firstLine="480" w:firstLineChars="200"/>
        <w:outlineLvl w:val="2"/>
        <w:rPr>
          <w:rFonts w:hint="eastAsia" w:ascii="宋体" w:hAnsi="宋体" w:cs="宋体"/>
          <w:color w:val="auto"/>
          <w:sz w:val="24"/>
          <w:highlight w:val="none"/>
        </w:rPr>
      </w:pPr>
      <w:bookmarkStart w:id="378" w:name="_Toc29679"/>
      <w:r>
        <w:rPr>
          <w:rFonts w:hint="eastAsia" w:ascii="宋体" w:hAnsi="宋体" w:cs="宋体"/>
          <w:color w:val="auto"/>
          <w:sz w:val="24"/>
          <w:highlight w:val="none"/>
        </w:rPr>
        <w:t>33.2供应商法定代表人或委托代理人在评审过程中应保证随时接受磋商小组质询。若供应商法定代表人或委托代理人因故不能接受质询，其投标文件仍有效，但应视为供应商已默认磋商小组对缺席的质询所作出的结论。</w:t>
      </w:r>
      <w:bookmarkEnd w:id="378"/>
    </w:p>
    <w:p w14:paraId="417955BF">
      <w:pPr>
        <w:spacing w:line="360" w:lineRule="auto"/>
        <w:ind w:firstLine="480" w:firstLineChars="200"/>
        <w:outlineLvl w:val="2"/>
        <w:rPr>
          <w:rFonts w:hint="eastAsia" w:ascii="宋体" w:hAnsi="宋体" w:cs="宋体"/>
          <w:color w:val="auto"/>
          <w:sz w:val="24"/>
          <w:highlight w:val="none"/>
        </w:rPr>
      </w:pPr>
      <w:bookmarkStart w:id="379" w:name="_Toc22938"/>
      <w:r>
        <w:rPr>
          <w:rFonts w:hint="eastAsia" w:ascii="宋体" w:hAnsi="宋体" w:cs="宋体"/>
          <w:color w:val="auto"/>
          <w:sz w:val="24"/>
          <w:highlight w:val="none"/>
        </w:rPr>
        <w:t>33.3磋商小组允许供应商通过澄清答复修正其最后报价中不构成重大偏离的、微小的、非正规的、不一致的或不规范的地方，但这些修正不能影响任何供应商的相关名次排列。</w:t>
      </w:r>
      <w:bookmarkEnd w:id="379"/>
    </w:p>
    <w:p w14:paraId="76900739">
      <w:pPr>
        <w:spacing w:line="360" w:lineRule="auto"/>
        <w:ind w:firstLine="480" w:firstLineChars="200"/>
        <w:outlineLvl w:val="2"/>
        <w:rPr>
          <w:rFonts w:hint="eastAsia" w:ascii="宋体" w:hAnsi="宋体" w:cs="宋体"/>
          <w:color w:val="auto"/>
          <w:sz w:val="24"/>
          <w:highlight w:val="none"/>
        </w:rPr>
      </w:pPr>
      <w:bookmarkStart w:id="380" w:name="_Toc29251"/>
      <w:r>
        <w:rPr>
          <w:rFonts w:hint="eastAsia" w:ascii="宋体" w:hAnsi="宋体" w:cs="宋体"/>
          <w:color w:val="auto"/>
          <w:sz w:val="24"/>
          <w:highlight w:val="none"/>
        </w:rPr>
        <w:t>33.4如果供应商在投标文件中未对磋商文件、技术规格及标准、项目采购需求、合同条款等提出偏离意见或澄清，将视同供应商同意上述文件的全部条款和要求。</w:t>
      </w:r>
      <w:bookmarkEnd w:id="380"/>
    </w:p>
    <w:p w14:paraId="7E424B85">
      <w:pPr>
        <w:spacing w:line="360" w:lineRule="auto"/>
        <w:ind w:firstLine="482" w:firstLineChars="200"/>
        <w:outlineLvl w:val="2"/>
        <w:rPr>
          <w:rFonts w:hint="eastAsia" w:ascii="宋体" w:hAnsi="宋体" w:cs="宋体"/>
          <w:b/>
          <w:bCs/>
          <w:color w:val="auto"/>
          <w:sz w:val="24"/>
          <w:szCs w:val="20"/>
          <w:highlight w:val="none"/>
        </w:rPr>
      </w:pPr>
      <w:bookmarkStart w:id="381" w:name="_Toc13437"/>
      <w:bookmarkStart w:id="382" w:name="_Toc673"/>
      <w:bookmarkStart w:id="383" w:name="_Toc13368"/>
      <w:bookmarkStart w:id="384" w:name="_Toc14101"/>
      <w:r>
        <w:rPr>
          <w:rFonts w:hint="eastAsia" w:ascii="宋体" w:hAnsi="宋体" w:cs="宋体"/>
          <w:b/>
          <w:bCs/>
          <w:color w:val="auto"/>
          <w:sz w:val="24"/>
          <w:szCs w:val="20"/>
          <w:highlight w:val="none"/>
        </w:rPr>
        <w:t>34、特殊情形</w:t>
      </w:r>
      <w:bookmarkEnd w:id="381"/>
      <w:bookmarkEnd w:id="382"/>
      <w:bookmarkEnd w:id="383"/>
      <w:bookmarkEnd w:id="384"/>
    </w:p>
    <w:p w14:paraId="2F9E709A">
      <w:pPr>
        <w:spacing w:line="360" w:lineRule="auto"/>
        <w:ind w:firstLine="480" w:firstLineChars="200"/>
        <w:outlineLvl w:val="3"/>
        <w:rPr>
          <w:rFonts w:hint="eastAsia" w:ascii="宋体" w:hAnsi="宋体" w:cs="宋体"/>
          <w:color w:val="auto"/>
          <w:sz w:val="24"/>
          <w:highlight w:val="none"/>
        </w:rPr>
      </w:pPr>
      <w:bookmarkStart w:id="385" w:name="_Toc19868"/>
      <w:r>
        <w:rPr>
          <w:rFonts w:hint="eastAsia" w:ascii="宋体" w:hAnsi="宋体" w:cs="宋体"/>
          <w:color w:val="auto"/>
          <w:sz w:val="24"/>
          <w:highlight w:val="none"/>
        </w:rPr>
        <w:t>34.1重大偏离</w:t>
      </w:r>
      <w:bookmarkEnd w:id="385"/>
    </w:p>
    <w:p w14:paraId="694BE5E8">
      <w:pPr>
        <w:spacing w:line="360" w:lineRule="auto"/>
        <w:ind w:firstLine="480" w:firstLineChars="200"/>
        <w:outlineLvl w:val="2"/>
        <w:rPr>
          <w:rFonts w:hint="eastAsia" w:ascii="宋体" w:hAnsi="宋体" w:cs="宋体"/>
          <w:color w:val="auto"/>
          <w:sz w:val="24"/>
          <w:highlight w:val="none"/>
        </w:rPr>
      </w:pPr>
      <w:bookmarkStart w:id="386" w:name="_Toc5511"/>
      <w:r>
        <w:rPr>
          <w:rFonts w:hint="eastAsia" w:ascii="宋体" w:hAnsi="宋体" w:cs="宋体"/>
          <w:color w:val="auto"/>
          <w:sz w:val="24"/>
          <w:highlight w:val="none"/>
        </w:rPr>
        <w:t>重大偏离是指实质上影响合同的采购范围、服务期限、质保期、质量和性能等，或者实质上不满足磋商文件的要求，而且限制了采购方的权利或减轻了供应商的义务。纠正或承认这些偏离将会对其他实质上响应要求的供应商合理的竞争地位产生不公正的影响。</w:t>
      </w:r>
      <w:bookmarkEnd w:id="386"/>
    </w:p>
    <w:p w14:paraId="1FD23190">
      <w:pPr>
        <w:spacing w:line="360" w:lineRule="auto"/>
        <w:ind w:firstLine="480" w:firstLineChars="200"/>
        <w:outlineLvl w:val="3"/>
        <w:rPr>
          <w:rFonts w:hint="eastAsia" w:ascii="宋体" w:hAnsi="宋体" w:cs="宋体"/>
          <w:color w:val="auto"/>
          <w:sz w:val="24"/>
          <w:highlight w:val="none"/>
        </w:rPr>
      </w:pPr>
      <w:r>
        <w:rPr>
          <w:rFonts w:hint="eastAsia" w:ascii="宋体" w:hAnsi="宋体" w:cs="宋体"/>
          <w:color w:val="auto"/>
          <w:sz w:val="24"/>
          <w:highlight w:val="none"/>
        </w:rPr>
        <w:t>34.2无效投标文件</w:t>
      </w:r>
    </w:p>
    <w:p w14:paraId="526842C2">
      <w:pPr>
        <w:spacing w:line="360" w:lineRule="auto"/>
        <w:ind w:firstLine="480" w:firstLineChars="200"/>
        <w:outlineLvl w:val="4"/>
        <w:rPr>
          <w:rFonts w:hint="eastAsia" w:ascii="宋体" w:hAnsi="宋体" w:cs="宋体"/>
          <w:color w:val="auto"/>
          <w:sz w:val="24"/>
          <w:highlight w:val="none"/>
        </w:rPr>
      </w:pPr>
      <w:r>
        <w:rPr>
          <w:rFonts w:hint="eastAsia" w:ascii="宋体" w:hAnsi="宋体" w:cs="宋体"/>
          <w:color w:val="auto"/>
          <w:sz w:val="24"/>
          <w:highlight w:val="none"/>
        </w:rPr>
        <w:t>投标文件有下列情形之一的，由磋商小组评审后按无效投标文件处理：</w:t>
      </w:r>
    </w:p>
    <w:p w14:paraId="05959C35">
      <w:pPr>
        <w:spacing w:line="360" w:lineRule="auto"/>
        <w:ind w:firstLine="480" w:firstLineChars="200"/>
        <w:outlineLvl w:val="4"/>
        <w:rPr>
          <w:rFonts w:hint="eastAsia" w:ascii="宋体" w:hAnsi="宋体" w:cs="宋体"/>
          <w:color w:val="auto"/>
          <w:sz w:val="24"/>
          <w:highlight w:val="none"/>
        </w:rPr>
      </w:pPr>
      <w:bookmarkStart w:id="387" w:name="_Toc9087"/>
      <w:r>
        <w:rPr>
          <w:rFonts w:hint="eastAsia" w:ascii="宋体" w:hAnsi="宋体" w:cs="宋体"/>
          <w:color w:val="auto"/>
          <w:sz w:val="24"/>
          <w:highlight w:val="none"/>
        </w:rPr>
        <w:t>（1）供应商的商务报价高于招标项目预算；</w:t>
      </w:r>
      <w:bookmarkEnd w:id="387"/>
    </w:p>
    <w:p w14:paraId="5D92FD9E">
      <w:pPr>
        <w:spacing w:line="360" w:lineRule="auto"/>
        <w:ind w:firstLine="480" w:firstLineChars="200"/>
        <w:outlineLvl w:val="4"/>
        <w:rPr>
          <w:rFonts w:hint="eastAsia" w:ascii="宋体" w:hAnsi="宋体" w:cs="宋体"/>
          <w:color w:val="auto"/>
          <w:sz w:val="24"/>
          <w:highlight w:val="none"/>
        </w:rPr>
      </w:pPr>
      <w:bookmarkStart w:id="388" w:name="_Toc11882"/>
      <w:r>
        <w:rPr>
          <w:rFonts w:hint="eastAsia" w:ascii="宋体" w:hAnsi="宋体" w:cs="宋体"/>
          <w:color w:val="auto"/>
          <w:sz w:val="24"/>
          <w:highlight w:val="none"/>
        </w:rPr>
        <w:t>（2）投标文件附有采购人不能接受条件的；</w:t>
      </w:r>
      <w:bookmarkEnd w:id="388"/>
    </w:p>
    <w:p w14:paraId="620833F2">
      <w:pPr>
        <w:spacing w:line="360" w:lineRule="auto"/>
        <w:ind w:firstLine="480" w:firstLineChars="200"/>
        <w:outlineLvl w:val="4"/>
        <w:rPr>
          <w:rFonts w:hint="eastAsia" w:ascii="宋体" w:hAnsi="宋体" w:cs="宋体"/>
          <w:color w:val="auto"/>
          <w:sz w:val="24"/>
          <w:highlight w:val="none"/>
        </w:rPr>
      </w:pPr>
      <w:bookmarkStart w:id="389" w:name="_Toc28117"/>
      <w:r>
        <w:rPr>
          <w:rFonts w:hint="eastAsia" w:ascii="宋体" w:hAnsi="宋体" w:cs="宋体"/>
          <w:color w:val="auto"/>
          <w:sz w:val="24"/>
          <w:highlight w:val="none"/>
        </w:rPr>
        <w:t>（3）出现重大偏离的；</w:t>
      </w:r>
      <w:bookmarkEnd w:id="389"/>
    </w:p>
    <w:p w14:paraId="1708D525">
      <w:pPr>
        <w:spacing w:line="360" w:lineRule="auto"/>
        <w:ind w:firstLine="480" w:firstLineChars="200"/>
        <w:outlineLvl w:val="4"/>
        <w:rPr>
          <w:rFonts w:hint="eastAsia" w:ascii="宋体" w:hAnsi="宋体" w:cs="宋体"/>
          <w:color w:val="auto"/>
          <w:sz w:val="24"/>
          <w:highlight w:val="none"/>
        </w:rPr>
      </w:pPr>
      <w:bookmarkStart w:id="390" w:name="_Toc26177"/>
      <w:r>
        <w:rPr>
          <w:rFonts w:hint="eastAsia" w:ascii="宋体" w:hAnsi="宋体" w:cs="宋体"/>
          <w:color w:val="auto"/>
          <w:sz w:val="24"/>
          <w:highlight w:val="none"/>
        </w:rPr>
        <w:t>（4）对磋商文件提出的实质性要求和条件未能实质性响应；</w:t>
      </w:r>
      <w:bookmarkEnd w:id="390"/>
    </w:p>
    <w:p w14:paraId="0DF0337A">
      <w:pPr>
        <w:spacing w:line="360" w:lineRule="auto"/>
        <w:ind w:firstLine="480" w:firstLineChars="200"/>
        <w:outlineLvl w:val="2"/>
        <w:rPr>
          <w:rFonts w:hint="eastAsia" w:ascii="宋体" w:hAnsi="宋体" w:cs="宋体"/>
          <w:color w:val="auto"/>
          <w:sz w:val="24"/>
          <w:highlight w:val="none"/>
        </w:rPr>
      </w:pPr>
      <w:bookmarkStart w:id="391" w:name="_Toc4969"/>
      <w:r>
        <w:rPr>
          <w:rFonts w:hint="eastAsia" w:ascii="宋体" w:hAnsi="宋体" w:cs="宋体"/>
          <w:color w:val="auto"/>
          <w:sz w:val="24"/>
          <w:highlight w:val="none"/>
        </w:rPr>
        <w:t>（5）《中华人民共和国政府采购法》《中华人民共和国政府采购法实施条例》《政府采购竞争性磋商采购方式管理暂行办法》及相关法律法规及磋商文件明确规定可以作无效响应的其他情形。</w:t>
      </w:r>
      <w:bookmarkEnd w:id="391"/>
    </w:p>
    <w:p w14:paraId="5E402F58">
      <w:pPr>
        <w:spacing w:line="360" w:lineRule="auto"/>
        <w:ind w:firstLine="480" w:firstLineChars="200"/>
        <w:outlineLvl w:val="3"/>
        <w:rPr>
          <w:rFonts w:hint="eastAsia" w:ascii="宋体" w:hAnsi="宋体" w:cs="宋体"/>
          <w:color w:val="auto"/>
          <w:sz w:val="24"/>
          <w:highlight w:val="none"/>
        </w:rPr>
      </w:pPr>
      <w:bookmarkStart w:id="392" w:name="_Toc22874"/>
      <w:r>
        <w:rPr>
          <w:rFonts w:hint="eastAsia" w:ascii="宋体" w:hAnsi="宋体" w:cs="宋体"/>
          <w:color w:val="auto"/>
          <w:sz w:val="24"/>
          <w:highlight w:val="none"/>
        </w:rPr>
        <w:t>34.3重新招标</w:t>
      </w:r>
      <w:bookmarkEnd w:id="392"/>
    </w:p>
    <w:p w14:paraId="6728E5BA">
      <w:pPr>
        <w:spacing w:line="360" w:lineRule="auto"/>
        <w:ind w:firstLine="480" w:firstLineChars="200"/>
        <w:outlineLvl w:val="4"/>
        <w:rPr>
          <w:rFonts w:hint="eastAsia" w:ascii="宋体" w:hAnsi="宋体" w:cs="宋体"/>
          <w:color w:val="auto"/>
          <w:sz w:val="24"/>
          <w:highlight w:val="none"/>
        </w:rPr>
      </w:pPr>
      <w:bookmarkStart w:id="393" w:name="_Toc11575"/>
      <w:r>
        <w:rPr>
          <w:rFonts w:hint="eastAsia" w:ascii="宋体" w:hAnsi="宋体" w:cs="宋体"/>
          <w:color w:val="auto"/>
          <w:sz w:val="24"/>
          <w:highlight w:val="none"/>
        </w:rPr>
        <w:t>磋商小组评审时出现以下情形之一的，应予终止磋商活动：</w:t>
      </w:r>
      <w:bookmarkEnd w:id="393"/>
    </w:p>
    <w:p w14:paraId="231DADF5">
      <w:pPr>
        <w:spacing w:line="360" w:lineRule="auto"/>
        <w:ind w:firstLine="480" w:firstLineChars="200"/>
        <w:outlineLvl w:val="4"/>
        <w:rPr>
          <w:rFonts w:hint="eastAsia" w:ascii="宋体" w:hAnsi="宋体" w:cs="宋体"/>
          <w:color w:val="auto"/>
          <w:sz w:val="24"/>
          <w:highlight w:val="none"/>
        </w:rPr>
      </w:pPr>
      <w:bookmarkStart w:id="394" w:name="_Toc22211"/>
      <w:r>
        <w:rPr>
          <w:rFonts w:hint="eastAsia" w:ascii="宋体" w:hAnsi="宋体" w:cs="宋体"/>
          <w:color w:val="auto"/>
          <w:sz w:val="24"/>
          <w:highlight w:val="none"/>
        </w:rPr>
        <w:t>（一）</w:t>
      </w:r>
      <w:bookmarkEnd w:id="394"/>
      <w:bookmarkStart w:id="395" w:name="_Toc26669"/>
      <w:r>
        <w:rPr>
          <w:rFonts w:hint="eastAsia" w:ascii="宋体" w:hAnsi="宋体" w:cs="宋体"/>
          <w:color w:val="auto"/>
          <w:sz w:val="24"/>
          <w:highlight w:val="none"/>
        </w:rPr>
        <w:t>供应商的报价均超过了采购预算，采购人不能支付的；</w:t>
      </w:r>
      <w:bookmarkEnd w:id="395"/>
    </w:p>
    <w:p w14:paraId="740621F2">
      <w:pPr>
        <w:spacing w:line="360" w:lineRule="auto"/>
        <w:ind w:firstLine="480" w:firstLineChars="200"/>
        <w:outlineLvl w:val="4"/>
        <w:rPr>
          <w:rFonts w:hint="eastAsia" w:ascii="宋体" w:hAnsi="宋体" w:cs="宋体"/>
          <w:color w:val="auto"/>
          <w:sz w:val="24"/>
          <w:highlight w:val="none"/>
        </w:rPr>
      </w:pPr>
      <w:bookmarkStart w:id="396" w:name="_Toc20851"/>
      <w:r>
        <w:rPr>
          <w:rFonts w:hint="eastAsia" w:ascii="宋体" w:hAnsi="宋体" w:cs="宋体"/>
          <w:color w:val="auto"/>
          <w:sz w:val="24"/>
          <w:highlight w:val="none"/>
        </w:rPr>
        <w:t>（二）出现影响采购公正的违法、违规行为的；</w:t>
      </w:r>
      <w:bookmarkEnd w:id="396"/>
    </w:p>
    <w:p w14:paraId="416D3D99">
      <w:pPr>
        <w:spacing w:line="360" w:lineRule="auto"/>
        <w:ind w:firstLine="480" w:firstLineChars="200"/>
        <w:outlineLvl w:val="4"/>
        <w:rPr>
          <w:rFonts w:hint="eastAsia" w:ascii="宋体" w:hAnsi="宋体" w:cs="宋体"/>
          <w:color w:val="auto"/>
          <w:sz w:val="24"/>
          <w:highlight w:val="none"/>
        </w:rPr>
      </w:pPr>
      <w:bookmarkStart w:id="397" w:name="_Toc9727"/>
      <w:r>
        <w:rPr>
          <w:rFonts w:hint="eastAsia" w:ascii="宋体" w:hAnsi="宋体" w:cs="宋体"/>
          <w:color w:val="auto"/>
          <w:sz w:val="24"/>
          <w:highlight w:val="none"/>
        </w:rPr>
        <w:t>（三）因重大变故，采购任务取消的。</w:t>
      </w:r>
      <w:bookmarkEnd w:id="397"/>
    </w:p>
    <w:p w14:paraId="2719D24B">
      <w:pPr>
        <w:spacing w:line="360" w:lineRule="auto"/>
        <w:ind w:firstLine="480" w:firstLineChars="200"/>
        <w:outlineLvl w:val="3"/>
        <w:rPr>
          <w:rFonts w:hint="eastAsia" w:ascii="宋体" w:hAnsi="宋体" w:cs="宋体"/>
          <w:color w:val="auto"/>
          <w:sz w:val="24"/>
          <w:highlight w:val="none"/>
        </w:rPr>
      </w:pPr>
      <w:bookmarkStart w:id="398" w:name="_Toc31853"/>
      <w:r>
        <w:rPr>
          <w:rFonts w:hint="eastAsia" w:ascii="宋体" w:hAnsi="宋体" w:cs="宋体"/>
          <w:color w:val="auto"/>
          <w:sz w:val="24"/>
          <w:highlight w:val="none"/>
        </w:rPr>
        <w:t>终止磋商活动后，除采购任务取消情形外，应当重新组织采购。</w:t>
      </w:r>
      <w:bookmarkEnd w:id="398"/>
    </w:p>
    <w:p w14:paraId="324A0E01">
      <w:pPr>
        <w:spacing w:line="360" w:lineRule="auto"/>
        <w:ind w:firstLine="480" w:firstLineChars="200"/>
        <w:outlineLvl w:val="3"/>
        <w:rPr>
          <w:rFonts w:hint="eastAsia" w:ascii="宋体" w:hAnsi="宋体" w:cs="宋体"/>
          <w:color w:val="auto"/>
          <w:sz w:val="24"/>
          <w:highlight w:val="none"/>
        </w:rPr>
      </w:pPr>
      <w:bookmarkStart w:id="399" w:name="_Toc11615"/>
      <w:r>
        <w:rPr>
          <w:rFonts w:hint="eastAsia" w:ascii="宋体" w:hAnsi="宋体" w:cs="宋体"/>
          <w:color w:val="auto"/>
          <w:sz w:val="24"/>
          <w:highlight w:val="none"/>
        </w:rPr>
        <w:t>34.4终止招标</w:t>
      </w:r>
      <w:bookmarkEnd w:id="399"/>
    </w:p>
    <w:p w14:paraId="77FF6B06">
      <w:pPr>
        <w:spacing w:line="360" w:lineRule="auto"/>
        <w:ind w:firstLine="480" w:firstLineChars="200"/>
        <w:outlineLvl w:val="4"/>
        <w:rPr>
          <w:rFonts w:hint="eastAsia" w:ascii="宋体" w:hAnsi="宋体" w:cs="宋体"/>
          <w:color w:val="auto"/>
          <w:sz w:val="24"/>
          <w:highlight w:val="none"/>
        </w:rPr>
      </w:pPr>
      <w:bookmarkStart w:id="400" w:name="_Toc11399"/>
      <w:r>
        <w:rPr>
          <w:rFonts w:hint="eastAsia" w:ascii="宋体" w:hAnsi="宋体" w:cs="宋体"/>
          <w:color w:val="auto"/>
          <w:sz w:val="24"/>
          <w:highlight w:val="none"/>
        </w:rPr>
        <w:t>（1）因国家法律法规或政策调整，原招标项目需要调整相关招标内容或技术要求的；</w:t>
      </w:r>
      <w:bookmarkEnd w:id="400"/>
    </w:p>
    <w:p w14:paraId="2E3CD305">
      <w:pPr>
        <w:spacing w:line="360" w:lineRule="auto"/>
        <w:ind w:firstLine="480" w:firstLineChars="200"/>
        <w:outlineLvl w:val="4"/>
        <w:rPr>
          <w:rFonts w:hint="eastAsia" w:ascii="宋体" w:hAnsi="宋体" w:cs="宋体"/>
          <w:color w:val="auto"/>
          <w:sz w:val="24"/>
          <w:highlight w:val="none"/>
        </w:rPr>
      </w:pPr>
      <w:bookmarkStart w:id="401" w:name="_Toc11530"/>
      <w:r>
        <w:rPr>
          <w:rFonts w:hint="eastAsia" w:ascii="宋体" w:hAnsi="宋体" w:cs="宋体"/>
          <w:color w:val="auto"/>
          <w:sz w:val="24"/>
          <w:highlight w:val="none"/>
        </w:rPr>
        <w:t>（2）招标需求发生重大变更调整的或需要重新划分招标项目标段的；</w:t>
      </w:r>
      <w:bookmarkEnd w:id="401"/>
    </w:p>
    <w:p w14:paraId="5A244429">
      <w:pPr>
        <w:spacing w:line="360" w:lineRule="auto"/>
        <w:ind w:firstLine="480" w:firstLineChars="200"/>
        <w:outlineLvl w:val="4"/>
        <w:rPr>
          <w:rFonts w:hint="eastAsia" w:ascii="宋体" w:hAnsi="宋体" w:cs="宋体"/>
          <w:color w:val="auto"/>
          <w:sz w:val="24"/>
          <w:highlight w:val="none"/>
        </w:rPr>
      </w:pPr>
      <w:bookmarkStart w:id="402" w:name="_Toc21949"/>
      <w:r>
        <w:rPr>
          <w:rFonts w:hint="eastAsia" w:ascii="宋体" w:hAnsi="宋体" w:cs="宋体"/>
          <w:color w:val="auto"/>
          <w:sz w:val="24"/>
          <w:highlight w:val="none"/>
        </w:rPr>
        <w:t>（3）由于重大变故，招标任务取消的；</w:t>
      </w:r>
      <w:bookmarkEnd w:id="402"/>
    </w:p>
    <w:p w14:paraId="5BB5276F">
      <w:pPr>
        <w:spacing w:line="360" w:lineRule="auto"/>
        <w:ind w:firstLine="480" w:firstLineChars="200"/>
        <w:outlineLvl w:val="4"/>
        <w:rPr>
          <w:rFonts w:hint="eastAsia" w:ascii="宋体" w:hAnsi="宋体" w:cs="宋体"/>
          <w:color w:val="auto"/>
          <w:sz w:val="24"/>
          <w:highlight w:val="none"/>
        </w:rPr>
      </w:pPr>
      <w:bookmarkStart w:id="403" w:name="_Toc12379"/>
      <w:r>
        <w:rPr>
          <w:rFonts w:hint="eastAsia" w:ascii="宋体" w:hAnsi="宋体" w:cs="宋体"/>
          <w:color w:val="auto"/>
          <w:sz w:val="24"/>
          <w:highlight w:val="none"/>
        </w:rPr>
        <w:t>（4）法律规定的其他情形。</w:t>
      </w:r>
      <w:bookmarkEnd w:id="403"/>
    </w:p>
    <w:p w14:paraId="6BB2EDA7">
      <w:pPr>
        <w:spacing w:line="360" w:lineRule="auto"/>
        <w:ind w:firstLine="480" w:firstLineChars="200"/>
        <w:outlineLvl w:val="3"/>
        <w:rPr>
          <w:rFonts w:hint="eastAsia" w:ascii="宋体" w:hAnsi="宋体" w:cs="宋体"/>
          <w:color w:val="auto"/>
          <w:sz w:val="24"/>
          <w:highlight w:val="none"/>
        </w:rPr>
      </w:pPr>
      <w:bookmarkStart w:id="404" w:name="_Toc26639"/>
      <w:r>
        <w:rPr>
          <w:rFonts w:hint="eastAsia" w:ascii="宋体" w:hAnsi="宋体" w:cs="宋体"/>
          <w:color w:val="auto"/>
          <w:sz w:val="24"/>
          <w:highlight w:val="none"/>
        </w:rPr>
        <w:t>34.5责任免除</w:t>
      </w:r>
      <w:bookmarkEnd w:id="404"/>
    </w:p>
    <w:p w14:paraId="26AABC7D">
      <w:pPr>
        <w:spacing w:line="360" w:lineRule="auto"/>
        <w:ind w:firstLine="480" w:firstLineChars="200"/>
        <w:outlineLvl w:val="2"/>
        <w:rPr>
          <w:rFonts w:hint="eastAsia" w:ascii="宋体" w:hAnsi="宋体" w:cs="宋体"/>
          <w:color w:val="auto"/>
          <w:sz w:val="24"/>
          <w:highlight w:val="none"/>
        </w:rPr>
      </w:pPr>
      <w:bookmarkStart w:id="405" w:name="_Toc22838"/>
      <w:r>
        <w:rPr>
          <w:rFonts w:hint="eastAsia" w:ascii="宋体" w:hAnsi="宋体" w:cs="宋体"/>
          <w:color w:val="auto"/>
          <w:sz w:val="24"/>
          <w:highlight w:val="none"/>
        </w:rPr>
        <w:t>采购人保留因为政策法律的变化或因公共利益的需要而在任何时候中止本次招标活动的权利，并且不因此对供应商承担任何赔偿责任。</w:t>
      </w:r>
      <w:bookmarkEnd w:id="405"/>
    </w:p>
    <w:p w14:paraId="6A52AEEF">
      <w:pPr>
        <w:spacing w:line="360" w:lineRule="auto"/>
        <w:ind w:firstLine="482" w:firstLineChars="200"/>
        <w:outlineLvl w:val="2"/>
        <w:rPr>
          <w:rFonts w:hint="eastAsia" w:ascii="宋体" w:hAnsi="宋体" w:cs="宋体"/>
          <w:b/>
          <w:bCs/>
          <w:color w:val="auto"/>
          <w:sz w:val="24"/>
          <w:szCs w:val="20"/>
          <w:highlight w:val="none"/>
        </w:rPr>
      </w:pPr>
      <w:bookmarkStart w:id="406" w:name="_Toc12330"/>
      <w:bookmarkStart w:id="407" w:name="_Toc19087"/>
      <w:bookmarkStart w:id="408" w:name="_Toc4439"/>
      <w:bookmarkStart w:id="409" w:name="_Toc9930"/>
      <w:r>
        <w:rPr>
          <w:rFonts w:hint="eastAsia" w:ascii="宋体" w:hAnsi="宋体" w:cs="宋体"/>
          <w:b/>
          <w:bCs/>
          <w:color w:val="auto"/>
          <w:sz w:val="24"/>
          <w:szCs w:val="20"/>
          <w:highlight w:val="none"/>
        </w:rPr>
        <w:t>35. 推荐中标候选人</w:t>
      </w:r>
      <w:bookmarkEnd w:id="406"/>
      <w:bookmarkEnd w:id="407"/>
      <w:bookmarkEnd w:id="408"/>
      <w:bookmarkEnd w:id="409"/>
    </w:p>
    <w:p w14:paraId="28962C93">
      <w:pPr>
        <w:spacing w:line="360" w:lineRule="auto"/>
        <w:ind w:firstLine="480" w:firstLineChars="200"/>
        <w:outlineLvl w:val="2"/>
        <w:rPr>
          <w:rFonts w:hint="eastAsia" w:ascii="宋体" w:hAnsi="宋体" w:cs="宋体"/>
          <w:color w:val="auto"/>
          <w:sz w:val="24"/>
          <w:highlight w:val="none"/>
        </w:rPr>
      </w:pPr>
      <w:bookmarkStart w:id="410" w:name="_Toc4745"/>
      <w:r>
        <w:rPr>
          <w:rFonts w:hint="eastAsia" w:ascii="宋体" w:hAnsi="宋体" w:cs="宋体"/>
          <w:color w:val="auto"/>
          <w:sz w:val="24"/>
          <w:highlight w:val="none"/>
        </w:rPr>
        <w:t>35.1各供应商的评审得分由高至低排序，评审得分排列前三名的供应商被推荐为中标候选人。评审得分相同的，按照最后报价由低到高的顺序推荐，评审得分且最后报价相同的，按照技术指标优劣顺序推荐</w:t>
      </w:r>
      <w:bookmarkEnd w:id="410"/>
      <w:r>
        <w:rPr>
          <w:rFonts w:hint="eastAsia" w:ascii="宋体" w:hAnsi="宋体" w:cs="宋体"/>
          <w:color w:val="auto"/>
          <w:sz w:val="24"/>
          <w:highlight w:val="none"/>
        </w:rPr>
        <w:t>，评审得分最高的排名第一中标候选人确定为中标人。</w:t>
      </w:r>
    </w:p>
    <w:p w14:paraId="4CDE6CB1">
      <w:pPr>
        <w:spacing w:line="360" w:lineRule="auto"/>
        <w:ind w:firstLine="480" w:firstLineChars="200"/>
        <w:outlineLvl w:val="3"/>
        <w:rPr>
          <w:rFonts w:hint="eastAsia" w:ascii="宋体" w:hAnsi="宋体" w:cs="宋体"/>
          <w:color w:val="auto"/>
          <w:sz w:val="24"/>
          <w:highlight w:val="none"/>
        </w:rPr>
      </w:pPr>
      <w:bookmarkStart w:id="411" w:name="_Toc17000"/>
      <w:r>
        <w:rPr>
          <w:rFonts w:hint="eastAsia" w:ascii="宋体" w:hAnsi="宋体" w:cs="宋体"/>
          <w:color w:val="auto"/>
          <w:sz w:val="24"/>
          <w:highlight w:val="none"/>
        </w:rPr>
        <w:t>35.2评分计算结果保留两位小数，第三位小数四舍五入。</w:t>
      </w:r>
      <w:bookmarkEnd w:id="411"/>
    </w:p>
    <w:p w14:paraId="31E23860">
      <w:pPr>
        <w:spacing w:line="360" w:lineRule="auto"/>
        <w:ind w:firstLine="480" w:firstLineChars="200"/>
        <w:outlineLvl w:val="2"/>
        <w:rPr>
          <w:rFonts w:hint="eastAsia" w:ascii="宋体" w:hAnsi="宋体" w:cs="宋体"/>
          <w:color w:val="auto"/>
          <w:sz w:val="24"/>
          <w:highlight w:val="none"/>
        </w:rPr>
      </w:pPr>
      <w:bookmarkStart w:id="412" w:name="_Toc18372"/>
      <w:r>
        <w:rPr>
          <w:rFonts w:hint="eastAsia" w:ascii="宋体" w:hAnsi="宋体" w:cs="宋体"/>
          <w:color w:val="auto"/>
          <w:sz w:val="24"/>
          <w:highlight w:val="none"/>
        </w:rPr>
        <w:t>35.3磋商小组复核。磋商小组评分汇总结束后，磋商小组应当进行评审复核，对拟推荐为中标候选人的、报价最低的、供应商资格审查未通过的、供应商投标文件作无效处理的重点复核。</w:t>
      </w:r>
      <w:bookmarkEnd w:id="412"/>
    </w:p>
    <w:p w14:paraId="43105B05">
      <w:pPr>
        <w:spacing w:line="360" w:lineRule="auto"/>
        <w:ind w:firstLine="482" w:firstLineChars="200"/>
        <w:outlineLvl w:val="2"/>
        <w:rPr>
          <w:rFonts w:hint="eastAsia" w:ascii="宋体" w:hAnsi="宋体" w:cs="宋体"/>
          <w:b/>
          <w:bCs/>
          <w:color w:val="auto"/>
          <w:sz w:val="24"/>
          <w:szCs w:val="20"/>
          <w:highlight w:val="none"/>
        </w:rPr>
      </w:pPr>
      <w:bookmarkStart w:id="413" w:name="_Toc16022"/>
      <w:bookmarkStart w:id="414" w:name="_Toc27388"/>
      <w:bookmarkStart w:id="415" w:name="_Toc27398"/>
      <w:bookmarkStart w:id="416" w:name="_Toc29520"/>
      <w:r>
        <w:rPr>
          <w:rFonts w:hint="eastAsia" w:ascii="宋体" w:hAnsi="宋体" w:cs="宋体"/>
          <w:b/>
          <w:bCs/>
          <w:color w:val="auto"/>
          <w:sz w:val="24"/>
          <w:szCs w:val="20"/>
          <w:highlight w:val="none"/>
        </w:rPr>
        <w:t>36.确定中标人</w:t>
      </w:r>
      <w:bookmarkEnd w:id="413"/>
      <w:bookmarkEnd w:id="414"/>
      <w:bookmarkEnd w:id="415"/>
      <w:bookmarkEnd w:id="416"/>
    </w:p>
    <w:p w14:paraId="5189A0D8">
      <w:pPr>
        <w:spacing w:line="360" w:lineRule="auto"/>
        <w:ind w:firstLine="480" w:firstLineChars="200"/>
        <w:outlineLvl w:val="2"/>
        <w:rPr>
          <w:rFonts w:hint="eastAsia" w:ascii="宋体" w:hAnsi="宋体" w:cs="宋体"/>
          <w:color w:val="auto"/>
          <w:sz w:val="24"/>
          <w:highlight w:val="none"/>
        </w:rPr>
      </w:pPr>
      <w:bookmarkStart w:id="417" w:name="_Toc20704"/>
      <w:r>
        <w:rPr>
          <w:rFonts w:hint="eastAsia" w:ascii="宋体" w:hAnsi="宋体" w:cs="宋体"/>
          <w:color w:val="auto"/>
          <w:sz w:val="24"/>
          <w:highlight w:val="none"/>
        </w:rPr>
        <w:t>36.1根据评合评分法的评审方法规定，满足磋商文件全部实质性要求且评审因素的量化指标评审得分最高、排名第一的中标候选人确定为中标人。</w:t>
      </w:r>
      <w:bookmarkEnd w:id="417"/>
    </w:p>
    <w:p w14:paraId="074F787E">
      <w:pPr>
        <w:spacing w:line="360" w:lineRule="auto"/>
        <w:ind w:firstLine="480" w:firstLineChars="200"/>
        <w:outlineLvl w:val="3"/>
        <w:rPr>
          <w:rFonts w:hint="eastAsia" w:ascii="宋体" w:hAnsi="宋体" w:cs="宋体"/>
          <w:color w:val="auto"/>
          <w:sz w:val="24"/>
          <w:highlight w:val="none"/>
        </w:rPr>
      </w:pPr>
      <w:bookmarkStart w:id="418" w:name="_Toc13372"/>
      <w:r>
        <w:rPr>
          <w:rFonts w:hint="eastAsia" w:ascii="宋体" w:hAnsi="宋体" w:cs="宋体"/>
          <w:color w:val="auto"/>
          <w:sz w:val="24"/>
          <w:highlight w:val="none"/>
        </w:rPr>
        <w:t>36.2招标代理机构应当在评审结束后2个工作日内将评审报告送采购人确认。</w:t>
      </w:r>
      <w:bookmarkEnd w:id="418"/>
    </w:p>
    <w:p w14:paraId="72A06EFA">
      <w:pPr>
        <w:spacing w:line="360" w:lineRule="auto"/>
        <w:ind w:firstLine="480" w:firstLineChars="200"/>
        <w:outlineLvl w:val="2"/>
        <w:rPr>
          <w:rFonts w:hint="eastAsia" w:ascii="宋体" w:hAnsi="宋体" w:cs="宋体"/>
          <w:color w:val="auto"/>
          <w:sz w:val="24"/>
          <w:highlight w:val="none"/>
        </w:rPr>
      </w:pPr>
      <w:bookmarkStart w:id="419" w:name="_Toc0"/>
      <w:r>
        <w:rPr>
          <w:rFonts w:hint="eastAsia" w:ascii="宋体" w:hAnsi="宋体" w:cs="宋体"/>
          <w:color w:val="auto"/>
          <w:sz w:val="24"/>
          <w:highlight w:val="none"/>
        </w:rPr>
        <w:t>36.3采购人应当在收到评审报告后5个工作日内，从评审报告提出的中标候选人中，按照排序由高到低的原则确定中标人，也可以书面授权磋商小组直接确定中标人。采购人逾期未确定中标人且不提出异议的，视为确定评审报告提出的排名第一的供应商为中标人。</w:t>
      </w:r>
      <w:bookmarkEnd w:id="419"/>
    </w:p>
    <w:p w14:paraId="208A1C5F">
      <w:pPr>
        <w:spacing w:line="360" w:lineRule="auto"/>
        <w:ind w:firstLine="480" w:firstLineChars="200"/>
        <w:outlineLvl w:val="3"/>
        <w:rPr>
          <w:rFonts w:hint="eastAsia" w:ascii="宋体" w:hAnsi="宋体" w:cs="宋体"/>
          <w:color w:val="auto"/>
          <w:sz w:val="24"/>
          <w:highlight w:val="none"/>
        </w:rPr>
      </w:pPr>
      <w:bookmarkStart w:id="420" w:name="_Toc23648"/>
      <w:r>
        <w:rPr>
          <w:rFonts w:hint="eastAsia" w:ascii="宋体" w:hAnsi="宋体" w:cs="宋体"/>
          <w:color w:val="auto"/>
          <w:sz w:val="24"/>
          <w:highlight w:val="none"/>
        </w:rPr>
        <w:t>36.4、采购人依法接受和拒绝任一或所有供应商的权力</w:t>
      </w:r>
      <w:bookmarkEnd w:id="420"/>
      <w:r>
        <w:rPr>
          <w:rFonts w:hint="eastAsia" w:ascii="宋体" w:hAnsi="宋体" w:cs="宋体"/>
          <w:color w:val="auto"/>
          <w:sz w:val="24"/>
          <w:highlight w:val="none"/>
        </w:rPr>
        <w:t>。</w:t>
      </w:r>
      <w:bookmarkStart w:id="421" w:name="_Toc25769"/>
      <w:r>
        <w:rPr>
          <w:rFonts w:hint="eastAsia" w:ascii="宋体" w:hAnsi="宋体" w:cs="宋体"/>
          <w:color w:val="auto"/>
          <w:sz w:val="24"/>
          <w:highlight w:val="none"/>
        </w:rPr>
        <w:t>采购人保留确定（成交）中标供应商之前的任何时候依法接受或拒绝任一或所有供应商的权力，对受影响的供应商不承担任何责任，也无义务向受影响的供应商解释采取这一行动的理由。</w:t>
      </w:r>
      <w:bookmarkEnd w:id="421"/>
    </w:p>
    <w:p w14:paraId="5714F221">
      <w:pPr>
        <w:spacing w:line="360" w:lineRule="auto"/>
        <w:ind w:firstLine="480" w:firstLineChars="200"/>
        <w:outlineLvl w:val="3"/>
        <w:rPr>
          <w:rFonts w:hint="eastAsia" w:ascii="宋体" w:hAnsi="宋体" w:cs="宋体"/>
          <w:color w:val="auto"/>
          <w:sz w:val="24"/>
          <w:highlight w:val="none"/>
        </w:rPr>
      </w:pPr>
      <w:bookmarkStart w:id="422" w:name="_Toc7742"/>
      <w:r>
        <w:rPr>
          <w:rFonts w:hint="eastAsia" w:ascii="宋体" w:hAnsi="宋体" w:cs="宋体"/>
          <w:color w:val="auto"/>
          <w:sz w:val="24"/>
          <w:highlight w:val="none"/>
        </w:rPr>
        <w:t>36.5、中标通知书</w:t>
      </w:r>
      <w:bookmarkEnd w:id="422"/>
    </w:p>
    <w:p w14:paraId="42AED2F9">
      <w:pPr>
        <w:spacing w:line="360" w:lineRule="auto"/>
        <w:ind w:firstLine="480" w:firstLineChars="200"/>
        <w:outlineLvl w:val="2"/>
        <w:rPr>
          <w:rFonts w:hint="eastAsia" w:ascii="宋体" w:hAnsi="宋体" w:cs="宋体"/>
          <w:color w:val="auto"/>
          <w:sz w:val="24"/>
          <w:highlight w:val="none"/>
        </w:rPr>
      </w:pPr>
      <w:bookmarkStart w:id="423" w:name="_Toc14883"/>
      <w:r>
        <w:rPr>
          <w:rFonts w:hint="eastAsia" w:ascii="宋体" w:hAnsi="宋体" w:cs="宋体"/>
          <w:color w:val="auto"/>
          <w:sz w:val="24"/>
          <w:highlight w:val="none"/>
        </w:rPr>
        <w:t>36.5.1采购人确定中标人后，招标代理机构将按程序公告成交结果，同时向中标人发出中标通知书，中标通知书一经发出即发生法律效力。</w:t>
      </w:r>
      <w:bookmarkEnd w:id="423"/>
    </w:p>
    <w:p w14:paraId="3FE004E7">
      <w:pPr>
        <w:spacing w:line="360" w:lineRule="auto"/>
        <w:ind w:firstLine="480" w:firstLineChars="200"/>
        <w:outlineLvl w:val="4"/>
        <w:rPr>
          <w:rFonts w:hint="eastAsia" w:ascii="宋体" w:hAnsi="宋体" w:cs="宋体"/>
          <w:color w:val="auto"/>
          <w:sz w:val="24"/>
          <w:highlight w:val="none"/>
        </w:rPr>
      </w:pPr>
      <w:bookmarkStart w:id="424" w:name="_Toc3260"/>
      <w:r>
        <w:rPr>
          <w:rFonts w:hint="eastAsia" w:ascii="宋体" w:hAnsi="宋体" w:cs="宋体"/>
          <w:color w:val="auto"/>
          <w:sz w:val="24"/>
          <w:highlight w:val="none"/>
        </w:rPr>
        <w:t>36.5.2《中标通知书》将是合同的组成部分。</w:t>
      </w:r>
      <w:bookmarkEnd w:id="424"/>
    </w:p>
    <w:p w14:paraId="32C08112">
      <w:pPr>
        <w:spacing w:line="360" w:lineRule="auto"/>
        <w:ind w:firstLine="482" w:firstLineChars="200"/>
        <w:outlineLvl w:val="2"/>
        <w:rPr>
          <w:rFonts w:hint="eastAsia" w:ascii="宋体" w:hAnsi="宋体" w:cs="宋体"/>
          <w:b/>
          <w:bCs/>
          <w:color w:val="auto"/>
          <w:sz w:val="24"/>
          <w:szCs w:val="20"/>
          <w:highlight w:val="none"/>
        </w:rPr>
      </w:pPr>
      <w:bookmarkStart w:id="425" w:name="_Toc11312"/>
      <w:bookmarkStart w:id="426" w:name="_Toc24966"/>
      <w:bookmarkStart w:id="427" w:name="_Toc21320"/>
      <w:bookmarkStart w:id="428" w:name="_Toc5323"/>
      <w:r>
        <w:rPr>
          <w:rFonts w:hint="eastAsia" w:ascii="宋体" w:hAnsi="宋体" w:cs="宋体"/>
          <w:b/>
          <w:bCs/>
          <w:color w:val="auto"/>
          <w:sz w:val="24"/>
          <w:szCs w:val="20"/>
          <w:highlight w:val="none"/>
        </w:rPr>
        <w:t>37.纪律与保密事项</w:t>
      </w:r>
      <w:bookmarkEnd w:id="425"/>
      <w:bookmarkEnd w:id="426"/>
      <w:bookmarkEnd w:id="427"/>
      <w:bookmarkEnd w:id="428"/>
    </w:p>
    <w:p w14:paraId="0520EF1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37.1凡参与磋商工作的有关人员均应自觉接受有关主管部门的监督，不得向他人透露可能影响公平竞争的有关磋商的其他情况。</w:t>
      </w:r>
    </w:p>
    <w:p w14:paraId="3D91558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37.2领取本磋商文件及其他相关资料者，应对文件进行保密，不得用作本次磋商以外的任何用途。由采购人向供应商提供的图纸、技术资料和所有其他资料，均视为保密资料，除非得到采购人的同意，不得向第三方透露。</w:t>
      </w:r>
    </w:p>
    <w:p w14:paraId="49779F8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37.3供应商不得与采购人串通磋商，不得向采购人或者磋商小组成员行贿谋取成交，不得以他人名义参与磋商或者以其他任何方式弄虚作假骗取参与磋商；供应商不得以任何方式干扰、影响评审工作。</w:t>
      </w:r>
    </w:p>
    <w:p w14:paraId="6BB3966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37.4供应商不得在磋商过程中互相串通、结盟、损害磋商的公正性和竞争性，或以任何方式影响其他供应商参与正当磋商。扰乱磋商市场，破坏公平竞争原则，如供应商在磋商过程中互相串通，一经查实，将取消磋商资格。</w:t>
      </w:r>
    </w:p>
    <w:p w14:paraId="0E6BAC2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37.5 磋商之日起直至授予成交供应商合同为止，凡属于对投标文件的审查、澄清、评价、比较有关的资料和成交人的推荐情况及与评审有关的其他任何情况均严格保密。</w:t>
      </w:r>
    </w:p>
    <w:p w14:paraId="7F9EB85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37.6除供应商被要求对投标文件进行澄清外，从磋商之时起至授予合同期间，供应商不得就与其投标文件有关的事项主动与磋商小组、招标代理机构以及采购人联系。</w:t>
      </w:r>
    </w:p>
    <w:p w14:paraId="477D44B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37.7成交供应商确定后，采购人不对未成交供应商就评审过程及未能成交原因作出任何解释，未成交供应商不得向磋商小组或其他有关人员询问评审过程的情况和索取评审过程的资料。</w:t>
      </w:r>
    </w:p>
    <w:p w14:paraId="2EF72F9B">
      <w:pPr>
        <w:pStyle w:val="35"/>
        <w:ind w:firstLine="400"/>
        <w:rPr>
          <w:rFonts w:hint="eastAsia" w:ascii="宋体" w:hAnsi="宋体" w:cs="宋体"/>
          <w:color w:val="auto"/>
          <w:highlight w:val="none"/>
        </w:rPr>
      </w:pPr>
    </w:p>
    <w:bookmarkEnd w:id="339"/>
    <w:p w14:paraId="7A2D3114">
      <w:pPr>
        <w:pStyle w:val="16"/>
        <w:spacing w:line="360" w:lineRule="auto"/>
        <w:jc w:val="center"/>
        <w:outlineLvl w:val="1"/>
        <w:rPr>
          <w:rFonts w:hint="eastAsia" w:hAnsi="宋体" w:cs="宋体"/>
          <w:b/>
          <w:bCs/>
          <w:color w:val="auto"/>
          <w:sz w:val="32"/>
          <w:szCs w:val="32"/>
          <w:highlight w:val="none"/>
        </w:rPr>
      </w:pPr>
      <w:bookmarkStart w:id="429" w:name="_Toc31251"/>
      <w:bookmarkStart w:id="430" w:name="_Toc29115"/>
      <w:bookmarkStart w:id="431" w:name="_Toc3164"/>
      <w:bookmarkStart w:id="432" w:name="_Toc3952"/>
      <w:bookmarkStart w:id="433" w:name="_Toc24551"/>
      <w:r>
        <w:rPr>
          <w:rFonts w:hint="eastAsia" w:hAnsi="宋体" w:cs="宋体"/>
          <w:b/>
          <w:bCs/>
          <w:color w:val="auto"/>
          <w:sz w:val="32"/>
          <w:szCs w:val="32"/>
          <w:highlight w:val="none"/>
        </w:rPr>
        <w:t>六、授予合同</w:t>
      </w:r>
      <w:bookmarkEnd w:id="429"/>
      <w:bookmarkEnd w:id="430"/>
      <w:bookmarkEnd w:id="431"/>
      <w:bookmarkEnd w:id="432"/>
      <w:bookmarkEnd w:id="433"/>
      <w:bookmarkStart w:id="434" w:name="_Toc245897315"/>
      <w:bookmarkStart w:id="435" w:name="_Toc233274853"/>
      <w:bookmarkStart w:id="436" w:name="_Toc243907618"/>
      <w:bookmarkStart w:id="437" w:name="_Toc243906355"/>
    </w:p>
    <w:bookmarkEnd w:id="434"/>
    <w:bookmarkEnd w:id="435"/>
    <w:bookmarkEnd w:id="436"/>
    <w:bookmarkEnd w:id="437"/>
    <w:p w14:paraId="17C27D1B">
      <w:pPr>
        <w:pStyle w:val="16"/>
        <w:spacing w:line="360" w:lineRule="auto"/>
        <w:ind w:firstLine="482" w:firstLineChars="200"/>
        <w:outlineLvl w:val="2"/>
        <w:rPr>
          <w:rFonts w:hint="eastAsia" w:hAnsi="宋体" w:cs="宋体"/>
          <w:b/>
          <w:bCs/>
          <w:color w:val="auto"/>
          <w:sz w:val="24"/>
          <w:szCs w:val="24"/>
          <w:highlight w:val="none"/>
        </w:rPr>
      </w:pPr>
      <w:bookmarkStart w:id="438" w:name="_Toc134"/>
      <w:bookmarkStart w:id="439" w:name="_Toc32049"/>
      <w:bookmarkStart w:id="440" w:name="_Toc22628"/>
      <w:bookmarkStart w:id="441" w:name="_Toc353"/>
      <w:bookmarkStart w:id="442" w:name="_Toc15819"/>
      <w:r>
        <w:rPr>
          <w:rFonts w:hint="eastAsia" w:hAnsi="宋体" w:cs="宋体"/>
          <w:b/>
          <w:bCs/>
          <w:color w:val="auto"/>
          <w:sz w:val="24"/>
          <w:szCs w:val="24"/>
          <w:highlight w:val="none"/>
        </w:rPr>
        <w:t>38、授予合同标准</w:t>
      </w:r>
      <w:bookmarkEnd w:id="438"/>
      <w:bookmarkEnd w:id="439"/>
      <w:bookmarkEnd w:id="440"/>
      <w:bookmarkEnd w:id="441"/>
    </w:p>
    <w:p w14:paraId="069F7DBE">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38.1本招标项目的招标合同将授予按本须知第36.1条所确定的中标人。</w:t>
      </w:r>
    </w:p>
    <w:p w14:paraId="5E62B907">
      <w:pPr>
        <w:pStyle w:val="16"/>
        <w:spacing w:line="360" w:lineRule="auto"/>
        <w:ind w:firstLine="482" w:firstLineChars="200"/>
        <w:outlineLvl w:val="2"/>
        <w:rPr>
          <w:rFonts w:hint="eastAsia" w:hAnsi="宋体" w:cs="宋体"/>
          <w:b/>
          <w:bCs/>
          <w:color w:val="auto"/>
          <w:sz w:val="24"/>
          <w:szCs w:val="24"/>
          <w:highlight w:val="none"/>
        </w:rPr>
      </w:pPr>
      <w:bookmarkStart w:id="443" w:name="_Toc21383"/>
      <w:bookmarkStart w:id="444" w:name="_Toc31389"/>
      <w:bookmarkStart w:id="445" w:name="_Toc20338"/>
      <w:bookmarkStart w:id="446" w:name="_Toc26924"/>
      <w:r>
        <w:rPr>
          <w:rFonts w:hint="eastAsia" w:hAnsi="宋体" w:cs="宋体"/>
          <w:b/>
          <w:bCs/>
          <w:color w:val="auto"/>
          <w:sz w:val="24"/>
          <w:szCs w:val="24"/>
          <w:highlight w:val="none"/>
        </w:rPr>
        <w:t>39、签订合同</w:t>
      </w:r>
      <w:bookmarkEnd w:id="443"/>
      <w:bookmarkEnd w:id="444"/>
      <w:bookmarkEnd w:id="445"/>
      <w:bookmarkEnd w:id="446"/>
    </w:p>
    <w:p w14:paraId="7777E2A4">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39.1中标人应当</w:t>
      </w:r>
      <w:r>
        <w:rPr>
          <w:rFonts w:hint="eastAsia" w:hAnsi="宋体" w:cs="宋体"/>
          <w:color w:val="auto"/>
          <w:kern w:val="2"/>
          <w:sz w:val="24"/>
          <w:szCs w:val="24"/>
          <w:highlight w:val="none"/>
        </w:rPr>
        <w:t>自成交通知书</w:t>
      </w:r>
      <w:r>
        <w:rPr>
          <w:rFonts w:hint="eastAsia" w:hAnsi="宋体" w:cs="宋体"/>
          <w:color w:val="auto"/>
          <w:sz w:val="24"/>
          <w:szCs w:val="24"/>
          <w:highlight w:val="none"/>
        </w:rPr>
        <w:t>发出之日起</w:t>
      </w:r>
      <w:r>
        <w:rPr>
          <w:rFonts w:hint="eastAsia" w:hAnsi="宋体" w:cs="宋体"/>
          <w:color w:val="auto"/>
          <w:kern w:val="2"/>
          <w:sz w:val="24"/>
          <w:szCs w:val="24"/>
          <w:highlight w:val="none"/>
        </w:rPr>
        <w:t>三十日</w:t>
      </w:r>
      <w:r>
        <w:rPr>
          <w:rFonts w:hint="eastAsia" w:hAnsi="宋体" w:cs="宋体"/>
          <w:color w:val="auto"/>
          <w:sz w:val="24"/>
          <w:szCs w:val="24"/>
          <w:highlight w:val="none"/>
        </w:rPr>
        <w:t>内，按照磋商文件和中标人的响应文件订立</w:t>
      </w:r>
      <w:r>
        <w:rPr>
          <w:rFonts w:hint="eastAsia" w:hAnsi="宋体" w:cs="宋体"/>
          <w:color w:val="auto"/>
          <w:kern w:val="2"/>
          <w:sz w:val="24"/>
          <w:szCs w:val="24"/>
          <w:highlight w:val="none"/>
        </w:rPr>
        <w:t>书面合同，</w:t>
      </w:r>
      <w:r>
        <w:rPr>
          <w:rFonts w:hint="eastAsia" w:hAnsi="宋体" w:cs="宋体"/>
          <w:color w:val="auto"/>
          <w:sz w:val="24"/>
          <w:szCs w:val="24"/>
          <w:highlight w:val="none"/>
        </w:rPr>
        <w:t>中标人不得要求订立背离本响应文件合同条款等响应文件实质性内容的其他协议。</w:t>
      </w:r>
    </w:p>
    <w:p w14:paraId="19D0188B">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39.2中标通知书、中标人的响应文件及其澄清文件、技术规范及标准、项目采购需求、本磋商文件（含修改文件或补充文件）及答疑纪要等，均为</w:t>
      </w:r>
      <w:r>
        <w:rPr>
          <w:rFonts w:hint="eastAsia" w:hAnsi="宋体" w:cs="宋体"/>
          <w:color w:val="auto"/>
          <w:kern w:val="2"/>
          <w:sz w:val="24"/>
          <w:szCs w:val="24"/>
          <w:highlight w:val="none"/>
        </w:rPr>
        <w:t>签订合同的依据</w:t>
      </w:r>
      <w:r>
        <w:rPr>
          <w:rFonts w:hint="eastAsia" w:hAnsi="宋体" w:cs="宋体"/>
          <w:color w:val="auto"/>
          <w:sz w:val="24"/>
          <w:szCs w:val="24"/>
          <w:highlight w:val="none"/>
        </w:rPr>
        <w:t>。</w:t>
      </w:r>
    </w:p>
    <w:p w14:paraId="4EA37FB3">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39.3采购人如不按本须知39.1条规定与中标人签订合同，或者采购人、中标人签订背离合同实质性内容的协议，由监督管理部门责令其改正。</w:t>
      </w:r>
    </w:p>
    <w:p w14:paraId="5588D22A">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39.4中标人如不按本须知39.1条规定与采购人签订合同，则按违约处理，采购人将有权取消中标人资格，给采购人造成损失，还应当予以赔偿，同时依法承担相应的法律责任。</w:t>
      </w:r>
    </w:p>
    <w:p w14:paraId="4877FB7D">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39.5中标人拒绝与采购人签订合同的，采购人可以按照评审报告推荐的中标候选人名单排序，确定下一名候选人为中标人，并组织重新选定的中标人和采购人签订合同，也可以重新开展政府采购活动。</w:t>
      </w:r>
    </w:p>
    <w:p w14:paraId="69C70684">
      <w:pPr>
        <w:spacing w:line="360" w:lineRule="auto"/>
        <w:ind w:firstLine="482" w:firstLineChars="200"/>
        <w:outlineLvl w:val="2"/>
        <w:rPr>
          <w:rFonts w:hint="eastAsia" w:ascii="宋体" w:hAnsi="宋体" w:cs="宋体"/>
          <w:b/>
          <w:bCs/>
          <w:color w:val="auto"/>
          <w:sz w:val="24"/>
          <w:highlight w:val="none"/>
        </w:rPr>
      </w:pPr>
      <w:bookmarkStart w:id="447" w:name="_Toc29350"/>
      <w:bookmarkStart w:id="448" w:name="_Toc5227"/>
      <w:bookmarkStart w:id="449" w:name="_Toc6615"/>
      <w:bookmarkStart w:id="450" w:name="_Toc8082"/>
      <w:r>
        <w:rPr>
          <w:rFonts w:hint="eastAsia" w:ascii="宋体" w:hAnsi="宋体" w:cs="宋体"/>
          <w:b/>
          <w:bCs/>
          <w:color w:val="auto"/>
          <w:sz w:val="24"/>
          <w:highlight w:val="none"/>
        </w:rPr>
        <w:t>40、合同的签订准则</w:t>
      </w:r>
      <w:bookmarkEnd w:id="447"/>
      <w:bookmarkEnd w:id="448"/>
      <w:bookmarkEnd w:id="449"/>
      <w:bookmarkEnd w:id="450"/>
    </w:p>
    <w:p w14:paraId="1731B9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40.1合同签订必须由采购人、中标人双方法定代表人或其委托代理人签署并加盖法人公章后方能生效。</w:t>
      </w:r>
    </w:p>
    <w:p w14:paraId="682E19E1">
      <w:pPr>
        <w:spacing w:line="360" w:lineRule="auto"/>
        <w:ind w:firstLine="480" w:firstLineChars="200"/>
        <w:outlineLvl w:val="3"/>
        <w:rPr>
          <w:rFonts w:hint="eastAsia" w:ascii="宋体" w:hAnsi="宋体" w:cs="宋体"/>
          <w:color w:val="auto"/>
          <w:sz w:val="24"/>
          <w:highlight w:val="none"/>
        </w:rPr>
      </w:pPr>
      <w:r>
        <w:rPr>
          <w:rFonts w:hint="eastAsia" w:ascii="宋体" w:hAnsi="宋体" w:cs="宋体"/>
          <w:color w:val="auto"/>
          <w:sz w:val="24"/>
          <w:highlight w:val="none"/>
        </w:rPr>
        <w:t>40.2合同转包（实质性要求）</w:t>
      </w:r>
    </w:p>
    <w:p w14:paraId="0F18E39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招标项目严禁中标人将任何政府招标合同义务转包。本项目所称转包，是指中标供应商将招标合同义务转让给第三人，并退出现有招标合同当事人双方的权利义务关系，受让人（即第三人）成为招标合同的另一方当事人的行为。</w:t>
      </w:r>
    </w:p>
    <w:p w14:paraId="7823942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中标供应商转包的，视同拒绝履行招标合同义务，将依法追究法律责任。</w:t>
      </w:r>
    </w:p>
    <w:p w14:paraId="6E94B926">
      <w:pPr>
        <w:spacing w:line="360" w:lineRule="auto"/>
        <w:ind w:firstLine="361" w:firstLineChars="150"/>
        <w:outlineLvl w:val="2"/>
        <w:rPr>
          <w:rFonts w:hint="eastAsia" w:ascii="宋体" w:hAnsi="宋体" w:cs="宋体"/>
          <w:b/>
          <w:bCs/>
          <w:color w:val="auto"/>
          <w:sz w:val="24"/>
          <w:highlight w:val="none"/>
        </w:rPr>
      </w:pPr>
      <w:bookmarkStart w:id="451" w:name="_Toc11652"/>
      <w:bookmarkStart w:id="452" w:name="_Toc29943"/>
      <w:bookmarkStart w:id="453" w:name="_Toc16614"/>
      <w:bookmarkStart w:id="454" w:name="_Toc282"/>
      <w:r>
        <w:rPr>
          <w:rFonts w:hint="eastAsia" w:ascii="宋体" w:hAnsi="宋体" w:cs="宋体"/>
          <w:b/>
          <w:bCs/>
          <w:color w:val="auto"/>
          <w:sz w:val="24"/>
          <w:highlight w:val="none"/>
        </w:rPr>
        <w:t>41、验收</w:t>
      </w:r>
      <w:bookmarkEnd w:id="451"/>
      <w:bookmarkEnd w:id="452"/>
      <w:bookmarkEnd w:id="453"/>
      <w:bookmarkEnd w:id="454"/>
    </w:p>
    <w:p w14:paraId="4462686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41.1本项目采购人将严格按照《财政部关于进一步加强政府采购需求和履约验收管理的指导意见》（财库〔2016〕205号）和《政府采购需求管理办法》（财库〔2021〕22号）以及政府采购相关法律法规的要求进行验收。</w:t>
      </w:r>
    </w:p>
    <w:p w14:paraId="4C3F4626">
      <w:pPr>
        <w:spacing w:line="360" w:lineRule="auto"/>
        <w:ind w:firstLine="360" w:firstLineChars="150"/>
        <w:jc w:val="left"/>
        <w:rPr>
          <w:rFonts w:hint="eastAsia" w:ascii="宋体" w:hAnsi="宋体" w:cs="宋体"/>
          <w:b/>
          <w:bCs/>
          <w:color w:val="auto"/>
          <w:kern w:val="0"/>
          <w:sz w:val="24"/>
          <w:highlight w:val="none"/>
        </w:rPr>
      </w:pPr>
      <w:r>
        <w:rPr>
          <w:rFonts w:hint="eastAsia" w:ascii="宋体" w:hAnsi="宋体" w:cs="宋体"/>
          <w:color w:val="auto"/>
          <w:sz w:val="24"/>
          <w:highlight w:val="none"/>
        </w:rPr>
        <w:t>法规依据是《财政部关于进一步加强政府采购需求和履约验收管理的指导意见》（财库〔2016〕205号）。</w:t>
      </w:r>
    </w:p>
    <w:bookmarkEnd w:id="442"/>
    <w:p w14:paraId="69CCD84A">
      <w:pPr>
        <w:snapToGrid w:val="0"/>
        <w:spacing w:line="360" w:lineRule="auto"/>
        <w:ind w:firstLine="482" w:firstLineChars="200"/>
        <w:jc w:val="center"/>
        <w:rPr>
          <w:rFonts w:hint="eastAsia" w:ascii="宋体" w:hAnsi="宋体" w:cs="宋体"/>
          <w:b/>
          <w:bCs/>
          <w:color w:val="auto"/>
          <w:kern w:val="0"/>
          <w:sz w:val="24"/>
          <w:highlight w:val="none"/>
        </w:rPr>
      </w:pPr>
    </w:p>
    <w:p w14:paraId="6E5E3909">
      <w:pPr>
        <w:pStyle w:val="35"/>
        <w:ind w:firstLine="400"/>
        <w:rPr>
          <w:rFonts w:hint="eastAsia" w:ascii="宋体" w:hAnsi="宋体" w:cs="宋体"/>
          <w:color w:val="auto"/>
          <w:highlight w:val="none"/>
        </w:rPr>
      </w:pPr>
    </w:p>
    <w:p w14:paraId="245B768F">
      <w:pPr>
        <w:snapToGrid w:val="0"/>
        <w:spacing w:line="360" w:lineRule="auto"/>
        <w:jc w:val="center"/>
        <w:outlineLvl w:val="1"/>
        <w:rPr>
          <w:rFonts w:hint="eastAsia" w:ascii="宋体" w:hAnsi="宋体" w:cs="宋体"/>
          <w:b/>
          <w:bCs/>
          <w:color w:val="auto"/>
          <w:kern w:val="0"/>
          <w:sz w:val="32"/>
          <w:szCs w:val="32"/>
          <w:highlight w:val="none"/>
        </w:rPr>
      </w:pPr>
      <w:bookmarkStart w:id="455" w:name="_Toc14209"/>
      <w:bookmarkStart w:id="456" w:name="_Toc13090"/>
      <w:bookmarkStart w:id="457" w:name="_Toc29597"/>
      <w:bookmarkStart w:id="458" w:name="_Toc25157"/>
      <w:bookmarkStart w:id="459" w:name="_Toc4215"/>
      <w:r>
        <w:rPr>
          <w:rFonts w:hint="eastAsia" w:ascii="宋体" w:hAnsi="宋体" w:cs="宋体"/>
          <w:b/>
          <w:bCs/>
          <w:color w:val="auto"/>
          <w:kern w:val="0"/>
          <w:sz w:val="32"/>
          <w:szCs w:val="32"/>
          <w:highlight w:val="none"/>
        </w:rPr>
        <w:t>七、  询问、质疑、投诉</w:t>
      </w:r>
      <w:bookmarkEnd w:id="455"/>
      <w:bookmarkEnd w:id="456"/>
      <w:bookmarkEnd w:id="457"/>
      <w:bookmarkEnd w:id="458"/>
      <w:bookmarkEnd w:id="459"/>
    </w:p>
    <w:p w14:paraId="5F58D36A">
      <w:pPr>
        <w:spacing w:line="360" w:lineRule="auto"/>
        <w:ind w:firstLine="482" w:firstLineChars="200"/>
        <w:jc w:val="left"/>
        <w:outlineLvl w:val="2"/>
        <w:rPr>
          <w:rFonts w:hint="eastAsia" w:ascii="宋体" w:hAnsi="宋体" w:cs="宋体"/>
          <w:b/>
          <w:bCs/>
          <w:color w:val="auto"/>
          <w:sz w:val="24"/>
          <w:highlight w:val="none"/>
        </w:rPr>
      </w:pPr>
      <w:bookmarkStart w:id="460" w:name="_Toc18005"/>
      <w:bookmarkStart w:id="461" w:name="_Toc19877"/>
      <w:bookmarkStart w:id="462" w:name="_Toc17500"/>
      <w:bookmarkStart w:id="463" w:name="_Toc4744"/>
      <w:r>
        <w:rPr>
          <w:rFonts w:hint="eastAsia" w:ascii="宋体" w:hAnsi="宋体" w:cs="宋体"/>
          <w:b/>
          <w:bCs/>
          <w:color w:val="auto"/>
          <w:sz w:val="24"/>
          <w:highlight w:val="none"/>
        </w:rPr>
        <w:t>42、询问</w:t>
      </w:r>
      <w:bookmarkEnd w:id="460"/>
      <w:bookmarkEnd w:id="461"/>
      <w:bookmarkEnd w:id="462"/>
      <w:bookmarkEnd w:id="463"/>
    </w:p>
    <w:p w14:paraId="745679B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42.1供应商对招标活动事项有疑问的，可以向采购人或采购代理机构提出询问，采购人或采购代理机构应当在三个工作日内对供应商依法提出的询问作出答复，但答复的内容不得涉及商业秘密。</w:t>
      </w:r>
    </w:p>
    <w:p w14:paraId="31EEC9E1">
      <w:pPr>
        <w:spacing w:line="360" w:lineRule="auto"/>
        <w:ind w:firstLine="482" w:firstLineChars="200"/>
        <w:outlineLvl w:val="2"/>
        <w:rPr>
          <w:rFonts w:hint="eastAsia" w:ascii="宋体" w:hAnsi="宋体" w:cs="宋体"/>
          <w:b/>
          <w:bCs/>
          <w:color w:val="auto"/>
          <w:sz w:val="24"/>
          <w:highlight w:val="none"/>
        </w:rPr>
      </w:pPr>
      <w:bookmarkStart w:id="464" w:name="_Toc18695"/>
      <w:bookmarkStart w:id="465" w:name="_Toc9089"/>
      <w:bookmarkStart w:id="466" w:name="_Toc30386"/>
      <w:bookmarkStart w:id="467" w:name="_Toc26871"/>
      <w:r>
        <w:rPr>
          <w:rFonts w:hint="eastAsia" w:ascii="宋体" w:hAnsi="宋体" w:cs="宋体"/>
          <w:b/>
          <w:bCs/>
          <w:color w:val="auto"/>
          <w:sz w:val="24"/>
          <w:highlight w:val="none"/>
        </w:rPr>
        <w:t>43、质疑</w:t>
      </w:r>
      <w:bookmarkEnd w:id="464"/>
      <w:bookmarkEnd w:id="465"/>
      <w:bookmarkEnd w:id="466"/>
      <w:bookmarkEnd w:id="467"/>
    </w:p>
    <w:p w14:paraId="7B12383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43.1供应商认为采购文件、招标过程和中标、成交结果使自己的合法权益受到损害的，可以在知道或者应知其权益受到损害之日起七个工作日内，将质疑文件原件和必要的证明材料送达采购代理机构。</w:t>
      </w:r>
    </w:p>
    <w:p w14:paraId="3241A25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43.2供应商如对采购文件技术指标、参数、评分标准有质疑，向采购人提出，由采购人按相关规定作出答复或委托采购代理机构代为答复。供应商如对招标过程和招标结果有质疑，向采购代理机构提出，由采购代理机构按相关规定作出答复。</w:t>
      </w:r>
    </w:p>
    <w:p w14:paraId="31401204">
      <w:pPr>
        <w:spacing w:line="360" w:lineRule="auto"/>
        <w:ind w:firstLine="480" w:firstLineChars="200"/>
        <w:outlineLvl w:val="3"/>
        <w:rPr>
          <w:rFonts w:hint="eastAsia" w:ascii="宋体" w:hAnsi="宋体" w:cs="宋体"/>
          <w:color w:val="auto"/>
          <w:sz w:val="24"/>
          <w:highlight w:val="none"/>
        </w:rPr>
      </w:pPr>
      <w:r>
        <w:rPr>
          <w:rFonts w:hint="eastAsia" w:ascii="宋体" w:hAnsi="宋体" w:cs="宋体"/>
          <w:color w:val="auto"/>
          <w:sz w:val="24"/>
          <w:highlight w:val="none"/>
        </w:rPr>
        <w:t xml:space="preserve">43.3上述应知其权益受到损害之日是指： </w:t>
      </w:r>
    </w:p>
    <w:p w14:paraId="32052D9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（1）对采购文件提出质疑的，为采购文件公告期限届满之日起计算； </w:t>
      </w:r>
    </w:p>
    <w:p w14:paraId="62C429EF">
      <w:pPr>
        <w:spacing w:line="360" w:lineRule="auto"/>
        <w:ind w:firstLine="480" w:firstLineChars="200"/>
        <w:outlineLvl w:val="4"/>
        <w:rPr>
          <w:rFonts w:hint="eastAsia" w:ascii="宋体" w:hAnsi="宋体" w:cs="宋体"/>
          <w:color w:val="auto"/>
          <w:sz w:val="24"/>
          <w:highlight w:val="none"/>
        </w:rPr>
      </w:pPr>
      <w:r>
        <w:rPr>
          <w:rFonts w:hint="eastAsia" w:ascii="宋体" w:hAnsi="宋体" w:cs="宋体"/>
          <w:color w:val="auto"/>
          <w:sz w:val="24"/>
          <w:highlight w:val="none"/>
        </w:rPr>
        <w:t>（2）对招标过程提出质疑的，自招标程序环节结束之日起计算；</w:t>
      </w:r>
    </w:p>
    <w:p w14:paraId="68E388B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（3）对中标或者成交结果提出质疑的，自中标或者成交结果公告期限届满之日起计算。</w:t>
      </w:r>
    </w:p>
    <w:p w14:paraId="6614477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43.4质疑供应商在法定质疑期内应当一次性提出针对同一招标环节提出质疑。</w:t>
      </w:r>
    </w:p>
    <w:p w14:paraId="5C238FD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43.5质疑文件应包括以下主要内容，并按照“谁主张、谁举证”的原则，附上相关证明材料。否则，采购代理机构不予受理【财政部发布了《政府采购投标人质疑函范本》和《政府采购投标人投诉书范本》，两范本指供应商提出质疑、投诉人提起投诉时，应提交的质疑函、投诉书和必要的证明材料（下载路径：中国政府采购网→下载专区）】：</w:t>
      </w:r>
    </w:p>
    <w:p w14:paraId="638690F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（1）供应商的姓名或者名称、地址、邮编、联系人及联系电话（包括座机、手机、传真号码等）； </w:t>
      </w:r>
    </w:p>
    <w:p w14:paraId="69A3AB3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（2）质疑项目的名称、项目编号、包号、招标公告发布时间、递交投标文件或响应文件截止时间； </w:t>
      </w:r>
    </w:p>
    <w:p w14:paraId="790D6410">
      <w:pPr>
        <w:spacing w:line="360" w:lineRule="auto"/>
        <w:ind w:firstLine="480" w:firstLineChars="200"/>
        <w:outlineLvl w:val="4"/>
        <w:rPr>
          <w:rFonts w:hint="eastAsia" w:ascii="宋体" w:hAnsi="宋体" w:cs="宋体"/>
          <w:color w:val="auto"/>
          <w:sz w:val="24"/>
          <w:highlight w:val="none"/>
        </w:rPr>
      </w:pPr>
      <w:r>
        <w:rPr>
          <w:rFonts w:hint="eastAsia" w:ascii="宋体" w:hAnsi="宋体" w:cs="宋体"/>
          <w:color w:val="auto"/>
          <w:sz w:val="24"/>
          <w:highlight w:val="none"/>
        </w:rPr>
        <w:t>（3）具体、明确的质疑事项和与质疑事项相关的请求；</w:t>
      </w:r>
    </w:p>
    <w:p w14:paraId="5941911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（4）事实依据（具体条款，认为自己合法权益受到损害或可能受到损害的相关证据材料。如涉及产品功能或技术指标的，应出具相关制造商的证明文件）；</w:t>
      </w:r>
    </w:p>
    <w:p w14:paraId="6364558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（5）必要的法律依据；</w:t>
      </w:r>
    </w:p>
    <w:p w14:paraId="459C707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（6）提起质疑的日期；</w:t>
      </w:r>
    </w:p>
    <w:p w14:paraId="243F8F5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（7）质疑文件应当署名，质疑人为自然人的，应当由本人签字并附有效身份证明；质疑人为法人或其他组织的，应当由法定代表人签字并加盖单位公章；</w:t>
      </w:r>
    </w:p>
    <w:p w14:paraId="777AAB9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（8）供应商委托代理质疑的，应当提交授权委托书，并载明代理人的姓名或者名称、代理事项、具体权限、期限和相关事项。</w:t>
      </w:r>
    </w:p>
    <w:p w14:paraId="172DADA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43.6质疑供应商是指直接参加本项目招标活动的供应商，未参加政府招标活动的供应商或在招标活动中自身权益未受到损害的供应商所提出的质疑不予受理。</w:t>
      </w:r>
    </w:p>
    <w:p w14:paraId="4C4A128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43.7采购人、采购代理机构在收到供应商的书面质疑后将及时组织调查核实，在七个工作日内作出答复，并以书面形式通知质疑供应商和其他有关供应商，答复的内容不涉及商业秘密。</w:t>
      </w:r>
    </w:p>
    <w:p w14:paraId="74E50898">
      <w:pPr>
        <w:spacing w:line="360" w:lineRule="auto"/>
        <w:ind w:firstLine="482" w:firstLineChars="200"/>
        <w:outlineLvl w:val="2"/>
        <w:rPr>
          <w:rFonts w:hint="eastAsia" w:ascii="宋体" w:hAnsi="宋体" w:cs="宋体"/>
          <w:b/>
          <w:bCs/>
          <w:color w:val="auto"/>
          <w:sz w:val="24"/>
          <w:highlight w:val="none"/>
        </w:rPr>
      </w:pPr>
      <w:bookmarkStart w:id="468" w:name="_Toc19495"/>
      <w:bookmarkStart w:id="469" w:name="_Toc2098"/>
      <w:bookmarkStart w:id="470" w:name="_Toc28289"/>
      <w:bookmarkStart w:id="471" w:name="_Toc30401"/>
      <w:r>
        <w:rPr>
          <w:rFonts w:hint="eastAsia" w:ascii="宋体" w:hAnsi="宋体" w:cs="宋体"/>
          <w:b/>
          <w:bCs/>
          <w:color w:val="auto"/>
          <w:sz w:val="24"/>
          <w:highlight w:val="none"/>
        </w:rPr>
        <w:t>44、投诉</w:t>
      </w:r>
      <w:bookmarkEnd w:id="468"/>
      <w:bookmarkEnd w:id="469"/>
      <w:bookmarkEnd w:id="470"/>
      <w:bookmarkEnd w:id="471"/>
    </w:p>
    <w:p w14:paraId="571B75F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44.1 质疑供应商对采购人、采购代理机构的答复不满意，或采购人、采购代理机构未在规定的时间内作出答复的，可以在答复期满后十五个工作日内向招标项目同级财政部门提起投诉。</w:t>
      </w:r>
    </w:p>
    <w:p w14:paraId="540A20B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44.2 供应商投诉的事项不得超出已质疑事项的范围，但基于质疑答复内容提出的投诉事项除外。</w:t>
      </w:r>
    </w:p>
    <w:p w14:paraId="716215EE">
      <w:pPr>
        <w:spacing w:line="360" w:lineRule="auto"/>
        <w:ind w:firstLine="482" w:firstLineChars="200"/>
        <w:outlineLvl w:val="2"/>
        <w:rPr>
          <w:rFonts w:hint="eastAsia" w:ascii="宋体" w:hAnsi="宋体" w:cs="宋体"/>
          <w:b/>
          <w:bCs/>
          <w:color w:val="auto"/>
          <w:sz w:val="24"/>
          <w:highlight w:val="none"/>
        </w:rPr>
      </w:pPr>
      <w:bookmarkStart w:id="472" w:name="_Toc29800"/>
      <w:bookmarkStart w:id="473" w:name="_Toc29118"/>
      <w:bookmarkStart w:id="474" w:name="_Toc2548"/>
      <w:bookmarkStart w:id="475" w:name="_Toc5136"/>
      <w:r>
        <w:rPr>
          <w:rFonts w:hint="eastAsia" w:ascii="宋体" w:hAnsi="宋体" w:cs="宋体"/>
          <w:b/>
          <w:bCs/>
          <w:color w:val="auto"/>
          <w:sz w:val="24"/>
          <w:highlight w:val="none"/>
        </w:rPr>
        <w:t>45、诚实信用</w:t>
      </w:r>
      <w:bookmarkEnd w:id="472"/>
      <w:bookmarkEnd w:id="473"/>
      <w:bookmarkEnd w:id="474"/>
      <w:bookmarkEnd w:id="475"/>
    </w:p>
    <w:p w14:paraId="597C853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45.1 供应商不得虚假质疑和恶意质疑，并对质疑内容的真实性承担责任。</w:t>
      </w:r>
    </w:p>
    <w:p w14:paraId="216C775D">
      <w:pPr>
        <w:snapToGrid w:val="0"/>
        <w:spacing w:line="360" w:lineRule="auto"/>
        <w:ind w:firstLine="480" w:firstLineChars="200"/>
        <w:outlineLvl w:val="3"/>
        <w:rPr>
          <w:rFonts w:hint="eastAsia" w:ascii="宋体" w:hAnsi="宋体" w:cs="宋体"/>
          <w:b/>
          <w:bCs/>
          <w:color w:val="auto"/>
          <w:kern w:val="0"/>
          <w:sz w:val="28"/>
          <w:szCs w:val="28"/>
          <w:highlight w:val="none"/>
        </w:rPr>
      </w:pPr>
      <w:bookmarkStart w:id="476" w:name="_Toc16583"/>
      <w:bookmarkStart w:id="477" w:name="_Toc7226"/>
      <w:bookmarkStart w:id="478" w:name="_Toc12476"/>
      <w:r>
        <w:rPr>
          <w:rFonts w:hint="eastAsia" w:ascii="宋体" w:hAnsi="宋体" w:cs="宋体"/>
          <w:color w:val="auto"/>
          <w:sz w:val="24"/>
          <w:highlight w:val="none"/>
        </w:rPr>
        <w:t>45.2 供应商不得虚假承诺，否则，按照提供虚假材料谋取中标或成交处理。</w:t>
      </w:r>
      <w:bookmarkEnd w:id="476"/>
      <w:bookmarkEnd w:id="477"/>
      <w:bookmarkEnd w:id="478"/>
      <w:bookmarkStart w:id="479" w:name="_Toc7840"/>
      <w:bookmarkStart w:id="480" w:name="_Toc3132"/>
    </w:p>
    <w:p w14:paraId="30F381B2">
      <w:pPr>
        <w:snapToGrid w:val="0"/>
        <w:spacing w:line="360" w:lineRule="auto"/>
        <w:ind w:firstLine="562" w:firstLineChars="200"/>
        <w:jc w:val="center"/>
        <w:outlineLvl w:val="1"/>
        <w:rPr>
          <w:rFonts w:hint="eastAsia" w:ascii="宋体" w:hAnsi="宋体" w:cs="宋体"/>
          <w:b/>
          <w:bCs/>
          <w:color w:val="auto"/>
          <w:kern w:val="0"/>
          <w:sz w:val="28"/>
          <w:szCs w:val="28"/>
          <w:highlight w:val="none"/>
        </w:rPr>
      </w:pPr>
      <w:bookmarkStart w:id="481" w:name="_Toc2157"/>
      <w:bookmarkStart w:id="482" w:name="_Toc27214"/>
      <w:bookmarkStart w:id="483" w:name="_Toc17104"/>
    </w:p>
    <w:p w14:paraId="3897811B">
      <w:pPr>
        <w:snapToGrid w:val="0"/>
        <w:spacing w:line="360" w:lineRule="auto"/>
        <w:jc w:val="center"/>
        <w:outlineLvl w:val="1"/>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八、  义务、工作纪律</w:t>
      </w:r>
      <w:bookmarkEnd w:id="479"/>
      <w:bookmarkEnd w:id="480"/>
      <w:bookmarkEnd w:id="481"/>
      <w:bookmarkEnd w:id="482"/>
      <w:bookmarkEnd w:id="483"/>
    </w:p>
    <w:p w14:paraId="69CAAA3E">
      <w:pPr>
        <w:tabs>
          <w:tab w:val="left" w:pos="7665"/>
        </w:tabs>
        <w:spacing w:line="360" w:lineRule="auto"/>
        <w:ind w:firstLine="482" w:firstLineChars="200"/>
        <w:outlineLvl w:val="2"/>
        <w:rPr>
          <w:rFonts w:hint="eastAsia" w:ascii="宋体" w:hAnsi="宋体" w:cs="宋体"/>
          <w:b/>
          <w:bCs/>
          <w:color w:val="auto"/>
          <w:sz w:val="24"/>
          <w:highlight w:val="none"/>
        </w:rPr>
      </w:pPr>
      <w:bookmarkStart w:id="484" w:name="_Toc7032"/>
      <w:bookmarkStart w:id="485" w:name="_Toc22487"/>
      <w:bookmarkStart w:id="486" w:name="_Toc12479"/>
      <w:bookmarkStart w:id="487" w:name="_Toc24974"/>
      <w:r>
        <w:rPr>
          <w:rFonts w:hint="eastAsia" w:ascii="宋体" w:hAnsi="宋体" w:cs="宋体"/>
          <w:b/>
          <w:bCs/>
          <w:color w:val="auto"/>
          <w:sz w:val="24"/>
          <w:highlight w:val="none"/>
        </w:rPr>
        <w:t>46、磋商小组义务</w:t>
      </w:r>
      <w:bookmarkEnd w:id="484"/>
      <w:bookmarkEnd w:id="485"/>
      <w:bookmarkEnd w:id="486"/>
      <w:bookmarkEnd w:id="487"/>
    </w:p>
    <w:p w14:paraId="102D71E0">
      <w:pPr>
        <w:tabs>
          <w:tab w:val="left" w:pos="7665"/>
        </w:tabs>
        <w:spacing w:line="360" w:lineRule="auto"/>
        <w:ind w:firstLine="480" w:firstLineChars="200"/>
        <w:outlineLvl w:val="3"/>
        <w:rPr>
          <w:rFonts w:hint="eastAsia" w:ascii="宋体" w:hAnsi="宋体" w:cs="宋体"/>
          <w:color w:val="auto"/>
          <w:sz w:val="24"/>
          <w:highlight w:val="none"/>
        </w:rPr>
      </w:pPr>
      <w:r>
        <w:rPr>
          <w:rFonts w:hint="eastAsia" w:ascii="宋体" w:hAnsi="宋体" w:cs="宋体"/>
          <w:color w:val="auto"/>
          <w:sz w:val="24"/>
          <w:highlight w:val="none"/>
        </w:rPr>
        <w:t>（一）遵守评审工作纪律；</w:t>
      </w:r>
    </w:p>
    <w:p w14:paraId="616FD5A1">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（二）按照客观、公正、审慎的原则，根据磋商文件规定的评审程序、评审方法和评审标准进行独立评审；</w:t>
      </w:r>
    </w:p>
    <w:p w14:paraId="7FAB9250">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（三）不得泄露评审文件、评审情况和在评审过程中获悉的商业秘密；</w:t>
      </w:r>
    </w:p>
    <w:p w14:paraId="2E072D9C">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（四）及时向财政部门报告评审过程中发现的采购人、采购代理机构向评审专家做倾向性、误导性的解释或者说明，以及供应商行贿、提供虚假材料或者串通等违法行为；</w:t>
      </w:r>
    </w:p>
    <w:p w14:paraId="435CFE51">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（五）发现磋商文件内容违反国家有关强制性规定或者磋商文件存在歧义、重大缺陷导致评审工作无法进行时，停止评审并向采购人或者采购代理机构书面说明情况；</w:t>
      </w:r>
    </w:p>
    <w:p w14:paraId="5A446747">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（六）及时向财政、监察等部门举报在评审过程中受到非法干预的情况；</w:t>
      </w:r>
    </w:p>
    <w:p w14:paraId="65A4E630">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（七）配合答复处理供应商的询问、质疑和投诉等事项；</w:t>
      </w:r>
    </w:p>
    <w:p w14:paraId="61C3C003">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（八）法律法规和规章规定的其他义务。</w:t>
      </w:r>
    </w:p>
    <w:p w14:paraId="7F934175">
      <w:pPr>
        <w:tabs>
          <w:tab w:val="left" w:pos="7665"/>
        </w:tabs>
        <w:spacing w:line="360" w:lineRule="auto"/>
        <w:ind w:firstLine="482" w:firstLineChars="200"/>
        <w:outlineLvl w:val="2"/>
        <w:rPr>
          <w:rFonts w:hint="eastAsia" w:ascii="宋体" w:hAnsi="宋体" w:cs="宋体"/>
          <w:b/>
          <w:bCs/>
          <w:color w:val="auto"/>
          <w:sz w:val="24"/>
          <w:highlight w:val="none"/>
        </w:rPr>
      </w:pPr>
      <w:bookmarkStart w:id="488" w:name="_Toc108"/>
      <w:bookmarkStart w:id="489" w:name="_Toc301"/>
      <w:bookmarkStart w:id="490" w:name="_Toc15216"/>
      <w:bookmarkStart w:id="491" w:name="_Toc2604"/>
      <w:r>
        <w:rPr>
          <w:rFonts w:hint="eastAsia" w:ascii="宋体" w:hAnsi="宋体" w:cs="宋体"/>
          <w:b/>
          <w:bCs/>
          <w:color w:val="auto"/>
          <w:sz w:val="24"/>
          <w:highlight w:val="none"/>
        </w:rPr>
        <w:t>47、磋商小组工作纪律</w:t>
      </w:r>
      <w:bookmarkEnd w:id="488"/>
      <w:bookmarkEnd w:id="489"/>
      <w:bookmarkEnd w:id="490"/>
      <w:bookmarkEnd w:id="491"/>
    </w:p>
    <w:p w14:paraId="033CB125">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（一）不得参加具有《中华人民共和国政府采购法实施条例》第九条规定的利害关系情形的政府招标项目的评标活动。发现参加了与自己有利害关系的评审活动，须主动提出回避，退出评审；</w:t>
      </w:r>
    </w:p>
    <w:p w14:paraId="2F7AF603">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（二）评审前，应当将通讯工具或者相关电子设备交由采购代理机构统一保管；</w:t>
      </w:r>
    </w:p>
    <w:p w14:paraId="2CD3E567">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（三）评审过程中，不得与外界联系，因发生不可预见情况，确实需要与外界联系的，应当在监督人员监督之下办理；</w:t>
      </w:r>
    </w:p>
    <w:p w14:paraId="58B51F23">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0EB870BF">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（五）在评审过程中和评审结束后，不得记录、复制或带走任何评审资料，不得向外界透露评审内容；</w:t>
      </w:r>
    </w:p>
    <w:p w14:paraId="76F5DAC2">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（六）评审现场服从采购代理机构工作人员的管理，接受现场监督人员的合法监督；</w:t>
      </w:r>
    </w:p>
    <w:p w14:paraId="0835E6A4">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（七）遵守有关廉洁自律规定，不得私下接触供应商，不得收受供应商及有关业务单位和个人的财物或好处，不得接受采购代理机构的请托。</w:t>
      </w:r>
    </w:p>
    <w:p w14:paraId="5B4AE1F5">
      <w:pPr>
        <w:widowControl/>
        <w:spacing w:line="360" w:lineRule="auto"/>
        <w:ind w:firstLine="482" w:firstLineChars="200"/>
        <w:outlineLvl w:val="2"/>
        <w:rPr>
          <w:rFonts w:hint="eastAsia" w:ascii="宋体" w:hAnsi="宋体" w:cs="宋体"/>
          <w:b/>
          <w:bCs/>
          <w:color w:val="auto"/>
          <w:kern w:val="0"/>
          <w:sz w:val="24"/>
          <w:highlight w:val="none"/>
        </w:rPr>
      </w:pPr>
      <w:bookmarkStart w:id="492" w:name="_Toc23266"/>
      <w:r>
        <w:rPr>
          <w:rFonts w:hint="eastAsia" w:ascii="宋体" w:hAnsi="宋体" w:cs="宋体"/>
          <w:b/>
          <w:bCs/>
          <w:color w:val="auto"/>
          <w:kern w:val="0"/>
          <w:sz w:val="24"/>
          <w:highlight w:val="none"/>
        </w:rPr>
        <w:t>48、对采购人的纪律要求</w:t>
      </w:r>
      <w:bookmarkEnd w:id="492"/>
    </w:p>
    <w:p w14:paraId="721214E1">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采购人不得泄露招标投标活动中应当保密的情况和资料，不得与供应商串通损害国家利益、社会公共利益或者他人合法权益。</w:t>
      </w:r>
    </w:p>
    <w:p w14:paraId="663421DC">
      <w:pPr>
        <w:widowControl/>
        <w:spacing w:line="360" w:lineRule="auto"/>
        <w:ind w:firstLine="482" w:firstLineChars="200"/>
        <w:outlineLvl w:val="2"/>
        <w:rPr>
          <w:rFonts w:hint="eastAsia" w:ascii="宋体" w:hAnsi="宋体" w:cs="宋体"/>
          <w:b/>
          <w:bCs/>
          <w:color w:val="auto"/>
          <w:kern w:val="0"/>
          <w:sz w:val="24"/>
          <w:highlight w:val="none"/>
        </w:rPr>
      </w:pPr>
      <w:bookmarkStart w:id="493" w:name="_Toc17214"/>
      <w:r>
        <w:rPr>
          <w:rFonts w:hint="eastAsia" w:ascii="宋体" w:hAnsi="宋体" w:cs="宋体"/>
          <w:b/>
          <w:bCs/>
          <w:color w:val="auto"/>
          <w:kern w:val="0"/>
          <w:sz w:val="24"/>
          <w:highlight w:val="none"/>
        </w:rPr>
        <w:t>49、对评标委员会成员的纪律要求</w:t>
      </w:r>
      <w:bookmarkEnd w:id="493"/>
    </w:p>
    <w:p w14:paraId="17F25C66">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评标办法没有规定的评审因素和标准进行评标。</w:t>
      </w:r>
    </w:p>
    <w:p w14:paraId="72A065D7">
      <w:pPr>
        <w:widowControl/>
        <w:spacing w:line="360" w:lineRule="auto"/>
        <w:ind w:firstLine="482" w:firstLineChars="200"/>
        <w:outlineLvl w:val="2"/>
        <w:rPr>
          <w:rFonts w:hint="eastAsia" w:ascii="宋体" w:hAnsi="宋体" w:cs="宋体"/>
          <w:b/>
          <w:bCs/>
          <w:color w:val="auto"/>
          <w:kern w:val="0"/>
          <w:sz w:val="24"/>
          <w:highlight w:val="none"/>
        </w:rPr>
      </w:pPr>
      <w:bookmarkStart w:id="494" w:name="_Toc10212"/>
      <w:r>
        <w:rPr>
          <w:rFonts w:hint="eastAsia" w:ascii="宋体" w:hAnsi="宋体" w:cs="宋体"/>
          <w:b/>
          <w:bCs/>
          <w:color w:val="auto"/>
          <w:kern w:val="0"/>
          <w:sz w:val="24"/>
          <w:highlight w:val="none"/>
        </w:rPr>
        <w:t>50、对与评标活动有关的工作人员的纪律要求</w:t>
      </w:r>
      <w:bookmarkEnd w:id="494"/>
    </w:p>
    <w:p w14:paraId="70A8B6B6">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325358C1">
      <w:pPr>
        <w:widowControl/>
        <w:spacing w:line="360" w:lineRule="auto"/>
        <w:ind w:firstLine="482" w:firstLineChars="200"/>
        <w:outlineLvl w:val="2"/>
        <w:rPr>
          <w:rFonts w:hint="eastAsia" w:ascii="宋体" w:hAnsi="宋体" w:cs="宋体"/>
          <w:b/>
          <w:bCs/>
          <w:color w:val="auto"/>
          <w:kern w:val="0"/>
          <w:sz w:val="24"/>
          <w:highlight w:val="none"/>
        </w:rPr>
      </w:pPr>
      <w:bookmarkStart w:id="495" w:name="_Toc20978"/>
      <w:r>
        <w:rPr>
          <w:rFonts w:hint="eastAsia" w:ascii="宋体" w:hAnsi="宋体" w:cs="宋体"/>
          <w:b/>
          <w:bCs/>
          <w:color w:val="auto"/>
          <w:kern w:val="0"/>
          <w:sz w:val="24"/>
          <w:highlight w:val="none"/>
        </w:rPr>
        <w:t>51、监督</w:t>
      </w:r>
      <w:bookmarkEnd w:id="495"/>
    </w:p>
    <w:p w14:paraId="60188F0B">
      <w:pPr>
        <w:tabs>
          <w:tab w:val="left" w:pos="7665"/>
        </w:tabs>
        <w:spacing w:line="360" w:lineRule="auto"/>
        <w:ind w:firstLine="480" w:firstLineChars="200"/>
        <w:rPr>
          <w:rFonts w:hint="eastAsia" w:ascii="宋体" w:hAnsi="宋体" w:cs="宋体"/>
          <w:color w:val="auto"/>
          <w:highlight w:val="none"/>
        </w:rPr>
      </w:pPr>
      <w:r>
        <w:rPr>
          <w:rFonts w:hint="eastAsia" w:ascii="宋体" w:hAnsi="宋体" w:cs="宋体"/>
          <w:color w:val="auto"/>
          <w:kern w:val="0"/>
          <w:sz w:val="24"/>
          <w:highlight w:val="none"/>
        </w:rPr>
        <w:t>本项目的招标投标活动及其相关当事人应当接受有管辖权的监督部门依法实施的监督。</w:t>
      </w:r>
    </w:p>
    <w:p w14:paraId="0DD8785A">
      <w:pPr>
        <w:widowControl/>
        <w:tabs>
          <w:tab w:val="left" w:pos="7665"/>
        </w:tabs>
        <w:spacing w:line="360" w:lineRule="auto"/>
        <w:ind w:firstLine="482" w:firstLineChars="200"/>
        <w:outlineLvl w:val="2"/>
        <w:rPr>
          <w:rFonts w:hint="eastAsia" w:ascii="宋体" w:hAnsi="宋体" w:cs="宋体"/>
          <w:b/>
          <w:bCs/>
          <w:color w:val="auto"/>
          <w:kern w:val="0"/>
          <w:sz w:val="24"/>
          <w:highlight w:val="none"/>
        </w:rPr>
      </w:pPr>
      <w:bookmarkStart w:id="496" w:name="_Toc12334"/>
      <w:bookmarkStart w:id="497" w:name="_Toc32165"/>
      <w:bookmarkStart w:id="498" w:name="_Toc26261"/>
      <w:bookmarkStart w:id="499" w:name="_Toc27643"/>
      <w:bookmarkStart w:id="500" w:name="_Toc11876"/>
      <w:r>
        <w:rPr>
          <w:rFonts w:hint="eastAsia" w:ascii="宋体" w:hAnsi="宋体" w:cs="宋体"/>
          <w:b/>
          <w:bCs/>
          <w:color w:val="auto"/>
          <w:kern w:val="0"/>
          <w:sz w:val="24"/>
          <w:highlight w:val="none"/>
        </w:rPr>
        <w:t>52、费用</w:t>
      </w:r>
      <w:bookmarkEnd w:id="496"/>
      <w:bookmarkEnd w:id="497"/>
      <w:bookmarkEnd w:id="498"/>
    </w:p>
    <w:p w14:paraId="356367A4">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供应商自行支付参加本次采购活动的所有费用，这些费用包括但不限于现场考察、购买磋商采购文件、制作并递交响应文件、人员差旅费用等，在任何情况下，采购人和采购代理机构均无义务承担以上费用。</w:t>
      </w:r>
    </w:p>
    <w:p w14:paraId="324CCA98">
      <w:pPr>
        <w:widowControl/>
        <w:spacing w:line="360" w:lineRule="auto"/>
        <w:ind w:firstLine="482" w:firstLineChars="200"/>
        <w:outlineLvl w:val="2"/>
        <w:rPr>
          <w:rFonts w:hint="eastAsia" w:ascii="宋体" w:hAnsi="宋体" w:cs="宋体"/>
          <w:b/>
          <w:bCs/>
          <w:color w:val="auto"/>
          <w:kern w:val="0"/>
          <w:sz w:val="24"/>
          <w:highlight w:val="none"/>
        </w:rPr>
      </w:pPr>
      <w:bookmarkStart w:id="501" w:name="_Toc32420"/>
      <w:bookmarkStart w:id="502" w:name="_Toc20235"/>
      <w:bookmarkStart w:id="503" w:name="_Toc19214"/>
      <w:r>
        <w:rPr>
          <w:rFonts w:hint="eastAsia" w:ascii="宋体" w:hAnsi="宋体" w:cs="宋体"/>
          <w:b/>
          <w:bCs/>
          <w:color w:val="auto"/>
          <w:kern w:val="0"/>
          <w:sz w:val="24"/>
          <w:highlight w:val="none"/>
        </w:rPr>
        <w:t>53、采购文件的解释</w:t>
      </w:r>
      <w:bookmarkEnd w:id="501"/>
      <w:bookmarkEnd w:id="502"/>
      <w:bookmarkEnd w:id="503"/>
    </w:p>
    <w:p w14:paraId="5655C693">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本采购文件内容如果有前后不一致或矛盾之处，应以采购方的书面解释为准。</w:t>
      </w:r>
    </w:p>
    <w:p w14:paraId="686309D1">
      <w:pPr>
        <w:pStyle w:val="16"/>
        <w:adjustRightInd w:val="0"/>
        <w:snapToGrid w:val="0"/>
        <w:spacing w:line="400" w:lineRule="exact"/>
        <w:jc w:val="center"/>
        <w:outlineLvl w:val="0"/>
        <w:rPr>
          <w:rFonts w:hint="eastAsia" w:hAnsi="宋体" w:cs="宋体"/>
          <w:b/>
          <w:bCs/>
          <w:color w:val="auto"/>
          <w:kern w:val="2"/>
          <w:sz w:val="28"/>
          <w:szCs w:val="28"/>
          <w:highlight w:val="none"/>
        </w:rPr>
      </w:pPr>
    </w:p>
    <w:p w14:paraId="43765FCD">
      <w:pPr>
        <w:pStyle w:val="16"/>
        <w:adjustRightInd w:val="0"/>
        <w:snapToGrid w:val="0"/>
        <w:spacing w:line="400" w:lineRule="exact"/>
        <w:jc w:val="center"/>
        <w:outlineLvl w:val="0"/>
        <w:rPr>
          <w:rFonts w:hint="eastAsia" w:hAnsi="宋体" w:cs="宋体"/>
          <w:b/>
          <w:bCs/>
          <w:color w:val="auto"/>
          <w:kern w:val="2"/>
          <w:sz w:val="28"/>
          <w:szCs w:val="28"/>
          <w:highlight w:val="none"/>
        </w:rPr>
      </w:pPr>
    </w:p>
    <w:p w14:paraId="4BCD217A">
      <w:pPr>
        <w:pStyle w:val="16"/>
        <w:adjustRightInd w:val="0"/>
        <w:snapToGrid w:val="0"/>
        <w:spacing w:line="400" w:lineRule="exact"/>
        <w:jc w:val="center"/>
        <w:outlineLvl w:val="0"/>
        <w:rPr>
          <w:rFonts w:hint="eastAsia" w:hAnsi="宋体" w:cs="宋体"/>
          <w:b/>
          <w:bCs/>
          <w:color w:val="auto"/>
          <w:kern w:val="2"/>
          <w:sz w:val="28"/>
          <w:szCs w:val="28"/>
          <w:highlight w:val="none"/>
        </w:rPr>
      </w:pPr>
    </w:p>
    <w:p w14:paraId="134D8287">
      <w:pPr>
        <w:pStyle w:val="16"/>
        <w:adjustRightInd w:val="0"/>
        <w:snapToGrid w:val="0"/>
        <w:spacing w:line="400" w:lineRule="exact"/>
        <w:jc w:val="center"/>
        <w:outlineLvl w:val="0"/>
        <w:rPr>
          <w:rFonts w:hint="eastAsia" w:hAnsi="宋体" w:cs="宋体"/>
          <w:b/>
          <w:bCs/>
          <w:color w:val="auto"/>
          <w:kern w:val="2"/>
          <w:sz w:val="28"/>
          <w:szCs w:val="28"/>
          <w:highlight w:val="none"/>
        </w:rPr>
      </w:pPr>
    </w:p>
    <w:p w14:paraId="3F6A4783">
      <w:pPr>
        <w:pStyle w:val="16"/>
        <w:adjustRightInd w:val="0"/>
        <w:snapToGrid w:val="0"/>
        <w:spacing w:line="400" w:lineRule="exact"/>
        <w:jc w:val="center"/>
        <w:outlineLvl w:val="0"/>
        <w:rPr>
          <w:rFonts w:hint="eastAsia" w:hAnsi="宋体" w:cs="宋体"/>
          <w:b/>
          <w:bCs/>
          <w:color w:val="auto"/>
          <w:sz w:val="24"/>
          <w:szCs w:val="24"/>
          <w:highlight w:val="none"/>
        </w:rPr>
      </w:pPr>
      <w:r>
        <w:rPr>
          <w:rFonts w:hint="eastAsia" w:hAnsi="宋体" w:cs="宋体"/>
          <w:b/>
          <w:bCs/>
          <w:color w:val="auto"/>
          <w:kern w:val="2"/>
          <w:sz w:val="28"/>
          <w:szCs w:val="28"/>
          <w:highlight w:val="none"/>
        </w:rPr>
        <w:br w:type="page"/>
      </w:r>
      <w:bookmarkStart w:id="504" w:name="_Toc31606"/>
      <w:bookmarkStart w:id="505" w:name="_Toc28540"/>
      <w:bookmarkStart w:id="506" w:name="_Toc8489"/>
      <w:r>
        <w:rPr>
          <w:rFonts w:hint="eastAsia" w:hAnsi="宋体" w:cs="宋体"/>
          <w:b/>
          <w:bCs/>
          <w:color w:val="auto"/>
          <w:kern w:val="2"/>
          <w:sz w:val="32"/>
          <w:szCs w:val="32"/>
          <w:highlight w:val="none"/>
        </w:rPr>
        <w:t>第三章  项目采购需求</w:t>
      </w:r>
      <w:bookmarkEnd w:id="499"/>
      <w:bookmarkEnd w:id="500"/>
      <w:bookmarkEnd w:id="504"/>
      <w:bookmarkEnd w:id="505"/>
      <w:bookmarkEnd w:id="506"/>
    </w:p>
    <w:p w14:paraId="6F723C9A">
      <w:pPr>
        <w:spacing w:line="360" w:lineRule="auto"/>
        <w:ind w:firstLine="482" w:firstLineChars="200"/>
        <w:outlineLvl w:val="1"/>
        <w:rPr>
          <w:rFonts w:hint="eastAsia" w:ascii="宋体" w:hAnsi="宋体" w:cs="宋体"/>
          <w:b/>
          <w:bCs/>
          <w:color w:val="auto"/>
          <w:sz w:val="24"/>
          <w:highlight w:val="none"/>
        </w:rPr>
      </w:pPr>
      <w:bookmarkStart w:id="507" w:name="_Toc30105"/>
      <w:bookmarkStart w:id="508" w:name="_Toc22677"/>
      <w:bookmarkStart w:id="509" w:name="_Toc28209"/>
      <w:bookmarkStart w:id="510" w:name="_Toc22619"/>
      <w:bookmarkStart w:id="511" w:name="_Toc31272"/>
      <w:bookmarkStart w:id="512" w:name="_Toc8656"/>
      <w:r>
        <w:rPr>
          <w:rFonts w:hint="eastAsia" w:ascii="宋体" w:hAnsi="宋体" w:cs="宋体"/>
          <w:b/>
          <w:bCs/>
          <w:color w:val="auto"/>
          <w:sz w:val="24"/>
          <w:highlight w:val="none"/>
        </w:rPr>
        <w:t>一、总则</w:t>
      </w:r>
      <w:bookmarkEnd w:id="507"/>
      <w:bookmarkEnd w:id="508"/>
      <w:bookmarkEnd w:id="509"/>
      <w:bookmarkEnd w:id="510"/>
      <w:bookmarkEnd w:id="511"/>
      <w:bookmarkEnd w:id="512"/>
    </w:p>
    <w:p w14:paraId="1871CF0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1、本章条款仅限于：</w:t>
      </w:r>
      <w:r>
        <w:rPr>
          <w:rFonts w:hint="eastAsia" w:ascii="宋体" w:hAnsi="宋体" w:cs="宋体"/>
          <w:color w:val="auto"/>
          <w:sz w:val="24"/>
          <w:highlight w:val="none"/>
          <w:lang w:eastAsia="zh-CN"/>
        </w:rPr>
        <w:t>克拉玛依市独山子区农业和水务局2025年度独山子区兽医社会化服务采购项目</w:t>
      </w:r>
      <w:r>
        <w:rPr>
          <w:rFonts w:hint="eastAsia" w:ascii="宋体" w:hAnsi="宋体" w:cs="宋体"/>
          <w:color w:val="auto"/>
          <w:sz w:val="24"/>
          <w:highlight w:val="none"/>
        </w:rPr>
        <w:t>。</w:t>
      </w:r>
    </w:p>
    <w:p w14:paraId="766D237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章条款提出的是最低限度的技术要求，并未对一切技术细节做出规定，也未引述有关规范条文，供应商不得以本文件未提出要求为理由而规避国家和行业强制规范、标准的规定，供应商应保证提供符合本章条款和相关标准的服务。</w:t>
      </w:r>
    </w:p>
    <w:p w14:paraId="16555B4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3、如果供应商没有以书面形式对本章条款提出异议，采购人就可以认为供应商提供的成果符合本章条款的要求。</w:t>
      </w:r>
    </w:p>
    <w:p w14:paraId="181CE9CE">
      <w:pPr>
        <w:adjustRightInd w:val="0"/>
        <w:snapToGrid w:val="0"/>
        <w:spacing w:line="360" w:lineRule="auto"/>
        <w:ind w:firstLine="480" w:firstLineChars="200"/>
        <w:outlineLvl w:val="2"/>
        <w:rPr>
          <w:rFonts w:hint="eastAsia" w:ascii="宋体" w:hAnsi="宋体" w:cs="宋体"/>
          <w:color w:val="auto"/>
          <w:sz w:val="24"/>
          <w:highlight w:val="none"/>
        </w:rPr>
      </w:pPr>
      <w:r>
        <w:rPr>
          <w:rFonts w:hint="eastAsia" w:ascii="宋体" w:hAnsi="宋体" w:cs="宋体"/>
          <w:color w:val="auto"/>
          <w:sz w:val="24"/>
          <w:highlight w:val="none"/>
        </w:rPr>
        <w:t>4、供应商在响应文件中，应对采购文件中的服务进行详细的说明。</w:t>
      </w:r>
    </w:p>
    <w:p w14:paraId="33BC8CD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5、在签订合同之后，采购人有权提出因规范标准有变化而产生的一些补充要求。</w:t>
      </w:r>
    </w:p>
    <w:p w14:paraId="4C153A4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6、本章条款使用标准如与供应商所执行标准发生矛盾时，按较高标准执行。</w:t>
      </w:r>
    </w:p>
    <w:p w14:paraId="7AA5C051">
      <w:pPr>
        <w:spacing w:line="360" w:lineRule="auto"/>
        <w:ind w:firstLine="482" w:firstLineChars="200"/>
        <w:outlineLvl w:val="1"/>
        <w:rPr>
          <w:rFonts w:hint="eastAsia" w:ascii="宋体" w:hAnsi="宋体" w:cs="宋体"/>
          <w:color w:val="auto"/>
          <w:sz w:val="24"/>
          <w:highlight w:val="none"/>
        </w:rPr>
      </w:pPr>
      <w:bookmarkStart w:id="513" w:name="_Toc30031"/>
      <w:bookmarkStart w:id="514" w:name="_Toc27552"/>
      <w:bookmarkStart w:id="515" w:name="_Toc104"/>
      <w:bookmarkStart w:id="516" w:name="_Toc6499"/>
      <w:bookmarkStart w:id="517" w:name="_Toc22040"/>
      <w:bookmarkStart w:id="518" w:name="_Toc29995"/>
      <w:r>
        <w:rPr>
          <w:rFonts w:hint="eastAsia" w:ascii="宋体" w:hAnsi="宋体" w:cs="宋体"/>
          <w:b/>
          <w:bCs/>
          <w:color w:val="auto"/>
          <w:sz w:val="24"/>
          <w:highlight w:val="none"/>
        </w:rPr>
        <w:t>二、执行的规范和标准</w:t>
      </w:r>
      <w:bookmarkEnd w:id="513"/>
      <w:bookmarkEnd w:id="514"/>
      <w:bookmarkEnd w:id="515"/>
      <w:bookmarkEnd w:id="516"/>
      <w:bookmarkEnd w:id="517"/>
      <w:bookmarkEnd w:id="518"/>
    </w:p>
    <w:p w14:paraId="05181AC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本项目必须遵循国家规范和标准并按最新版本执行，若标准、规范出现矛盾时，以最新、最高标准规范执行。</w:t>
      </w:r>
    </w:p>
    <w:p w14:paraId="7266072F">
      <w:pPr>
        <w:pStyle w:val="71"/>
        <w:ind w:firstLine="482"/>
        <w:rPr>
          <w:rFonts w:hint="eastAsia" w:ascii="宋体" w:hAnsi="宋体" w:eastAsia="宋体" w:cs="宋体"/>
          <w:b/>
          <w:bCs/>
          <w:color w:val="auto"/>
          <w:highlight w:val="none"/>
        </w:rPr>
      </w:pPr>
      <w:bookmarkStart w:id="519" w:name="_Toc5316"/>
      <w:bookmarkStart w:id="520" w:name="_Toc26501"/>
      <w:r>
        <w:rPr>
          <w:rFonts w:hint="eastAsia" w:ascii="宋体" w:hAnsi="宋体" w:eastAsia="宋体" w:cs="宋体"/>
          <w:b/>
          <w:bCs/>
          <w:color w:val="auto"/>
          <w:highlight w:val="none"/>
        </w:rPr>
        <w:t>三、</w:t>
      </w:r>
      <w:bookmarkEnd w:id="519"/>
      <w:bookmarkEnd w:id="520"/>
      <w:r>
        <w:rPr>
          <w:rFonts w:hint="eastAsia" w:ascii="宋体" w:hAnsi="宋体" w:eastAsia="宋体" w:cs="宋体"/>
          <w:b/>
          <w:bCs/>
          <w:color w:val="auto"/>
          <w:highlight w:val="none"/>
        </w:rPr>
        <w:t>项目基本情况及服务内容</w:t>
      </w:r>
    </w:p>
    <w:p w14:paraId="2D6AA766">
      <w:pPr>
        <w:spacing w:line="560" w:lineRule="exact"/>
        <w:ind w:firstLine="480" w:firstLineChars="200"/>
        <w:rPr>
          <w:rFonts w:hint="eastAsia" w:ascii="宋体" w:hAnsi="宋体" w:cs="宋体"/>
          <w:color w:val="auto"/>
          <w:sz w:val="24"/>
          <w:highlight w:val="none"/>
        </w:rPr>
      </w:pPr>
      <w:bookmarkStart w:id="521" w:name="_Toc490672253"/>
      <w:r>
        <w:rPr>
          <w:rFonts w:hint="eastAsia" w:ascii="宋体" w:hAnsi="宋体" w:cs="宋体"/>
          <w:color w:val="auto"/>
          <w:sz w:val="24"/>
          <w:highlight w:val="none"/>
        </w:rPr>
        <w:t>（一）招标项目</w:t>
      </w:r>
      <w:bookmarkEnd w:id="521"/>
      <w:r>
        <w:rPr>
          <w:rFonts w:hint="eastAsia" w:ascii="宋体" w:hAnsi="宋体" w:cs="宋体"/>
          <w:color w:val="auto"/>
          <w:sz w:val="24"/>
          <w:highlight w:val="none"/>
        </w:rPr>
        <w:t>名称、预算、服务期限</w:t>
      </w:r>
    </w:p>
    <w:tbl>
      <w:tblPr>
        <w:tblStyle w:val="36"/>
        <w:tblW w:w="9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859"/>
        <w:gridCol w:w="1575"/>
        <w:gridCol w:w="2836"/>
        <w:gridCol w:w="1390"/>
      </w:tblGrid>
      <w:tr w14:paraId="57879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79" w:type="dxa"/>
            <w:noWrap w:val="0"/>
            <w:vAlign w:val="center"/>
          </w:tcPr>
          <w:p w14:paraId="23B03E06">
            <w:pPr>
              <w:jc w:val="center"/>
              <w:rPr>
                <w:rFonts w:hint="eastAsia" w:ascii="宋体" w:hAnsi="宋体" w:eastAsia="宋体" w:cs="宋体"/>
                <w:color w:val="auto"/>
                <w:sz w:val="24"/>
                <w:highlight w:val="none"/>
              </w:rPr>
            </w:pPr>
            <w:bookmarkStart w:id="522" w:name="_Toc438456195"/>
            <w:r>
              <w:rPr>
                <w:rFonts w:hint="eastAsia" w:ascii="宋体" w:hAnsi="宋体" w:eastAsia="宋体" w:cs="宋体"/>
                <w:color w:val="auto"/>
                <w:sz w:val="24"/>
                <w:highlight w:val="none"/>
              </w:rPr>
              <w:t>序号</w:t>
            </w:r>
          </w:p>
        </w:tc>
        <w:tc>
          <w:tcPr>
            <w:tcW w:w="2859" w:type="dxa"/>
            <w:noWrap w:val="0"/>
            <w:vAlign w:val="center"/>
          </w:tcPr>
          <w:p w14:paraId="76D0D12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575" w:type="dxa"/>
            <w:noWrap w:val="0"/>
            <w:vAlign w:val="center"/>
          </w:tcPr>
          <w:p w14:paraId="206DB2F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采购预算（最高限价）</w:t>
            </w:r>
          </w:p>
        </w:tc>
        <w:tc>
          <w:tcPr>
            <w:tcW w:w="2836" w:type="dxa"/>
            <w:noWrap w:val="0"/>
            <w:vAlign w:val="center"/>
          </w:tcPr>
          <w:p w14:paraId="3C4984FF">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服务期限 </w:t>
            </w:r>
          </w:p>
        </w:tc>
        <w:tc>
          <w:tcPr>
            <w:tcW w:w="1390" w:type="dxa"/>
            <w:noWrap w:val="0"/>
            <w:vAlign w:val="center"/>
          </w:tcPr>
          <w:p w14:paraId="359D39B3">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5AF0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679" w:type="dxa"/>
            <w:noWrap w:val="0"/>
            <w:vAlign w:val="center"/>
          </w:tcPr>
          <w:p w14:paraId="19A6338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859" w:type="dxa"/>
            <w:noWrap w:val="0"/>
            <w:vAlign w:val="center"/>
          </w:tcPr>
          <w:p w14:paraId="198D0262">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克拉玛依市独山子区农业和水务局2025年度独山子区兽医社会化服务采购项目</w:t>
            </w:r>
          </w:p>
        </w:tc>
        <w:tc>
          <w:tcPr>
            <w:tcW w:w="1575" w:type="dxa"/>
            <w:noWrap w:val="0"/>
            <w:vAlign w:val="center"/>
          </w:tcPr>
          <w:p w14:paraId="26156B31">
            <w:pPr>
              <w:pStyle w:val="31"/>
              <w:spacing w:before="93" w:beforeLines="39" w:beforeAutospacing="0" w:after="74" w:afterLines="31" w:afterAutospacing="0" w:line="360" w:lineRule="auto"/>
              <w:jc w:val="center"/>
              <w:outlineLvl w:val="1"/>
              <w:rPr>
                <w:color w:val="auto"/>
                <w:highlight w:val="none"/>
              </w:rPr>
            </w:pPr>
            <w:r>
              <w:rPr>
                <w:rStyle w:val="40"/>
                <w:rFonts w:hint="eastAsia"/>
                <w:b w:val="0"/>
                <w:bCs/>
                <w:color w:val="auto"/>
                <w:highlight w:val="none"/>
                <w:lang w:val="en-US" w:eastAsia="zh-CN"/>
              </w:rPr>
              <w:t>26</w:t>
            </w:r>
            <w:r>
              <w:rPr>
                <w:rStyle w:val="40"/>
                <w:rFonts w:hint="eastAsia"/>
                <w:b w:val="0"/>
                <w:bCs/>
                <w:color w:val="auto"/>
                <w:highlight w:val="none"/>
              </w:rPr>
              <w:t>万元/年</w:t>
            </w:r>
          </w:p>
        </w:tc>
        <w:tc>
          <w:tcPr>
            <w:tcW w:w="2836" w:type="dxa"/>
            <w:noWrap w:val="0"/>
            <w:vAlign w:val="center"/>
          </w:tcPr>
          <w:p w14:paraId="41D671EB">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一年，合同每半年签订一次。</w:t>
            </w:r>
          </w:p>
          <w:p w14:paraId="338E3E97">
            <w:pPr>
              <w:pStyle w:val="31"/>
              <w:spacing w:before="93" w:beforeLines="39" w:beforeAutospacing="0" w:after="74" w:afterLines="31" w:afterAutospacing="0" w:line="360" w:lineRule="auto"/>
              <w:jc w:val="center"/>
              <w:outlineLvl w:val="1"/>
              <w:rPr>
                <w:rFonts w:ascii="宋体" w:hAnsi="宋体" w:cs="宋体"/>
                <w:color w:val="auto"/>
                <w:sz w:val="24"/>
                <w:highlight w:val="none"/>
              </w:rPr>
            </w:pPr>
          </w:p>
        </w:tc>
        <w:tc>
          <w:tcPr>
            <w:tcW w:w="1390" w:type="dxa"/>
            <w:noWrap w:val="0"/>
            <w:vAlign w:val="center"/>
          </w:tcPr>
          <w:p w14:paraId="01B98069">
            <w:pPr>
              <w:rPr>
                <w:rFonts w:ascii="宋体" w:hAnsi="宋体" w:eastAsia="宋体" w:cs="宋体"/>
                <w:color w:val="auto"/>
                <w:sz w:val="24"/>
                <w:highlight w:val="none"/>
              </w:rPr>
            </w:pPr>
          </w:p>
        </w:tc>
      </w:tr>
      <w:bookmarkEnd w:id="522"/>
    </w:tbl>
    <w:p w14:paraId="14CF0ED5">
      <w:pPr>
        <w:spacing w:line="360" w:lineRule="auto"/>
        <w:ind w:firstLine="480" w:firstLineChars="200"/>
        <w:rPr>
          <w:rFonts w:hint="eastAsia" w:ascii="宋体" w:hAnsi="宋体" w:cs="宋体"/>
          <w:color w:val="auto"/>
          <w:sz w:val="24"/>
          <w:highlight w:val="none"/>
        </w:rPr>
      </w:pPr>
    </w:p>
    <w:p w14:paraId="34B3C1B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（二）服务内容及要求</w:t>
      </w:r>
    </w:p>
    <w:p w14:paraId="0CE2E023">
      <w:pPr>
        <w:pStyle w:val="31"/>
        <w:spacing w:before="93" w:beforeLines="39" w:beforeAutospacing="0" w:after="74" w:afterLines="31" w:afterAutospacing="0" w:line="360" w:lineRule="auto"/>
        <w:ind w:firstLine="480" w:firstLineChars="200"/>
        <w:outlineLvl w:val="1"/>
        <w:rPr>
          <w:rStyle w:val="40"/>
          <w:rFonts w:hint="eastAsia" w:ascii="Times New Roman" w:hAnsi="Times New Roman"/>
          <w:b w:val="0"/>
          <w:bCs/>
          <w:color w:val="auto"/>
          <w:highlight w:val="none"/>
        </w:rPr>
      </w:pPr>
      <w:r>
        <w:rPr>
          <w:rStyle w:val="40"/>
          <w:rFonts w:hint="eastAsia" w:ascii="Times New Roman" w:hAnsi="Times New Roman"/>
          <w:b w:val="0"/>
          <w:bCs/>
          <w:color w:val="auto"/>
          <w:highlight w:val="none"/>
        </w:rPr>
        <w:t>为2025年度独山子区兽医社会化采购服务，主要提供以下服务:</w:t>
      </w:r>
    </w:p>
    <w:p w14:paraId="791DDF9B">
      <w:pPr>
        <w:keepNext w:val="0"/>
        <w:keepLines w:val="0"/>
        <w:pageBreakBefore w:val="0"/>
        <w:widowControl w:val="0"/>
        <w:numPr>
          <w:ilvl w:val="0"/>
          <w:numId w:val="5"/>
        </w:numPr>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采购内容：</w:t>
      </w:r>
      <w:r>
        <w:rPr>
          <w:rFonts w:hint="eastAsia" w:ascii="宋体" w:hAnsi="宋体" w:eastAsia="宋体" w:cs="宋体"/>
          <w:b w:val="0"/>
          <w:bCs w:val="0"/>
          <w:color w:val="auto"/>
          <w:sz w:val="24"/>
          <w:highlight w:val="none"/>
          <w:lang w:val="en-US" w:eastAsia="zh-CN"/>
        </w:rPr>
        <w:t>为适应新形势新要求，提高区域公共服务能力和社会管理水平，促进区域动物防疫工作发展，保障区域生物安全，提高区域动物性食品安全管理控制能力，为独山子区畜牧业稳步发展提供保障。</w:t>
      </w:r>
    </w:p>
    <w:p w14:paraId="20677D66">
      <w:pPr>
        <w:keepNext w:val="0"/>
        <w:keepLines w:val="0"/>
        <w:pageBreakBefore w:val="0"/>
        <w:widowControl w:val="0"/>
        <w:numPr>
          <w:ilvl w:val="0"/>
          <w:numId w:val="5"/>
        </w:numPr>
        <w:kinsoku/>
        <w:wordWrap/>
        <w:overflowPunct/>
        <w:topLinePunct w:val="0"/>
        <w:autoSpaceDE/>
        <w:autoSpaceDN/>
        <w:bidi w:val="0"/>
        <w:spacing w:line="360" w:lineRule="auto"/>
        <w:ind w:firstLine="482" w:firstLineChars="200"/>
        <w:textAlignment w:val="auto"/>
        <w:rPr>
          <w:rStyle w:val="40"/>
          <w:rFonts w:hint="eastAsia" w:ascii="Times New Roman" w:hAnsi="Times New Roman"/>
          <w:b w:val="0"/>
          <w:bCs/>
          <w:color w:val="auto"/>
          <w:highlight w:val="none"/>
        </w:rPr>
      </w:pPr>
      <w:r>
        <w:rPr>
          <w:rFonts w:hint="eastAsia" w:ascii="宋体" w:hAnsi="宋体" w:eastAsia="宋体" w:cs="宋体"/>
          <w:b/>
          <w:bCs/>
          <w:color w:val="auto"/>
          <w:sz w:val="24"/>
          <w:highlight w:val="none"/>
          <w:lang w:val="en-US" w:eastAsia="zh-CN"/>
        </w:rPr>
        <w:t>服务范围：</w:t>
      </w:r>
      <w:r>
        <w:rPr>
          <w:rFonts w:hint="eastAsia" w:ascii="宋体" w:hAnsi="宋体" w:eastAsia="宋体" w:cs="宋体"/>
          <w:b w:val="0"/>
          <w:bCs w:val="0"/>
          <w:color w:val="auto"/>
          <w:sz w:val="24"/>
          <w:highlight w:val="none"/>
          <w:lang w:val="en-US" w:eastAsia="zh-CN"/>
        </w:rPr>
        <w:t>独山子区所有动物养殖场（户）、（曙光新区养殖基地）家畜、家禽，城区散养、犬、信鸽等。</w:t>
      </w:r>
    </w:p>
    <w:p w14:paraId="47C6C350">
      <w:pPr>
        <w:keepNext w:val="0"/>
        <w:keepLines w:val="0"/>
        <w:pageBreakBefore w:val="0"/>
        <w:widowControl w:val="0"/>
        <w:kinsoku/>
        <w:wordWrap/>
        <w:overflowPunct/>
        <w:topLinePunct w:val="0"/>
        <w:autoSpaceDE/>
        <w:autoSpaceDN/>
        <w:bidi w:val="0"/>
        <w:spacing w:line="360" w:lineRule="auto"/>
        <w:ind w:firstLine="482" w:firstLineChars="200"/>
        <w:textAlignment w:val="auto"/>
        <w:rPr>
          <w:rStyle w:val="40"/>
          <w:rFonts w:hint="eastAsia" w:ascii="Times New Roman" w:hAnsi="Times New Roman"/>
          <w:b w:val="0"/>
          <w:bCs/>
          <w:color w:val="auto"/>
          <w:highlight w:val="none"/>
        </w:rPr>
      </w:pPr>
      <w:r>
        <w:rPr>
          <w:rFonts w:hint="eastAsia" w:ascii="宋体" w:hAnsi="宋体" w:eastAsia="宋体" w:cs="宋体"/>
          <w:b/>
          <w:bCs/>
          <w:color w:val="auto"/>
          <w:sz w:val="24"/>
          <w:highlight w:val="none"/>
          <w:lang w:val="en-US" w:eastAsia="zh-CN"/>
        </w:rPr>
        <w:t>三</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采购</w:t>
      </w:r>
      <w:r>
        <w:rPr>
          <w:rFonts w:hint="eastAsia" w:ascii="宋体" w:hAnsi="宋体" w:eastAsia="宋体" w:cs="宋体"/>
          <w:b/>
          <w:bCs/>
          <w:color w:val="auto"/>
          <w:sz w:val="24"/>
          <w:highlight w:val="none"/>
        </w:rPr>
        <w:t>要求</w:t>
      </w:r>
    </w:p>
    <w:p w14:paraId="2F409C31">
      <w:pPr>
        <w:pStyle w:val="127"/>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1、根据甲方提出的时间安排、技术要求和规定的免疫程序，乙方为独山子区所有畜禽散养户提供口蹄疫、禽流感、小反刍兽疫等动物开展重大疫病强制免疫工作，畜禽免疫密度达到</w:t>
      </w:r>
      <w:r>
        <w:rPr>
          <w:rFonts w:hint="eastAsia" w:ascii="宋体" w:hAnsi="宋体" w:cs="宋体"/>
          <w:b w:val="0"/>
          <w:bCs/>
          <w:color w:val="auto"/>
          <w:sz w:val="24"/>
          <w:szCs w:val="24"/>
          <w:highlight w:val="none"/>
          <w:lang w:val="en-US" w:eastAsia="zh-CN"/>
        </w:rPr>
        <w:t>90</w:t>
      </w: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以上</w:t>
      </w:r>
      <w:r>
        <w:rPr>
          <w:rFonts w:hint="eastAsia" w:ascii="宋体" w:hAnsi="宋体" w:eastAsia="宋体" w:cs="宋体"/>
          <w:b w:val="0"/>
          <w:bCs/>
          <w:color w:val="auto"/>
          <w:sz w:val="24"/>
          <w:szCs w:val="24"/>
          <w:highlight w:val="none"/>
          <w:lang w:val="en-US" w:eastAsia="zh-CN"/>
        </w:rPr>
        <w:t>，免疫抗体合格率达到7</w:t>
      </w:r>
      <w:r>
        <w:rPr>
          <w:rFonts w:hint="eastAsia" w:ascii="宋体" w:hAnsi="宋体" w:cs="宋体"/>
          <w:b w:val="0"/>
          <w:bCs/>
          <w:color w:val="auto"/>
          <w:sz w:val="24"/>
          <w:szCs w:val="24"/>
          <w:highlight w:val="none"/>
          <w:lang w:val="en-US" w:eastAsia="zh-CN"/>
        </w:rPr>
        <w:t>0</w:t>
      </w:r>
      <w:r>
        <w:rPr>
          <w:rFonts w:hint="eastAsia" w:ascii="宋体" w:hAnsi="宋体" w:eastAsia="宋体" w:cs="宋体"/>
          <w:b w:val="0"/>
          <w:bCs/>
          <w:color w:val="auto"/>
          <w:sz w:val="24"/>
          <w:szCs w:val="24"/>
          <w:highlight w:val="none"/>
          <w:lang w:val="en-US" w:eastAsia="zh-CN"/>
        </w:rPr>
        <w:t>％以上，抗体不达标进行补免，补免产生的相关疫苗，劳务等费用有服务公司自行承担；对辖区内有需求的畜禽养殖户提供狂犬病、羊痘、三联四防等非强制免疫服务工作，及时在兽医信息系统中上传防疫信息。</w:t>
      </w:r>
    </w:p>
    <w:p w14:paraId="45DC24FD">
      <w:pPr>
        <w:pStyle w:val="127"/>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2、乙方要做好强制免疫及档案记录工作。</w:t>
      </w:r>
    </w:p>
    <w:p w14:paraId="247847BA">
      <w:pPr>
        <w:pStyle w:val="127"/>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按照甲方要求乙方一是完成动物疫病的病原学采样和流行病学调查等采样、检测工作，二是做好动物免疫效果抗体采样、检测工作，三是做好农畜产品食品安全采样、检测等工作。同时制作和整理好各项采样、检测等原始台账及其它工作资料。</w:t>
      </w:r>
    </w:p>
    <w:p w14:paraId="090D10EF">
      <w:pPr>
        <w:pStyle w:val="127"/>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按计划100％完成区本级下达的年度疫情检疫监测任务，重点做好布病、结核病及包虫病的监测防控工作，对检出的布病、结核病等其他上级要求疫病的阳性畜禽100％扑杀并进行无害化处理。(具体按照正式文件内容执行)</w:t>
      </w:r>
    </w:p>
    <w:p w14:paraId="6F8E7E51">
      <w:pPr>
        <w:pStyle w:val="127"/>
        <w:spacing w:line="360" w:lineRule="auto"/>
        <w:ind w:firstLine="480" w:firstLineChars="200"/>
        <w:rPr>
          <w:rFonts w:hint="eastAsia" w:ascii="宋体" w:hAnsi="宋体" w:eastAsia="宋体" w:cs="宋体"/>
          <w:b w:val="0"/>
          <w:bCs/>
          <w:color w:val="FF0000"/>
          <w:sz w:val="24"/>
          <w:szCs w:val="24"/>
          <w:highlight w:val="none"/>
          <w:lang w:val="en-US" w:eastAsia="zh-CN"/>
        </w:rPr>
      </w:pPr>
      <w:r>
        <w:rPr>
          <w:rFonts w:hint="eastAsia" w:ascii="宋体" w:hAnsi="宋体" w:cs="宋体"/>
          <w:b w:val="0"/>
          <w:bCs/>
          <w:color w:val="auto"/>
          <w:sz w:val="24"/>
          <w:szCs w:val="24"/>
          <w:highlight w:val="none"/>
          <w:lang w:val="en-US" w:eastAsia="zh-CN"/>
        </w:rPr>
        <w:t>5、乙方人员要具备，抗原抗体反应</w:t>
      </w:r>
      <w:r>
        <w:rPr>
          <w:rFonts w:hint="eastAsia" w:ascii="宋体" w:hAnsi="宋体" w:eastAsia="宋体" w:cs="宋体"/>
          <w:b w:val="0"/>
          <w:bCs/>
          <w:color w:val="auto"/>
          <w:sz w:val="24"/>
          <w:szCs w:val="24"/>
          <w:highlight w:val="none"/>
          <w:lang w:val="en-US" w:eastAsia="zh-CN"/>
        </w:rPr>
        <w:t>试验</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酶联免疫吸附试验（ELISA）</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血凝与血凝抑制试验、乳成分分析、抗生素残留等检测知识，熟悉样本采集、处理及保存方法。</w:t>
      </w:r>
    </w:p>
    <w:p w14:paraId="7364637E">
      <w:pPr>
        <w:pStyle w:val="127"/>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lang w:val="en-US" w:eastAsia="zh-CN"/>
        </w:rPr>
        <w:t>、加强饲养及屠宰环节病死动物无害化处理监管，按畜牧部门要求运用无害化处理系统，及时上传更新无害化处理数据、照片等，实行无害化处理过程动态监管，完善养殖场（户）病死动物处理档案，敦促养殖户对病死动物100％严格按照规范无害化处置。发现未规范处理的，及时报甲方。</w:t>
      </w:r>
    </w:p>
    <w:p w14:paraId="7CB03FB9">
      <w:pPr>
        <w:pStyle w:val="127"/>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、乙方分季度收集甲方所在养殖基地、养殖片区的畜禽饲养动态信息、建立畜禽养殖登记档案，档案要求全面、真实，甲方对档案建立情况进行不定期抽查，并记入年度考核中。</w:t>
      </w:r>
    </w:p>
    <w:p w14:paraId="23AD7F70">
      <w:pPr>
        <w:pStyle w:val="127"/>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lang w:val="en-US" w:eastAsia="zh-CN"/>
        </w:rPr>
        <w:t>、乙方要加强畜禽巡检工作，观察动物异常疫病，发现动物疫情2小时内报告甲方及甲方所在地的动物防疫监督机构，不及时汇报疫情造成疫情蔓延的扣除乙方相应的费用，协助甲方对所在区域内养殖户投入品使用情况进行监督。</w:t>
      </w:r>
    </w:p>
    <w:p w14:paraId="0CA06448">
      <w:pPr>
        <w:pStyle w:val="127"/>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9</w:t>
      </w:r>
      <w:r>
        <w:rPr>
          <w:rFonts w:hint="eastAsia" w:ascii="宋体" w:hAnsi="宋体" w:eastAsia="宋体" w:cs="宋体"/>
          <w:b w:val="0"/>
          <w:bCs/>
          <w:color w:val="auto"/>
          <w:sz w:val="24"/>
          <w:szCs w:val="24"/>
          <w:highlight w:val="none"/>
          <w:lang w:val="en-US" w:eastAsia="zh-CN"/>
        </w:rPr>
        <w:t>、按照甲方要求乙方做好信息上报及资料归档工作。</w:t>
      </w:r>
    </w:p>
    <w:p w14:paraId="1F9D6387">
      <w:pPr>
        <w:pStyle w:val="127"/>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10</w:t>
      </w:r>
      <w:r>
        <w:rPr>
          <w:rFonts w:hint="eastAsia" w:ascii="宋体" w:hAnsi="宋体" w:eastAsia="宋体" w:cs="宋体"/>
          <w:b w:val="0"/>
          <w:bCs/>
          <w:color w:val="auto"/>
          <w:sz w:val="24"/>
          <w:szCs w:val="24"/>
          <w:highlight w:val="none"/>
          <w:lang w:val="en-US" w:eastAsia="zh-CN"/>
        </w:rPr>
        <w:t>、乙方要为养殖户提供相应的技术咨询服务，但不得另行收费，一经发现有收费行为，有相应的惩处措施。</w:t>
      </w:r>
    </w:p>
    <w:p w14:paraId="3EF284CC">
      <w:pPr>
        <w:pStyle w:val="127"/>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val="en-US" w:eastAsia="zh-CN"/>
        </w:rPr>
        <w:t>、乙方协助甲方做好对动物、植物、渔业检疫，调运和落地监管的相关服务工作。</w:t>
      </w:r>
    </w:p>
    <w:p w14:paraId="6C3018A6">
      <w:pPr>
        <w:pStyle w:val="127"/>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、乙方协助甲方做好屠宰监管工作，做好私屠滥宰治理，配合做好古尔邦节期间的临时屠宰工作。</w:t>
      </w:r>
    </w:p>
    <w:p w14:paraId="6E85A701">
      <w:pPr>
        <w:pStyle w:val="127"/>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、乙方按照甲方要求做好动物防疫、检疫、实验室</w:t>
      </w:r>
      <w:r>
        <w:rPr>
          <w:rFonts w:hint="eastAsia" w:ascii="宋体" w:hAnsi="宋体" w:cs="宋体"/>
          <w:b w:val="0"/>
          <w:bCs/>
          <w:color w:val="auto"/>
          <w:sz w:val="24"/>
          <w:szCs w:val="24"/>
          <w:highlight w:val="none"/>
          <w:lang w:val="en-US" w:eastAsia="zh-CN"/>
        </w:rPr>
        <w:t>以及疫苗</w:t>
      </w:r>
      <w:r>
        <w:rPr>
          <w:rFonts w:hint="eastAsia" w:ascii="宋体" w:hAnsi="宋体" w:eastAsia="宋体" w:cs="宋体"/>
          <w:b w:val="0"/>
          <w:bCs/>
          <w:color w:val="auto"/>
          <w:sz w:val="24"/>
          <w:szCs w:val="24"/>
          <w:highlight w:val="none"/>
          <w:lang w:val="en-US" w:eastAsia="zh-CN"/>
        </w:rPr>
        <w:t>等物资的进出货纸质及电子台账，并对台账内容完整和真实性负责。</w:t>
      </w:r>
    </w:p>
    <w:p w14:paraId="1B0AD28E">
      <w:pPr>
        <w:pStyle w:val="127"/>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、乙方按照甲方要求做好农业技术服务工作，协助开展农药、兽药、地膜等农业投入品的监管工作。</w:t>
      </w:r>
    </w:p>
    <w:p w14:paraId="639836E5">
      <w:pPr>
        <w:pStyle w:val="127"/>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en-US" w:eastAsia="zh-CN"/>
        </w:rPr>
        <w:t>、乙方协助甲方做好农产品质量安全监管工作。</w:t>
      </w:r>
    </w:p>
    <w:p w14:paraId="010DD06D">
      <w:pPr>
        <w:pStyle w:val="127"/>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lang w:val="en-US" w:eastAsia="zh-CN"/>
        </w:rPr>
        <w:t>、乙方按照甲方要求做好畜牧业统计数据的收集汇总工作，将汇总表按时保质报给甲方，每月手机上报生猪规模监测统计报表。</w:t>
      </w:r>
    </w:p>
    <w:p w14:paraId="30330CB8">
      <w:pPr>
        <w:pStyle w:val="127"/>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、防疫、检疫、实验室等使用的试剂耗材，乙方自行承担，甲方在能力范围内会适当提供一部分物资或资金。</w:t>
      </w:r>
    </w:p>
    <w:p w14:paraId="6AFEC2BF">
      <w:pPr>
        <w:pStyle w:val="127"/>
        <w:spacing w:line="360" w:lineRule="auto"/>
        <w:ind w:firstLine="482" w:firstLineChars="200"/>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四</w:t>
      </w:r>
      <w:r>
        <w:rPr>
          <w:rFonts w:hint="eastAsia" w:ascii="宋体" w:hAnsi="宋体" w:eastAsia="宋体" w:cs="宋体"/>
          <w:b/>
          <w:bCs w:val="0"/>
          <w:color w:val="auto"/>
          <w:sz w:val="24"/>
          <w:szCs w:val="24"/>
          <w:highlight w:val="none"/>
          <w:lang w:val="en-US" w:eastAsia="zh-CN"/>
        </w:rPr>
        <w:t>、费用核算​</w:t>
      </w:r>
    </w:p>
    <w:p w14:paraId="09E9E155">
      <w:pPr>
        <w:pStyle w:val="127"/>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（一）动物强制免疫</w:t>
      </w:r>
    </w:p>
    <w:p w14:paraId="5F0B3E43">
      <w:pPr>
        <w:pStyle w:val="127"/>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强制免疫疫苗为口蹄疫、小反刍兽疫和禽流感。</w:t>
      </w:r>
    </w:p>
    <w:p w14:paraId="36ED5296">
      <w:pPr>
        <w:pStyle w:val="127"/>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牛5元/次，羊和猪3元/次，禽0.5元/次。（马、驴、骡、驼等大家畜参考牛，中家畜参考羊和猪，以下相同。）</w:t>
      </w:r>
    </w:p>
    <w:p w14:paraId="44F95FC0">
      <w:pPr>
        <w:pStyle w:val="127"/>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（二）协助检疫工作​</w:t>
      </w:r>
    </w:p>
    <w:p w14:paraId="7E796309">
      <w:pPr>
        <w:pStyle w:val="127"/>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1.产地检疫：牛2元/头，羊和猪1元/只，家禽0.3元/羽。​</w:t>
      </w:r>
    </w:p>
    <w:p w14:paraId="124EC53B">
      <w:pPr>
        <w:pStyle w:val="127"/>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2.屠宰检疫：屠宰场检疫服务全年按360天计算，5万元/年。</w:t>
      </w:r>
    </w:p>
    <w:p w14:paraId="50AA1E28">
      <w:pPr>
        <w:pStyle w:val="127"/>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（三）样品采集工作​</w:t>
      </w:r>
    </w:p>
    <w:p w14:paraId="3F468D66">
      <w:pPr>
        <w:pStyle w:val="127"/>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牛3元/头，羊和猪2元/只，家禽0.3元/羽。</w:t>
      </w:r>
    </w:p>
    <w:p w14:paraId="173ACF2C">
      <w:pPr>
        <w:pStyle w:val="127"/>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（四）外环境消杀工作​</w:t>
      </w:r>
    </w:p>
    <w:p w14:paraId="048ECA66">
      <w:pPr>
        <w:pStyle w:val="127"/>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对辖区内养殖、屠宰场所外环境，每年至少开展2次全面消杀作业2500/次。​</w:t>
      </w:r>
    </w:p>
    <w:p w14:paraId="38487194">
      <w:pPr>
        <w:pStyle w:val="127"/>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（五）协助病死动物无害化处理工作​</w:t>
      </w:r>
    </w:p>
    <w:p w14:paraId="1619088A">
      <w:pPr>
        <w:pStyle w:val="127"/>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配合完成病死动物无害化处理工作，确保处理过程符合规范要求。牛50元/只，羊和猪20元/只，家禽3元/羽。</w:t>
      </w:r>
    </w:p>
    <w:p w14:paraId="51A533EE">
      <w:pPr>
        <w:pStyle w:val="127"/>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（六）其他工作​</w:t>
      </w:r>
    </w:p>
    <w:p w14:paraId="06DDD804">
      <w:pPr>
        <w:pStyle w:val="127"/>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按独山子区动物防疫及相关管理部门要求，完成其他临时性或常规性工作任务140元/天/人。</w:t>
      </w:r>
    </w:p>
    <w:p w14:paraId="146AC632">
      <w:pPr>
        <w:pStyle w:val="127"/>
        <w:spacing w:line="360" w:lineRule="auto"/>
        <w:ind w:firstLine="482" w:firstLineChars="200"/>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五、考核标准</w:t>
      </w:r>
    </w:p>
    <w:tbl>
      <w:tblPr>
        <w:tblStyle w:val="3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6"/>
        <w:gridCol w:w="3478"/>
        <w:gridCol w:w="517"/>
        <w:gridCol w:w="3479"/>
        <w:gridCol w:w="518"/>
        <w:gridCol w:w="567"/>
      </w:tblGrid>
      <w:tr w14:paraId="05138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87" w:hRule="atLeast"/>
        </w:trPr>
        <w:tc>
          <w:tcPr>
            <w:tcW w:w="0" w:type="auto"/>
            <w:gridSpan w:val="6"/>
            <w:tcBorders>
              <w:top w:val="single" w:color="000000" w:sz="4" w:space="0"/>
              <w:left w:val="single" w:color="000000" w:sz="4" w:space="0"/>
              <w:bottom w:val="single" w:color="000000" w:sz="4" w:space="0"/>
              <w:right w:val="single" w:color="000000" w:sz="4" w:space="0"/>
            </w:tcBorders>
            <w:noWrap/>
            <w:vAlign w:val="center"/>
          </w:tcPr>
          <w:p w14:paraId="4663A0CB">
            <w:pPr>
              <w:keepNext w:val="0"/>
              <w:keepLines w:val="0"/>
              <w:widowControl/>
              <w:suppressLineNumbers w:val="0"/>
              <w:spacing w:line="360" w:lineRule="auto"/>
              <w:ind w:firstLine="241" w:firstLineChars="10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br w:type="page"/>
            </w:r>
            <w:r>
              <w:rPr>
                <w:rFonts w:hint="eastAsia" w:ascii="宋体" w:hAnsi="宋体" w:eastAsia="宋体" w:cs="宋体"/>
                <w:i w:val="0"/>
                <w:iCs w:val="0"/>
                <w:color w:val="auto"/>
                <w:kern w:val="0"/>
                <w:sz w:val="24"/>
                <w:szCs w:val="24"/>
                <w:highlight w:val="none"/>
                <w:u w:val="none"/>
                <w:lang w:val="en-US" w:eastAsia="zh-CN" w:bidi="ar"/>
              </w:rPr>
              <w:t>克拉玛依市独山子区畜牧兽医社会化服务工作考核评分表（共200分）</w:t>
            </w:r>
          </w:p>
        </w:tc>
      </w:tr>
      <w:tr w14:paraId="04953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24EB0D2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考核人：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D86AC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被考核人：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C1299A">
            <w:pPr>
              <w:jc w:val="left"/>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950BD9">
            <w:pPr>
              <w:jc w:val="left"/>
              <w:rPr>
                <w:rFonts w:hint="eastAsia" w:ascii="宋体" w:hAnsi="宋体" w:eastAsia="宋体" w:cs="宋体"/>
                <w:i w:val="0"/>
                <w:iCs w:val="0"/>
                <w:color w:val="auto"/>
                <w:sz w:val="21"/>
                <w:szCs w:val="21"/>
                <w:highlight w:val="none"/>
                <w:u w:val="none"/>
              </w:rPr>
            </w:pPr>
          </w:p>
        </w:tc>
      </w:tr>
      <w:tr w14:paraId="2562F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C826F3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一、强制免疫工作 （40分）（随机抽查5户散养户）</w:t>
            </w:r>
          </w:p>
        </w:tc>
      </w:tr>
      <w:tr w14:paraId="34BF3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8559B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39476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检查项目和内容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17CF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满分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65C9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检查评分方法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60A7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CE1A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扣分原因</w:t>
            </w:r>
          </w:p>
        </w:tc>
      </w:tr>
      <w:tr w14:paraId="6C718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3E767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DE2C1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每月要有防疫工作计划和工作总结。</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2AEF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DED03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每缺一项扣2分。计划总结不详实的扣1分。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6AB4BE">
            <w:pPr>
              <w:jc w:val="left"/>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58D81E">
            <w:pPr>
              <w:jc w:val="left"/>
              <w:rPr>
                <w:rFonts w:hint="eastAsia" w:ascii="宋体" w:hAnsi="宋体" w:eastAsia="宋体" w:cs="宋体"/>
                <w:i w:val="0"/>
                <w:iCs w:val="0"/>
                <w:color w:val="auto"/>
                <w:sz w:val="21"/>
                <w:szCs w:val="21"/>
                <w:highlight w:val="none"/>
                <w:u w:val="none"/>
              </w:rPr>
            </w:pPr>
          </w:p>
        </w:tc>
      </w:tr>
      <w:tr w14:paraId="72F31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3D86F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95415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免疫的牛羊口蹄疫病免疫密度达</w:t>
            </w:r>
            <w:r>
              <w:rPr>
                <w:rFonts w:hint="eastAsia" w:ascii="宋体" w:hAnsi="宋体" w:cs="宋体"/>
                <w:i w:val="0"/>
                <w:iCs w:val="0"/>
                <w:color w:val="auto"/>
                <w:kern w:val="0"/>
                <w:sz w:val="21"/>
                <w:szCs w:val="21"/>
                <w:highlight w:val="none"/>
                <w:u w:val="none"/>
                <w:lang w:val="en-US" w:eastAsia="zh-CN" w:bidi="ar"/>
              </w:rPr>
              <w:t>90</w:t>
            </w:r>
            <w:r>
              <w:rPr>
                <w:rFonts w:hint="eastAsia" w:ascii="宋体" w:hAnsi="宋体" w:eastAsia="宋体" w:cs="宋体"/>
                <w:i w:val="0"/>
                <w:iCs w:val="0"/>
                <w:color w:val="auto"/>
                <w:kern w:val="0"/>
                <w:sz w:val="21"/>
                <w:szCs w:val="21"/>
                <w:highlight w:val="none"/>
                <w:u w:val="none"/>
                <w:lang w:val="en-US" w:eastAsia="zh-CN" w:bidi="ar"/>
              </w:rPr>
              <w:t>％以上，（不能免疫的要说明原因），免疫率包括补免记录。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C258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78FC9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免疫证、免疫记录，要求二者配套（二者缺一不得分），应免率每降低1个百分点扣1分，扣完为止。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B81207">
            <w:pPr>
              <w:jc w:val="left"/>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0F2802">
            <w:pPr>
              <w:jc w:val="left"/>
              <w:rPr>
                <w:rFonts w:hint="eastAsia" w:ascii="宋体" w:hAnsi="宋体" w:eastAsia="宋体" w:cs="宋体"/>
                <w:i w:val="0"/>
                <w:iCs w:val="0"/>
                <w:color w:val="auto"/>
                <w:sz w:val="21"/>
                <w:szCs w:val="21"/>
                <w:highlight w:val="none"/>
                <w:u w:val="none"/>
              </w:rPr>
            </w:pPr>
          </w:p>
        </w:tc>
      </w:tr>
      <w:tr w14:paraId="1C6EC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134B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25F98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高致病性禽流感病免疫密度达</w:t>
            </w:r>
            <w:r>
              <w:rPr>
                <w:rFonts w:hint="eastAsia" w:ascii="宋体" w:hAnsi="宋体" w:cs="宋体"/>
                <w:i w:val="0"/>
                <w:iCs w:val="0"/>
                <w:color w:val="auto"/>
                <w:kern w:val="0"/>
                <w:sz w:val="21"/>
                <w:szCs w:val="21"/>
                <w:highlight w:val="none"/>
                <w:u w:val="none"/>
                <w:lang w:val="en-US" w:eastAsia="zh-CN" w:bidi="ar"/>
              </w:rPr>
              <w:t>90</w:t>
            </w:r>
            <w:r>
              <w:rPr>
                <w:rFonts w:hint="eastAsia" w:ascii="宋体" w:hAnsi="宋体" w:eastAsia="宋体" w:cs="宋体"/>
                <w:i w:val="0"/>
                <w:iCs w:val="0"/>
                <w:color w:val="auto"/>
                <w:kern w:val="0"/>
                <w:sz w:val="21"/>
                <w:szCs w:val="21"/>
                <w:highlight w:val="none"/>
                <w:u w:val="none"/>
                <w:lang w:val="en-US" w:eastAsia="zh-CN" w:bidi="ar"/>
              </w:rPr>
              <w:t>％以上（不能免疫的要说明原因），免疫率包括补免记录。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A405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4C44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应免率每降低一个百分点扣1分，扣完为止。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FDFEA8">
            <w:pPr>
              <w:jc w:val="left"/>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2FF217">
            <w:pPr>
              <w:jc w:val="left"/>
              <w:rPr>
                <w:rFonts w:hint="eastAsia" w:ascii="宋体" w:hAnsi="宋体" w:eastAsia="宋体" w:cs="宋体"/>
                <w:i w:val="0"/>
                <w:iCs w:val="0"/>
                <w:color w:val="auto"/>
                <w:sz w:val="21"/>
                <w:szCs w:val="21"/>
                <w:highlight w:val="none"/>
                <w:u w:val="none"/>
              </w:rPr>
            </w:pPr>
          </w:p>
        </w:tc>
      </w:tr>
      <w:tr w14:paraId="7234A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CABE0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EA949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免疫的猪口蹄疫病免疫密度达</w:t>
            </w:r>
            <w:r>
              <w:rPr>
                <w:rFonts w:hint="eastAsia" w:ascii="宋体" w:hAnsi="宋体" w:cs="宋体"/>
                <w:i w:val="0"/>
                <w:iCs w:val="0"/>
                <w:color w:val="auto"/>
                <w:kern w:val="0"/>
                <w:sz w:val="21"/>
                <w:szCs w:val="21"/>
                <w:highlight w:val="none"/>
                <w:u w:val="none"/>
                <w:lang w:val="en-US" w:eastAsia="zh-CN" w:bidi="ar"/>
              </w:rPr>
              <w:t>90</w:t>
            </w:r>
            <w:r>
              <w:rPr>
                <w:rFonts w:hint="eastAsia" w:ascii="宋体" w:hAnsi="宋体" w:eastAsia="宋体" w:cs="宋体"/>
                <w:i w:val="0"/>
                <w:iCs w:val="0"/>
                <w:color w:val="auto"/>
                <w:kern w:val="0"/>
                <w:sz w:val="21"/>
                <w:szCs w:val="21"/>
                <w:highlight w:val="none"/>
                <w:u w:val="none"/>
                <w:lang w:val="en-US" w:eastAsia="zh-CN" w:bidi="ar"/>
              </w:rPr>
              <w:t>％以上，（不能免疫的要说明原因），免疫率包括补免记录。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B739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47436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免疫证、免疫记录两者配套（缺一不得分），应免率每降低1个百分点扣1分，扣完为止。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28401C">
            <w:pPr>
              <w:jc w:val="left"/>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B76375">
            <w:pPr>
              <w:jc w:val="left"/>
              <w:rPr>
                <w:rFonts w:hint="eastAsia" w:ascii="宋体" w:hAnsi="宋体" w:eastAsia="宋体" w:cs="宋体"/>
                <w:i w:val="0"/>
                <w:iCs w:val="0"/>
                <w:color w:val="auto"/>
                <w:sz w:val="21"/>
                <w:szCs w:val="21"/>
                <w:highlight w:val="none"/>
                <w:u w:val="none"/>
              </w:rPr>
            </w:pPr>
          </w:p>
        </w:tc>
      </w:tr>
      <w:tr w14:paraId="30DB2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D7001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BD0CC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免疫的羊，小反刍兽疫免疫密度达</w:t>
            </w:r>
            <w:r>
              <w:rPr>
                <w:rFonts w:hint="eastAsia" w:ascii="宋体" w:hAnsi="宋体" w:cs="宋体"/>
                <w:i w:val="0"/>
                <w:iCs w:val="0"/>
                <w:color w:val="auto"/>
                <w:kern w:val="0"/>
                <w:sz w:val="21"/>
                <w:szCs w:val="21"/>
                <w:highlight w:val="none"/>
                <w:u w:val="none"/>
                <w:lang w:val="en-US" w:eastAsia="zh-CN" w:bidi="ar"/>
              </w:rPr>
              <w:t>90</w:t>
            </w:r>
            <w:r>
              <w:rPr>
                <w:rFonts w:hint="eastAsia" w:ascii="宋体" w:hAnsi="宋体" w:eastAsia="宋体" w:cs="宋体"/>
                <w:i w:val="0"/>
                <w:iCs w:val="0"/>
                <w:color w:val="auto"/>
                <w:kern w:val="0"/>
                <w:sz w:val="21"/>
                <w:szCs w:val="21"/>
                <w:highlight w:val="none"/>
                <w:u w:val="none"/>
                <w:lang w:val="en-US" w:eastAsia="zh-CN" w:bidi="ar"/>
              </w:rPr>
              <w:t>％以上，（不能免疫的要说明原因），免疫率包括补免记录。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A20B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A0515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免疫证、免疫记录两者配套（缺一不得分），应免率每降低1个百分点扣1分，扣完为止。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80707D">
            <w:pPr>
              <w:jc w:val="left"/>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E44E03">
            <w:pPr>
              <w:jc w:val="left"/>
              <w:rPr>
                <w:rFonts w:hint="eastAsia" w:ascii="宋体" w:hAnsi="宋体" w:eastAsia="宋体" w:cs="宋体"/>
                <w:i w:val="0"/>
                <w:iCs w:val="0"/>
                <w:color w:val="auto"/>
                <w:sz w:val="21"/>
                <w:szCs w:val="21"/>
                <w:highlight w:val="none"/>
                <w:u w:val="none"/>
              </w:rPr>
            </w:pPr>
          </w:p>
        </w:tc>
      </w:tr>
      <w:tr w14:paraId="3D2AB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A9E762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二、溯源系统管理（20分）</w:t>
            </w:r>
          </w:p>
        </w:tc>
      </w:tr>
      <w:tr w14:paraId="4E6E1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F8756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F51DC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牛羊耳标佩戴工作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9303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55194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出栏牛羊耳标佩戴率要达到100％，每降低一个百分点扣1分，扣完为止。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3FBA44">
            <w:pPr>
              <w:jc w:val="left"/>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318CCE">
            <w:pPr>
              <w:jc w:val="left"/>
              <w:rPr>
                <w:rFonts w:hint="eastAsia" w:ascii="宋体" w:hAnsi="宋体" w:eastAsia="宋体" w:cs="宋体"/>
                <w:i w:val="0"/>
                <w:iCs w:val="0"/>
                <w:color w:val="auto"/>
                <w:sz w:val="21"/>
                <w:szCs w:val="21"/>
                <w:highlight w:val="none"/>
                <w:u w:val="none"/>
              </w:rPr>
            </w:pPr>
          </w:p>
        </w:tc>
      </w:tr>
      <w:tr w14:paraId="781C8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BC654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44398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猪耳标佩戴工作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7EC68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5C0D2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出栏猪耳标佩戴率要达到100％，每降低一个百分点扣1分，扣完为止。。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A0F096">
            <w:pPr>
              <w:jc w:val="left"/>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B69A65">
            <w:pPr>
              <w:jc w:val="left"/>
              <w:rPr>
                <w:rFonts w:hint="eastAsia" w:ascii="宋体" w:hAnsi="宋体" w:eastAsia="宋体" w:cs="宋体"/>
                <w:i w:val="0"/>
                <w:iCs w:val="0"/>
                <w:color w:val="auto"/>
                <w:sz w:val="21"/>
                <w:szCs w:val="21"/>
                <w:highlight w:val="none"/>
                <w:u w:val="none"/>
              </w:rPr>
            </w:pPr>
          </w:p>
        </w:tc>
      </w:tr>
      <w:tr w14:paraId="198A8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5ACB1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F219B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识读器操作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8AEB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63EFC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能熟练掌握识读器操作的得6分；不熟练的得3分；不会使用的不得分。（看现场操作）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8AA2DC">
            <w:pPr>
              <w:jc w:val="left"/>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3E25D72">
            <w:pPr>
              <w:jc w:val="left"/>
              <w:rPr>
                <w:rFonts w:hint="eastAsia" w:ascii="宋体" w:hAnsi="宋体" w:eastAsia="宋体" w:cs="宋体"/>
                <w:i w:val="0"/>
                <w:iCs w:val="0"/>
                <w:color w:val="auto"/>
                <w:sz w:val="21"/>
                <w:szCs w:val="21"/>
                <w:highlight w:val="none"/>
                <w:u w:val="none"/>
              </w:rPr>
            </w:pPr>
          </w:p>
        </w:tc>
      </w:tr>
      <w:tr w14:paraId="4454B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D79F55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三、免疫抗体监测工作（40分）（以市动物卫生监督所的监测结果为依据）</w:t>
            </w:r>
          </w:p>
        </w:tc>
      </w:tr>
      <w:tr w14:paraId="59282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340E1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F259F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牛羊的口蹄疫样品抗体监测合格率达</w:t>
            </w:r>
            <w:r>
              <w:rPr>
                <w:rFonts w:hint="eastAsia" w:ascii="宋体" w:hAnsi="宋体" w:cs="宋体"/>
                <w:i w:val="0"/>
                <w:iCs w:val="0"/>
                <w:color w:val="auto"/>
                <w:kern w:val="0"/>
                <w:sz w:val="21"/>
                <w:szCs w:val="21"/>
                <w:highlight w:val="none"/>
                <w:u w:val="none"/>
                <w:lang w:val="en-US" w:eastAsia="zh-CN" w:bidi="ar"/>
              </w:rPr>
              <w:t>70</w:t>
            </w:r>
            <w:r>
              <w:rPr>
                <w:rFonts w:hint="eastAsia" w:ascii="宋体" w:hAnsi="宋体" w:eastAsia="宋体" w:cs="宋体"/>
                <w:i w:val="0"/>
                <w:iCs w:val="0"/>
                <w:color w:val="auto"/>
                <w:kern w:val="0"/>
                <w:sz w:val="21"/>
                <w:szCs w:val="21"/>
                <w:highlight w:val="none"/>
                <w:u w:val="none"/>
                <w:lang w:val="en-US" w:eastAsia="zh-CN" w:bidi="ar"/>
              </w:rPr>
              <w:t>％以上。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3315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7AA09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抗体监测合格率每下降低一个百分点扣1分，样品数量不足，视同监测不合格，扣完为止。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EEBD5D">
            <w:pPr>
              <w:jc w:val="left"/>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0A854E">
            <w:pPr>
              <w:jc w:val="left"/>
              <w:rPr>
                <w:rFonts w:hint="eastAsia" w:ascii="宋体" w:hAnsi="宋体" w:eastAsia="宋体" w:cs="宋体"/>
                <w:i w:val="0"/>
                <w:iCs w:val="0"/>
                <w:color w:val="auto"/>
                <w:sz w:val="21"/>
                <w:szCs w:val="21"/>
                <w:highlight w:val="none"/>
                <w:u w:val="none"/>
              </w:rPr>
            </w:pPr>
          </w:p>
        </w:tc>
      </w:tr>
      <w:tr w14:paraId="47A08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E930F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6F895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猪的口蹄疫样品抗体监测合格率达</w:t>
            </w:r>
            <w:r>
              <w:rPr>
                <w:rFonts w:hint="eastAsia" w:ascii="宋体" w:hAnsi="宋体" w:cs="宋体"/>
                <w:i w:val="0"/>
                <w:iCs w:val="0"/>
                <w:color w:val="auto"/>
                <w:kern w:val="0"/>
                <w:sz w:val="21"/>
                <w:szCs w:val="21"/>
                <w:highlight w:val="none"/>
                <w:u w:val="none"/>
                <w:lang w:val="en-US" w:eastAsia="zh-CN" w:bidi="ar"/>
              </w:rPr>
              <w:t>70</w:t>
            </w:r>
            <w:r>
              <w:rPr>
                <w:rFonts w:hint="eastAsia" w:ascii="宋体" w:hAnsi="宋体" w:eastAsia="宋体" w:cs="宋体"/>
                <w:i w:val="0"/>
                <w:iCs w:val="0"/>
                <w:color w:val="auto"/>
                <w:kern w:val="0"/>
                <w:sz w:val="21"/>
                <w:szCs w:val="21"/>
                <w:highlight w:val="none"/>
                <w:u w:val="none"/>
                <w:lang w:val="en-US" w:eastAsia="zh-CN" w:bidi="ar"/>
              </w:rPr>
              <w:t>％以上。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FA5E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86447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抗体监测合格率每下降低一个百分点扣1分，样品数量不足，视同监测不合格，扣完为止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57F6C3">
            <w:pPr>
              <w:jc w:val="left"/>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AFEC24">
            <w:pPr>
              <w:jc w:val="left"/>
              <w:rPr>
                <w:rFonts w:hint="eastAsia" w:ascii="宋体" w:hAnsi="宋体" w:eastAsia="宋体" w:cs="宋体"/>
                <w:i w:val="0"/>
                <w:iCs w:val="0"/>
                <w:color w:val="auto"/>
                <w:sz w:val="21"/>
                <w:szCs w:val="21"/>
                <w:highlight w:val="none"/>
                <w:u w:val="none"/>
              </w:rPr>
            </w:pPr>
          </w:p>
        </w:tc>
      </w:tr>
      <w:tr w14:paraId="6ADBA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713E2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62645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羊的小反刍兽疫样品抗体监测合格率达</w:t>
            </w:r>
            <w:r>
              <w:rPr>
                <w:rFonts w:hint="eastAsia" w:ascii="宋体" w:hAnsi="宋体" w:cs="宋体"/>
                <w:i w:val="0"/>
                <w:iCs w:val="0"/>
                <w:color w:val="auto"/>
                <w:kern w:val="0"/>
                <w:sz w:val="21"/>
                <w:szCs w:val="21"/>
                <w:highlight w:val="none"/>
                <w:u w:val="none"/>
                <w:lang w:val="en-US" w:eastAsia="zh-CN" w:bidi="ar"/>
              </w:rPr>
              <w:t>70</w:t>
            </w:r>
            <w:r>
              <w:rPr>
                <w:rFonts w:hint="eastAsia" w:ascii="宋体" w:hAnsi="宋体" w:eastAsia="宋体" w:cs="宋体"/>
                <w:i w:val="0"/>
                <w:iCs w:val="0"/>
                <w:color w:val="auto"/>
                <w:kern w:val="0"/>
                <w:sz w:val="21"/>
                <w:szCs w:val="21"/>
                <w:highlight w:val="none"/>
                <w:u w:val="none"/>
                <w:lang w:val="en-US" w:eastAsia="zh-CN" w:bidi="ar"/>
              </w:rPr>
              <w:t>％以上。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48EC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3BB21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抗体监测合格率每下降低一个百分点扣1分，样品数量不足，视同监测不合格，扣完为止。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C1E3EA">
            <w:pPr>
              <w:jc w:val="left"/>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25C640">
            <w:pPr>
              <w:jc w:val="left"/>
              <w:rPr>
                <w:rFonts w:hint="eastAsia" w:ascii="宋体" w:hAnsi="宋体" w:eastAsia="宋体" w:cs="宋体"/>
                <w:i w:val="0"/>
                <w:iCs w:val="0"/>
                <w:color w:val="auto"/>
                <w:sz w:val="21"/>
                <w:szCs w:val="21"/>
                <w:highlight w:val="none"/>
                <w:u w:val="none"/>
              </w:rPr>
            </w:pPr>
          </w:p>
        </w:tc>
      </w:tr>
      <w:tr w14:paraId="16E7C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65801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A05282">
            <w:pPr>
              <w:keepNext w:val="0"/>
              <w:keepLines w:val="0"/>
              <w:widowControl/>
              <w:suppressLineNumbers w:val="0"/>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高致病性禽流感样品抗体监测合格率达</w:t>
            </w:r>
            <w:r>
              <w:rPr>
                <w:rFonts w:hint="eastAsia" w:ascii="宋体" w:hAnsi="宋体" w:cs="宋体"/>
                <w:i w:val="0"/>
                <w:iCs w:val="0"/>
                <w:color w:val="auto"/>
                <w:kern w:val="0"/>
                <w:sz w:val="21"/>
                <w:szCs w:val="21"/>
                <w:highlight w:val="none"/>
                <w:u w:val="none"/>
                <w:lang w:val="en-US" w:eastAsia="zh-CN" w:bidi="ar"/>
              </w:rPr>
              <w:t>70</w:t>
            </w:r>
            <w:r>
              <w:rPr>
                <w:rFonts w:hint="eastAsia" w:ascii="宋体" w:hAnsi="宋体" w:eastAsia="宋体" w:cs="宋体"/>
                <w:i w:val="0"/>
                <w:iCs w:val="0"/>
                <w:color w:val="auto"/>
                <w:kern w:val="0"/>
                <w:sz w:val="21"/>
                <w:szCs w:val="21"/>
                <w:highlight w:val="none"/>
                <w:u w:val="none"/>
                <w:lang w:val="en-US" w:eastAsia="zh-CN" w:bidi="ar"/>
              </w:rPr>
              <w:t>％以上</w:t>
            </w:r>
            <w:r>
              <w:rPr>
                <w:rFonts w:hint="eastAsia" w:ascii="宋体" w:hAnsi="宋体" w:cs="宋体"/>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711A7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16A59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抗体监测合格率每下降低一个百分点扣1分，样品数量不足，视同监测不合格，扣完为止。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BEE296">
            <w:pPr>
              <w:jc w:val="left"/>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1825DA">
            <w:pPr>
              <w:jc w:val="left"/>
              <w:rPr>
                <w:rFonts w:hint="eastAsia" w:ascii="宋体" w:hAnsi="宋体" w:eastAsia="宋体" w:cs="宋体"/>
                <w:i w:val="0"/>
                <w:iCs w:val="0"/>
                <w:color w:val="auto"/>
                <w:sz w:val="21"/>
                <w:szCs w:val="21"/>
                <w:highlight w:val="none"/>
                <w:u w:val="none"/>
              </w:rPr>
            </w:pPr>
          </w:p>
        </w:tc>
      </w:tr>
      <w:tr w14:paraId="05FD5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F26DB5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四、规范畜禽统计、普查档案（20分）</w:t>
            </w:r>
          </w:p>
        </w:tc>
      </w:tr>
      <w:tr w14:paraId="750DF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8950B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066AA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要建立独立完备的普查档案。档案应载明：畜主姓名、地址、畜禽种类、数量.档案达到标准统一、内容翔实、填写规范、严格保管，每季做好变更记录。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8600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33F68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根据填写的内容，普查档案应载明：畜主姓名、地址、畜禽种类、数量、每季要有变更记录，并且档案要整洁，不能有涂改的迹象。发现一个问题扣1分，扣完为止。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E708E2">
            <w:pPr>
              <w:jc w:val="left"/>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D33D59">
            <w:pPr>
              <w:jc w:val="left"/>
              <w:rPr>
                <w:rFonts w:hint="eastAsia" w:ascii="宋体" w:hAnsi="宋体" w:eastAsia="宋体" w:cs="宋体"/>
                <w:i w:val="0"/>
                <w:iCs w:val="0"/>
                <w:color w:val="auto"/>
                <w:sz w:val="21"/>
                <w:szCs w:val="21"/>
                <w:highlight w:val="none"/>
                <w:u w:val="none"/>
              </w:rPr>
            </w:pPr>
          </w:p>
        </w:tc>
      </w:tr>
      <w:tr w14:paraId="7B01F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45416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092C91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外包单位要建立独立完备的免疫档案。免疫档案应载明：名称、地址、畜禽种类、数量、免疫日期、疫苗名称、免疫人员签字。散养户建立免疫卡。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589C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8B806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免疫档案应载明：名称、地址、畜禽种类、数量、免疫日期、疫苗名称、免疫人员签字。检查时每发现一个问题扣1分，扣完为止。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7A746D">
            <w:pPr>
              <w:jc w:val="left"/>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8FE417">
            <w:pPr>
              <w:jc w:val="left"/>
              <w:rPr>
                <w:rFonts w:hint="eastAsia" w:ascii="宋体" w:hAnsi="宋体" w:eastAsia="宋体" w:cs="宋体"/>
                <w:i w:val="0"/>
                <w:iCs w:val="0"/>
                <w:color w:val="auto"/>
                <w:sz w:val="21"/>
                <w:szCs w:val="21"/>
                <w:highlight w:val="none"/>
                <w:u w:val="none"/>
              </w:rPr>
            </w:pPr>
          </w:p>
        </w:tc>
      </w:tr>
      <w:tr w14:paraId="3C0BB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BBDC1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E31ED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按照甲方要求做好畜牧业统计数据的收集汇总工作，将汇总表按时保质报给甲方，每月手机上报生猪规模监测统计报表。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3A10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87C05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数据报送不规范、不及时，每发现一个问题扣2分，扣完为止。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18E1EB">
            <w:pPr>
              <w:jc w:val="left"/>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DFD5CE">
            <w:pPr>
              <w:jc w:val="left"/>
              <w:rPr>
                <w:rFonts w:hint="eastAsia" w:ascii="宋体" w:hAnsi="宋体" w:eastAsia="宋体" w:cs="宋体"/>
                <w:i w:val="0"/>
                <w:iCs w:val="0"/>
                <w:color w:val="auto"/>
                <w:sz w:val="21"/>
                <w:szCs w:val="21"/>
                <w:highlight w:val="none"/>
                <w:u w:val="none"/>
              </w:rPr>
            </w:pPr>
          </w:p>
        </w:tc>
      </w:tr>
      <w:tr w14:paraId="6C0CC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9A8559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五、按计划要求做好消毒灭源工作（20分）</w:t>
            </w:r>
          </w:p>
        </w:tc>
      </w:tr>
      <w:tr w14:paraId="269C6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D54D7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0E76A0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1、制定消毒灭源计划、方案。坚持预防为主的方针，采取宣传发动、集中行动、监督指导等方式，组织人员，在各动物防疫的重点场所开展全面、彻底的消毒灭源集中行动。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03D9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F2F17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制定消毒灭源计划、方案，组织人员，在各动物防疫的重点场所开展全面、彻底的消毒灭源集中行动，有计划、方案的得全分，少一项扣2分。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6134E4">
            <w:pPr>
              <w:jc w:val="left"/>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367A3D">
            <w:pPr>
              <w:jc w:val="left"/>
              <w:rPr>
                <w:rFonts w:hint="eastAsia" w:ascii="宋体" w:hAnsi="宋体" w:eastAsia="宋体" w:cs="宋体"/>
                <w:i w:val="0"/>
                <w:iCs w:val="0"/>
                <w:color w:val="auto"/>
                <w:sz w:val="21"/>
                <w:szCs w:val="21"/>
                <w:highlight w:val="none"/>
                <w:u w:val="none"/>
              </w:rPr>
            </w:pPr>
          </w:p>
        </w:tc>
      </w:tr>
      <w:tr w14:paraId="74AD8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8483D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EE285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2、定期对管辖区域开展消毒灭源工作，每年进行全面的消毒工作达到两次以上，并且要做到消毒记录完整。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3803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35B14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查看消毒记录，照片，未开展消毒工作的扣12分。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622AFD">
            <w:pPr>
              <w:jc w:val="left"/>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C5BAEA">
            <w:pPr>
              <w:jc w:val="left"/>
              <w:rPr>
                <w:rFonts w:hint="eastAsia" w:ascii="宋体" w:hAnsi="宋体" w:eastAsia="宋体" w:cs="宋体"/>
                <w:i w:val="0"/>
                <w:iCs w:val="0"/>
                <w:color w:val="auto"/>
                <w:sz w:val="21"/>
                <w:szCs w:val="21"/>
                <w:highlight w:val="none"/>
                <w:u w:val="none"/>
              </w:rPr>
            </w:pPr>
          </w:p>
        </w:tc>
      </w:tr>
      <w:tr w14:paraId="7B8B2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C53FF8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六、规范防疫报表填写(20分)</w:t>
            </w:r>
          </w:p>
        </w:tc>
      </w:tr>
      <w:tr w14:paraId="2691F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ECC32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43D4F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1、防疫报表上报情况（书面），包括免疫进度报表。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AC1F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8734A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上报及时、规范的得10分，上报不及时、不规范的，一次扣1分，扣完为止。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09E3C2">
            <w:pPr>
              <w:jc w:val="left"/>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7177D0">
            <w:pPr>
              <w:jc w:val="left"/>
              <w:rPr>
                <w:rFonts w:hint="eastAsia" w:ascii="宋体" w:hAnsi="宋体" w:eastAsia="宋体" w:cs="宋体"/>
                <w:i w:val="0"/>
                <w:iCs w:val="0"/>
                <w:color w:val="auto"/>
                <w:sz w:val="21"/>
                <w:szCs w:val="21"/>
                <w:highlight w:val="none"/>
                <w:u w:val="none"/>
              </w:rPr>
            </w:pPr>
          </w:p>
        </w:tc>
      </w:tr>
      <w:tr w14:paraId="4709A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15D8F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2119F6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2、其它各类应报材料、报表等。指上级业务主管部门临时下达的报表。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287E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3D2A7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迟报一次扣2分、漏报一次扣3分，材料不准确、不规范的一次扣1分，扣完为止。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6CB93B">
            <w:pPr>
              <w:jc w:val="left"/>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23F63A">
            <w:pPr>
              <w:jc w:val="left"/>
              <w:rPr>
                <w:rFonts w:hint="eastAsia" w:ascii="宋体" w:hAnsi="宋体" w:eastAsia="宋体" w:cs="宋体"/>
                <w:i w:val="0"/>
                <w:iCs w:val="0"/>
                <w:color w:val="auto"/>
                <w:sz w:val="21"/>
                <w:szCs w:val="21"/>
                <w:highlight w:val="none"/>
                <w:u w:val="none"/>
              </w:rPr>
            </w:pPr>
          </w:p>
        </w:tc>
      </w:tr>
      <w:tr w14:paraId="4739A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4D7A90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七、采样监测工作 （20分）</w:t>
            </w:r>
          </w:p>
        </w:tc>
      </w:tr>
      <w:tr w14:paraId="03804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3CD07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04D05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正常开展采样监测工作，并按时完成采样监测任务，包括国家强制免疫性疫病抗体监测采样、常规性疫病的抗体采样工作、流行病学调查采样工作以及上级部门临时交给的采样工作。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68E7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E3A09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查采样监测原始记录，100%完成任务得满分，有一项未完成采样任务的扣1分，扣完为止。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CDA4FB">
            <w:pPr>
              <w:jc w:val="left"/>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FC3A69">
            <w:pPr>
              <w:jc w:val="left"/>
              <w:rPr>
                <w:rFonts w:hint="eastAsia" w:ascii="宋体" w:hAnsi="宋体" w:eastAsia="宋体" w:cs="宋体"/>
                <w:i w:val="0"/>
                <w:iCs w:val="0"/>
                <w:color w:val="auto"/>
                <w:sz w:val="21"/>
                <w:szCs w:val="21"/>
                <w:highlight w:val="none"/>
                <w:u w:val="none"/>
              </w:rPr>
            </w:pPr>
          </w:p>
        </w:tc>
      </w:tr>
      <w:tr w14:paraId="64C62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738CA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99C4E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有规范、完整的各项采样记录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DA34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55D20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原始采样记录，记录内容包括：采样日期、地点、数量、品种、目的、采样人签名。有完整、规范记录的得满分，有记录但不完整的每检查出一个问题扣1分，扣完为止。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8C938C">
            <w:pPr>
              <w:jc w:val="left"/>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D16E17">
            <w:pPr>
              <w:jc w:val="left"/>
              <w:rPr>
                <w:rFonts w:hint="eastAsia" w:ascii="宋体" w:hAnsi="宋体" w:eastAsia="宋体" w:cs="宋体"/>
                <w:i w:val="0"/>
                <w:iCs w:val="0"/>
                <w:color w:val="auto"/>
                <w:sz w:val="21"/>
                <w:szCs w:val="21"/>
                <w:highlight w:val="none"/>
                <w:u w:val="none"/>
              </w:rPr>
            </w:pPr>
          </w:p>
        </w:tc>
      </w:tr>
      <w:tr w14:paraId="150A3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D65EF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03731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熟练掌握现场采样技术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4532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429F5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现场考核采样技术（包括采血、淋巴结的采集、扁桃体的采集、大脑延髓的采集等），采样过程符合标准要求，能熟练的掌握采样技术的得5分，较熟练得3分，不会的不得分。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46122E">
            <w:pPr>
              <w:jc w:val="left"/>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F035BD">
            <w:pPr>
              <w:jc w:val="left"/>
              <w:rPr>
                <w:rFonts w:hint="eastAsia" w:ascii="宋体" w:hAnsi="宋体" w:eastAsia="宋体" w:cs="宋体"/>
                <w:i w:val="0"/>
                <w:iCs w:val="0"/>
                <w:color w:val="auto"/>
                <w:sz w:val="21"/>
                <w:szCs w:val="21"/>
                <w:highlight w:val="none"/>
                <w:u w:val="none"/>
              </w:rPr>
            </w:pPr>
          </w:p>
        </w:tc>
      </w:tr>
      <w:tr w14:paraId="61BB5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A8223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08BBA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做好农畜产品食品安全采样、送样等工作。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69E90C">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6B9F3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按照上级要求及时采样、送样，不规范、不及时一次的扣1分。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E5A777">
            <w:pPr>
              <w:jc w:val="left"/>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091E1C">
            <w:pPr>
              <w:jc w:val="left"/>
              <w:rPr>
                <w:rFonts w:hint="eastAsia" w:ascii="宋体" w:hAnsi="宋体" w:eastAsia="宋体" w:cs="宋体"/>
                <w:i w:val="0"/>
                <w:iCs w:val="0"/>
                <w:color w:val="auto"/>
                <w:sz w:val="21"/>
                <w:szCs w:val="21"/>
                <w:highlight w:val="none"/>
                <w:u w:val="none"/>
              </w:rPr>
            </w:pPr>
          </w:p>
        </w:tc>
      </w:tr>
      <w:tr w14:paraId="0A0A2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F24A0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06666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送样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013D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2865A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按照上级要求及时送样，不规范、迟送一次的扣1分。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25EE5F">
            <w:pPr>
              <w:jc w:val="left"/>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14E17C">
            <w:pPr>
              <w:jc w:val="left"/>
              <w:rPr>
                <w:rFonts w:hint="eastAsia" w:ascii="宋体" w:hAnsi="宋体" w:eastAsia="宋体" w:cs="宋体"/>
                <w:i w:val="0"/>
                <w:iCs w:val="0"/>
                <w:color w:val="auto"/>
                <w:sz w:val="21"/>
                <w:szCs w:val="21"/>
                <w:highlight w:val="none"/>
                <w:u w:val="none"/>
              </w:rPr>
            </w:pPr>
          </w:p>
        </w:tc>
      </w:tr>
      <w:tr w14:paraId="182E8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15C701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八、牛羊“两病”检测（10分）</w:t>
            </w:r>
          </w:p>
        </w:tc>
      </w:tr>
      <w:tr w14:paraId="61DAC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CFE47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6BD68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根据市站任务对辖区内应检奶牛进行结核、布病检测工作，检测记录要完整、真实。</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1349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A09C9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完成任务，检测结果真实，记录完整的得4分，未完成或记录不完整的扣1分。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355F54">
            <w:pPr>
              <w:jc w:val="left"/>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50C463">
            <w:pPr>
              <w:jc w:val="left"/>
              <w:rPr>
                <w:rFonts w:hint="eastAsia" w:ascii="宋体" w:hAnsi="宋体" w:eastAsia="宋体" w:cs="宋体"/>
                <w:i w:val="0"/>
                <w:iCs w:val="0"/>
                <w:color w:val="auto"/>
                <w:sz w:val="21"/>
                <w:szCs w:val="21"/>
                <w:highlight w:val="none"/>
                <w:u w:val="none"/>
              </w:rPr>
            </w:pPr>
          </w:p>
        </w:tc>
      </w:tr>
      <w:tr w14:paraId="6F49A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402AF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60710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根据市站任务对辖区内应检羊进行布病检测工作，检测记录要完整、真实。</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85B4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E86CD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完成任务，检测结果真实，记录完整的得4分，未完成或记录不完整的扣1分。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0B65C9">
            <w:pPr>
              <w:jc w:val="left"/>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898169">
            <w:pPr>
              <w:jc w:val="left"/>
              <w:rPr>
                <w:rFonts w:hint="eastAsia" w:ascii="宋体" w:hAnsi="宋体" w:eastAsia="宋体" w:cs="宋体"/>
                <w:i w:val="0"/>
                <w:iCs w:val="0"/>
                <w:color w:val="auto"/>
                <w:sz w:val="21"/>
                <w:szCs w:val="21"/>
                <w:highlight w:val="none"/>
                <w:u w:val="none"/>
              </w:rPr>
            </w:pPr>
          </w:p>
        </w:tc>
      </w:tr>
      <w:tr w14:paraId="0203E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D9AEB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BF8EC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对检测阳性牛羊按照规定及时上报、处理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8B66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44073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没有按照规定上报、处理的不得分。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FFBF27">
            <w:pPr>
              <w:jc w:val="left"/>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BBDEA3">
            <w:pPr>
              <w:jc w:val="left"/>
              <w:rPr>
                <w:rFonts w:hint="eastAsia" w:ascii="宋体" w:hAnsi="宋体" w:eastAsia="宋体" w:cs="宋体"/>
                <w:i w:val="0"/>
                <w:iCs w:val="0"/>
                <w:color w:val="auto"/>
                <w:sz w:val="21"/>
                <w:szCs w:val="21"/>
                <w:highlight w:val="none"/>
                <w:u w:val="none"/>
              </w:rPr>
            </w:pPr>
          </w:p>
        </w:tc>
      </w:tr>
      <w:tr w14:paraId="4E452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0A2CCC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九、动物疫情排查及疫病监测、宣传工作(10分)</w:t>
            </w:r>
          </w:p>
        </w:tc>
      </w:tr>
      <w:tr w14:paraId="037B3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3B0BC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3D229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要加强畜禽巡检工作，观察动物异常疫病，发现动物疫情2小时内报告甲方及甲方所在地的动物防疫监督机构。协助甲方对所在区域内养殖户投入品使用情况进行监督。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01BA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B6903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要有巡查记录或监督记录，发现问题有上报记录，未记录或记录不全，每发现一次扣1分，只到扣完为止。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B36C1D">
            <w:pPr>
              <w:jc w:val="left"/>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3E86F6">
            <w:pPr>
              <w:jc w:val="left"/>
              <w:rPr>
                <w:rFonts w:hint="eastAsia" w:ascii="宋体" w:hAnsi="宋体" w:eastAsia="宋体" w:cs="宋体"/>
                <w:i w:val="0"/>
                <w:iCs w:val="0"/>
                <w:color w:val="auto"/>
                <w:sz w:val="21"/>
                <w:szCs w:val="21"/>
                <w:highlight w:val="none"/>
                <w:u w:val="none"/>
              </w:rPr>
            </w:pPr>
          </w:p>
        </w:tc>
      </w:tr>
      <w:tr w14:paraId="6E259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A4944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27B52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每半年要开展一次宣传活动，可以通过讲座、会议、培训、发放传单、条幅、短信等形式对养殖户进行《动物防疫法》等相关法律法规的宣传。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21B8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C454B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宣传要有计划、图片、总结、宣传材料，每少一次宣传扣2分，只到扣完为止。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73412D">
            <w:pPr>
              <w:jc w:val="left"/>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EA8BCC">
            <w:pPr>
              <w:jc w:val="left"/>
              <w:rPr>
                <w:rFonts w:hint="eastAsia" w:ascii="宋体" w:hAnsi="宋体" w:eastAsia="宋体" w:cs="宋体"/>
                <w:i w:val="0"/>
                <w:iCs w:val="0"/>
                <w:color w:val="auto"/>
                <w:sz w:val="21"/>
                <w:szCs w:val="21"/>
                <w:highlight w:val="none"/>
                <w:u w:val="none"/>
              </w:rPr>
            </w:pPr>
          </w:p>
        </w:tc>
      </w:tr>
      <w:tr w14:paraId="34258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7" w:hRule="atLeast"/>
        </w:trPr>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4B52B2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十、饲养及屠宰环节病死动物无害化处理工作</w:t>
            </w:r>
          </w:p>
        </w:tc>
      </w:tr>
      <w:tr w14:paraId="041A5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AE88B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D69F8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按畜牧部门要求运用无害化处理系统，及时上传更新无害化处理数据、照片等，实行无害化处理过程动态监管，完善养殖场（户）病死动物处理档案，敦促养殖户对病死动物100％严格按照规范无害化处置。发现未规范处理的，及时报甲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3ED6A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B1A89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未按照要求进行无害化处理过程动态监管，无害化处理数和系统上报数据不一致、不真实扣2分，病死动物处理档案记录不规范扣1分，病死动物未100％严格按照规范无害化处置的，一次的扣5分。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8C0666">
            <w:pPr>
              <w:jc w:val="left"/>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4E1C28">
            <w:pPr>
              <w:jc w:val="left"/>
              <w:rPr>
                <w:rFonts w:hint="eastAsia" w:ascii="宋体" w:hAnsi="宋体" w:eastAsia="宋体" w:cs="宋体"/>
                <w:i w:val="0"/>
                <w:iCs w:val="0"/>
                <w:color w:val="auto"/>
                <w:sz w:val="21"/>
                <w:szCs w:val="21"/>
                <w:highlight w:val="none"/>
                <w:u w:val="none"/>
              </w:rPr>
            </w:pPr>
          </w:p>
        </w:tc>
      </w:tr>
      <w:tr w14:paraId="19BA4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51E6DF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十一、农畜产品质量安全工作</w:t>
            </w:r>
          </w:p>
        </w:tc>
      </w:tr>
      <w:tr w14:paraId="734D6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ABA62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B3EAC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做好农畜产品食品安全采样、检测等工作。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E289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12E51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未按照要求及时采样、检测、送样，不规范、不及时一次的扣1分。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BB3C59">
            <w:pPr>
              <w:jc w:val="left"/>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0DF678">
            <w:pPr>
              <w:jc w:val="left"/>
              <w:rPr>
                <w:rFonts w:hint="eastAsia" w:ascii="宋体" w:hAnsi="宋体" w:eastAsia="宋体" w:cs="宋体"/>
                <w:i w:val="0"/>
                <w:iCs w:val="0"/>
                <w:color w:val="auto"/>
                <w:sz w:val="21"/>
                <w:szCs w:val="21"/>
                <w:highlight w:val="none"/>
                <w:u w:val="none"/>
              </w:rPr>
            </w:pPr>
          </w:p>
        </w:tc>
      </w:tr>
      <w:tr w14:paraId="23760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ADEBF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75A7D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协助甲方做好农产品质量安全监管工作。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B9A7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3BCB8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未按照要求办理的或办理不规范、不及时一次的扣1分。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0D2502">
            <w:pPr>
              <w:jc w:val="left"/>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C0CD36">
            <w:pPr>
              <w:jc w:val="left"/>
              <w:rPr>
                <w:rFonts w:hint="eastAsia" w:ascii="宋体" w:hAnsi="宋体" w:eastAsia="宋体" w:cs="宋体"/>
                <w:i w:val="0"/>
                <w:iCs w:val="0"/>
                <w:color w:val="auto"/>
                <w:sz w:val="21"/>
                <w:szCs w:val="21"/>
                <w:highlight w:val="none"/>
                <w:u w:val="none"/>
              </w:rPr>
            </w:pPr>
          </w:p>
        </w:tc>
      </w:tr>
      <w:tr w14:paraId="75F05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98B0B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9831A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乙方按照甲方要求做好农业技术服务工作，协助开展农药、兽药、地膜等农业投入品的监管工作。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3732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3B86A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未按照要求办理的或办理不规范、不及时一次的扣1分。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C0AA3E">
            <w:pPr>
              <w:jc w:val="left"/>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9B3696">
            <w:pPr>
              <w:jc w:val="left"/>
              <w:rPr>
                <w:rFonts w:hint="eastAsia" w:ascii="宋体" w:hAnsi="宋体" w:eastAsia="宋体" w:cs="宋体"/>
                <w:i w:val="0"/>
                <w:iCs w:val="0"/>
                <w:color w:val="auto"/>
                <w:sz w:val="21"/>
                <w:szCs w:val="21"/>
                <w:highlight w:val="none"/>
                <w:u w:val="none"/>
              </w:rPr>
            </w:pPr>
          </w:p>
        </w:tc>
      </w:tr>
      <w:tr w14:paraId="24358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5432D9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十二、动物、植物、渔业检疫工作，调运和落地监管工作</w:t>
            </w:r>
          </w:p>
        </w:tc>
      </w:tr>
      <w:tr w14:paraId="6E288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4758C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A016C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乙方协助甲方做好对动物、植物、渔业检疫，调运和落地监管的相关服务工作。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92EF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04412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协助甲方依法实施动物、植物、渔业检疫，调运和落地监管工作，未按照检疫、调运规范操作的扣5分。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419C2A">
            <w:pPr>
              <w:jc w:val="left"/>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5CA6E5">
            <w:pPr>
              <w:jc w:val="left"/>
              <w:rPr>
                <w:rFonts w:hint="eastAsia" w:ascii="宋体" w:hAnsi="宋体" w:eastAsia="宋体" w:cs="宋体"/>
                <w:i w:val="0"/>
                <w:iCs w:val="0"/>
                <w:color w:val="auto"/>
                <w:sz w:val="21"/>
                <w:szCs w:val="21"/>
                <w:highlight w:val="none"/>
                <w:u w:val="none"/>
              </w:rPr>
            </w:pPr>
          </w:p>
        </w:tc>
      </w:tr>
      <w:tr w14:paraId="6BB2C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671B1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1481A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乙方协助甲方做好屠宰监管工作，做好私屠滥宰治理，配合做好古尔邦节期间的临时屠宰工作。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C0AA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8F9AF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未按照要求办理的，扣2分。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B68A47">
            <w:pPr>
              <w:jc w:val="left"/>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EEA00B">
            <w:pPr>
              <w:jc w:val="left"/>
              <w:rPr>
                <w:rFonts w:hint="eastAsia" w:ascii="宋体" w:hAnsi="宋体" w:eastAsia="宋体" w:cs="宋体"/>
                <w:i w:val="0"/>
                <w:iCs w:val="0"/>
                <w:color w:val="auto"/>
                <w:sz w:val="21"/>
                <w:szCs w:val="21"/>
                <w:highlight w:val="none"/>
                <w:u w:val="none"/>
              </w:rPr>
            </w:pPr>
          </w:p>
        </w:tc>
      </w:tr>
      <w:tr w14:paraId="0C1E1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1EE10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7A247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乙方按照甲方要求做好检疫、实验室等物资的进出货纸质及电子台账，并对台账内容完整和真实性负责。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A9B0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1F859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未按照要求办理的，扣2分。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36B547">
            <w:pPr>
              <w:jc w:val="left"/>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0D4CCA">
            <w:pPr>
              <w:jc w:val="left"/>
              <w:rPr>
                <w:rFonts w:hint="eastAsia" w:ascii="宋体" w:hAnsi="宋体" w:eastAsia="宋体" w:cs="宋体"/>
                <w:i w:val="0"/>
                <w:iCs w:val="0"/>
                <w:color w:val="auto"/>
                <w:sz w:val="21"/>
                <w:szCs w:val="21"/>
                <w:highlight w:val="none"/>
                <w:u w:val="none"/>
              </w:rPr>
            </w:pPr>
          </w:p>
        </w:tc>
      </w:tr>
    </w:tbl>
    <w:p w14:paraId="49907399">
      <w:pPr>
        <w:pStyle w:val="127"/>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w:t>
      </w:r>
    </w:p>
    <w:p w14:paraId="3555B6D2">
      <w:pPr>
        <w:pStyle w:val="84"/>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lang w:eastAsia="zh-CN"/>
        </w:rPr>
        <w:t>六</w:t>
      </w:r>
      <w:r>
        <w:rPr>
          <w:rFonts w:hint="eastAsia" w:ascii="宋体" w:hAnsi="宋体" w:cs="宋体"/>
          <w:b/>
          <w:color w:val="auto"/>
          <w:sz w:val="24"/>
          <w:highlight w:val="none"/>
        </w:rPr>
        <w:t>、服务期限</w:t>
      </w:r>
    </w:p>
    <w:p w14:paraId="6E724554">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服务期限为一年，合同每半年签订一次</w:t>
      </w:r>
      <w:r>
        <w:rPr>
          <w:rFonts w:hint="eastAsia" w:ascii="宋体" w:hAnsi="宋体" w:cs="宋体"/>
          <w:color w:val="auto"/>
          <w:sz w:val="24"/>
          <w:szCs w:val="32"/>
          <w:highlight w:val="none"/>
          <w:lang w:eastAsia="zh-CN"/>
        </w:rPr>
        <w:t>。</w:t>
      </w:r>
    </w:p>
    <w:p w14:paraId="62E60CC1">
      <w:pPr>
        <w:pStyle w:val="84"/>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lang w:eastAsia="zh-CN"/>
        </w:rPr>
        <w:t>七</w:t>
      </w:r>
      <w:r>
        <w:rPr>
          <w:rFonts w:hint="eastAsia" w:ascii="宋体" w:hAnsi="宋体" w:cs="宋体"/>
          <w:b/>
          <w:color w:val="auto"/>
          <w:sz w:val="24"/>
          <w:highlight w:val="none"/>
        </w:rPr>
        <w:t>、付款方式（具体以实际签订合同为准）</w:t>
      </w:r>
    </w:p>
    <w:p w14:paraId="1E768758">
      <w:pPr>
        <w:pStyle w:val="84"/>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val="en-US" w:eastAsia="zh-CN"/>
        </w:rPr>
        <w:t>根据实际工作量，按单价进行核算，最终</w:t>
      </w:r>
      <w:r>
        <w:rPr>
          <w:rFonts w:hint="eastAsia" w:ascii="宋体" w:hAnsi="宋体" w:cs="宋体"/>
          <w:color w:val="auto"/>
          <w:sz w:val="24"/>
          <w:highlight w:val="none"/>
        </w:rPr>
        <w:t>以双方实际签订合同为准。</w:t>
      </w:r>
    </w:p>
    <w:p w14:paraId="16DC2F89">
      <w:pPr>
        <w:pStyle w:val="84"/>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lang w:eastAsia="zh-CN"/>
        </w:rPr>
        <w:t>八</w:t>
      </w:r>
      <w:r>
        <w:rPr>
          <w:rFonts w:hint="eastAsia" w:ascii="宋体" w:hAnsi="宋体" w:cs="宋体"/>
          <w:b/>
          <w:color w:val="auto"/>
          <w:sz w:val="24"/>
          <w:highlight w:val="none"/>
        </w:rPr>
        <w:t>、履约保证金</w:t>
      </w:r>
    </w:p>
    <w:p w14:paraId="241F5DA5">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无</w:t>
      </w:r>
    </w:p>
    <w:p w14:paraId="4D805406">
      <w:pPr>
        <w:pStyle w:val="71"/>
        <w:spacing w:line="360" w:lineRule="auto"/>
        <w:ind w:firstLine="241" w:firstLineChars="100"/>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九</w:t>
      </w:r>
      <w:r>
        <w:rPr>
          <w:rFonts w:hint="eastAsia" w:ascii="宋体" w:hAnsi="宋体" w:eastAsia="宋体" w:cs="宋体"/>
          <w:b/>
          <w:bCs/>
          <w:color w:val="auto"/>
          <w:highlight w:val="none"/>
        </w:rPr>
        <w:t>、其他</w:t>
      </w:r>
    </w:p>
    <w:p w14:paraId="6801F92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未经采购方书面同意，供应商不得向他人分包或转让成交项目，也不得将成交项目肢解后分别向他人转让，否则采购方有权终止合同，由此引起的一切损失全部由供应商负责。</w:t>
      </w:r>
    </w:p>
    <w:p w14:paraId="1E50232E">
      <w:pPr>
        <w:pStyle w:val="16"/>
        <w:adjustRightInd w:val="0"/>
        <w:snapToGrid w:val="0"/>
        <w:spacing w:line="400" w:lineRule="exact"/>
        <w:jc w:val="center"/>
        <w:outlineLvl w:val="0"/>
        <w:rPr>
          <w:rFonts w:hint="eastAsia" w:hAnsi="宋体" w:cs="宋体"/>
          <w:b/>
          <w:color w:val="auto"/>
          <w:sz w:val="32"/>
          <w:szCs w:val="32"/>
          <w:highlight w:val="none"/>
        </w:rPr>
      </w:pPr>
      <w:bookmarkStart w:id="523" w:name="_Toc7987"/>
      <w:bookmarkStart w:id="524" w:name="_Toc9402"/>
      <w:bookmarkStart w:id="525" w:name="_Toc20511"/>
      <w:bookmarkStart w:id="526" w:name="_Toc12282"/>
      <w:bookmarkStart w:id="527" w:name="_Toc25382"/>
      <w:bookmarkStart w:id="528" w:name="_Toc25159"/>
      <w:r>
        <w:rPr>
          <w:rFonts w:hint="eastAsia" w:hAnsi="宋体" w:cs="宋体"/>
          <w:b/>
          <w:color w:val="auto"/>
          <w:sz w:val="32"/>
          <w:szCs w:val="32"/>
          <w:highlight w:val="none"/>
        </w:rPr>
        <w:br w:type="page"/>
      </w:r>
      <w:r>
        <w:rPr>
          <w:rFonts w:hint="eastAsia" w:hAnsi="宋体" w:cs="宋体"/>
          <w:b/>
          <w:bCs/>
          <w:color w:val="auto"/>
          <w:kern w:val="2"/>
          <w:sz w:val="28"/>
          <w:szCs w:val="28"/>
          <w:highlight w:val="none"/>
        </w:rPr>
        <w:t>第四章 合同主要条款</w:t>
      </w:r>
      <w:bookmarkEnd w:id="523"/>
    </w:p>
    <w:p w14:paraId="15404EE1">
      <w:pPr>
        <w:pStyle w:val="12"/>
        <w:rPr>
          <w:rFonts w:hint="eastAsia" w:ascii="宋体" w:hAnsi="宋体" w:cs="宋体"/>
          <w:color w:val="auto"/>
          <w:highlight w:val="none"/>
        </w:rPr>
      </w:pPr>
    </w:p>
    <w:bookmarkEnd w:id="524"/>
    <w:bookmarkEnd w:id="525"/>
    <w:bookmarkEnd w:id="526"/>
    <w:bookmarkEnd w:id="527"/>
    <w:bookmarkEnd w:id="528"/>
    <w:p w14:paraId="74F66F03">
      <w:pPr>
        <w:pStyle w:val="12"/>
        <w:rPr>
          <w:rFonts w:hint="eastAsia" w:ascii="宋体" w:hAnsi="宋体" w:cs="宋体"/>
          <w:color w:val="auto"/>
          <w:highlight w:val="none"/>
        </w:rPr>
      </w:pPr>
      <w:bookmarkStart w:id="529" w:name="_Toc5795"/>
      <w:bookmarkStart w:id="530" w:name="_Toc5874"/>
      <w:bookmarkStart w:id="531" w:name="_Toc12889"/>
      <w:bookmarkStart w:id="532" w:name="_Toc24575"/>
      <w:bookmarkStart w:id="533" w:name="_Toc28463"/>
    </w:p>
    <w:p w14:paraId="097C6064">
      <w:pPr>
        <w:pStyle w:val="12"/>
        <w:rPr>
          <w:rFonts w:hint="eastAsia" w:ascii="宋体" w:hAnsi="宋体" w:cs="宋体"/>
          <w:color w:val="auto"/>
          <w:highlight w:val="none"/>
        </w:rPr>
      </w:pPr>
    </w:p>
    <w:p w14:paraId="592FDFD0">
      <w:pPr>
        <w:spacing w:before="238" w:line="219" w:lineRule="auto"/>
        <w:ind w:left="1584"/>
        <w:rPr>
          <w:rFonts w:hint="eastAsia" w:eastAsia="宋体"/>
          <w:highlight w:val="none"/>
          <w:lang w:eastAsia="zh-CN"/>
        </w:rPr>
      </w:pPr>
      <w:r>
        <w:rPr>
          <w:rFonts w:hint="eastAsia" w:ascii="宋体" w:hAnsi="宋体" w:cs="宋体"/>
          <w:b/>
          <w:bCs/>
          <w:spacing w:val="-3"/>
          <w:sz w:val="24"/>
          <w:szCs w:val="24"/>
          <w:highlight w:val="none"/>
          <w:lang w:eastAsia="zh-CN"/>
        </w:rPr>
        <w:t>（</w:t>
      </w:r>
      <w:r>
        <w:rPr>
          <w:rFonts w:ascii="宋体" w:hAnsi="宋体" w:eastAsia="宋体" w:cs="宋体"/>
          <w:b/>
          <w:bCs/>
          <w:spacing w:val="-3"/>
          <w:sz w:val="24"/>
          <w:szCs w:val="24"/>
          <w:highlight w:val="none"/>
        </w:rPr>
        <w:t>本合同为参考合同，最终以与甲方实际签订的为准</w:t>
      </w:r>
      <w:r>
        <w:rPr>
          <w:rFonts w:hint="eastAsia" w:ascii="宋体" w:hAnsi="宋体" w:cs="宋体"/>
          <w:b/>
          <w:bCs/>
          <w:spacing w:val="-3"/>
          <w:sz w:val="24"/>
          <w:szCs w:val="24"/>
          <w:highlight w:val="none"/>
          <w:lang w:eastAsia="zh-CN"/>
        </w:rPr>
        <w:t>）</w:t>
      </w:r>
    </w:p>
    <w:p w14:paraId="4876C0D4">
      <w:pPr>
        <w:spacing w:before="72" w:line="220" w:lineRule="auto"/>
        <w:ind w:left="201"/>
        <w:rPr>
          <w:rFonts w:ascii="宋体" w:hAnsi="宋体" w:eastAsia="宋体" w:cs="宋体"/>
          <w:spacing w:val="-3"/>
          <w:sz w:val="22"/>
          <w:szCs w:val="22"/>
          <w:highlight w:val="none"/>
        </w:rPr>
      </w:pPr>
    </w:p>
    <w:p w14:paraId="60723007">
      <w:pPr>
        <w:spacing w:before="72" w:line="220" w:lineRule="auto"/>
        <w:ind w:left="201"/>
        <w:rPr>
          <w:rFonts w:ascii="宋体" w:hAnsi="宋体" w:eastAsia="宋体" w:cs="宋体"/>
          <w:sz w:val="22"/>
          <w:szCs w:val="22"/>
          <w:highlight w:val="none"/>
        </w:rPr>
      </w:pPr>
      <w:r>
        <w:rPr>
          <w:rFonts w:ascii="宋体" w:hAnsi="宋体" w:eastAsia="宋体" w:cs="宋体"/>
          <w:spacing w:val="-3"/>
          <w:sz w:val="22"/>
          <w:szCs w:val="22"/>
          <w:highlight w:val="none"/>
        </w:rPr>
        <w:t>合同编号：</w:t>
      </w:r>
    </w:p>
    <w:p w14:paraId="1CB10422">
      <w:pPr>
        <w:pStyle w:val="12"/>
        <w:spacing w:line="264" w:lineRule="auto"/>
        <w:rPr>
          <w:highlight w:val="none"/>
        </w:rPr>
      </w:pPr>
    </w:p>
    <w:p w14:paraId="28DD843B">
      <w:pPr>
        <w:spacing w:before="72" w:line="223" w:lineRule="auto"/>
        <w:ind w:left="200"/>
        <w:rPr>
          <w:rFonts w:ascii="宋体" w:hAnsi="宋体" w:eastAsia="宋体" w:cs="宋体"/>
          <w:sz w:val="22"/>
          <w:szCs w:val="22"/>
          <w:highlight w:val="none"/>
        </w:rPr>
      </w:pPr>
      <w:r>
        <w:rPr>
          <w:rFonts w:ascii="宋体" w:hAnsi="宋体" w:eastAsia="宋体" w:cs="宋体"/>
          <w:spacing w:val="-2"/>
          <w:sz w:val="22"/>
          <w:szCs w:val="22"/>
          <w:highlight w:val="none"/>
        </w:rPr>
        <w:t>签订地点：</w:t>
      </w:r>
    </w:p>
    <w:p w14:paraId="0C3867F1">
      <w:pPr>
        <w:pStyle w:val="12"/>
        <w:spacing w:line="261" w:lineRule="auto"/>
        <w:rPr>
          <w:highlight w:val="none"/>
        </w:rPr>
      </w:pPr>
    </w:p>
    <w:p w14:paraId="203B542A">
      <w:pPr>
        <w:spacing w:before="72" w:line="222" w:lineRule="auto"/>
        <w:ind w:left="200"/>
        <w:rPr>
          <w:rFonts w:ascii="宋体" w:hAnsi="宋体" w:eastAsia="宋体" w:cs="宋体"/>
          <w:sz w:val="22"/>
          <w:szCs w:val="22"/>
          <w:highlight w:val="none"/>
        </w:rPr>
      </w:pPr>
      <w:r>
        <w:rPr>
          <w:rFonts w:ascii="宋体" w:hAnsi="宋体" w:eastAsia="宋体" w:cs="宋体"/>
          <w:spacing w:val="-2"/>
          <w:sz w:val="22"/>
          <w:szCs w:val="22"/>
          <w:highlight w:val="none"/>
        </w:rPr>
        <w:t>签订时间：</w:t>
      </w:r>
    </w:p>
    <w:p w14:paraId="1CFF3ACA">
      <w:pPr>
        <w:pStyle w:val="12"/>
        <w:spacing w:line="263" w:lineRule="auto"/>
        <w:rPr>
          <w:highlight w:val="none"/>
        </w:rPr>
      </w:pPr>
    </w:p>
    <w:p w14:paraId="65BD6FF7">
      <w:pPr>
        <w:pStyle w:val="12"/>
        <w:spacing w:line="264" w:lineRule="auto"/>
        <w:rPr>
          <w:highlight w:val="none"/>
        </w:rPr>
      </w:pPr>
    </w:p>
    <w:p w14:paraId="0548876F">
      <w:pPr>
        <w:pStyle w:val="12"/>
        <w:spacing w:line="264" w:lineRule="auto"/>
        <w:rPr>
          <w:highlight w:val="none"/>
        </w:rPr>
      </w:pPr>
    </w:p>
    <w:p w14:paraId="44C876FA">
      <w:pPr>
        <w:pStyle w:val="12"/>
        <w:spacing w:line="264" w:lineRule="auto"/>
        <w:rPr>
          <w:highlight w:val="none"/>
        </w:rPr>
      </w:pPr>
    </w:p>
    <w:p w14:paraId="611141C4">
      <w:pPr>
        <w:spacing w:before="2" w:line="360" w:lineRule="auto"/>
        <w:jc w:val="center"/>
        <w:rPr>
          <w:rFonts w:ascii="宋体" w:hAnsi="宋体" w:eastAsia="宋体" w:cs="宋体"/>
          <w:sz w:val="43"/>
          <w:szCs w:val="43"/>
          <w:highlight w:val="none"/>
        </w:rPr>
      </w:pPr>
      <w:r>
        <w:rPr>
          <w:rFonts w:hint="eastAsia" w:ascii="宋体" w:hAnsi="宋体" w:eastAsia="宋体" w:cs="宋体"/>
          <w:b/>
          <w:bCs/>
          <w:sz w:val="43"/>
          <w:szCs w:val="43"/>
          <w:highlight w:val="none"/>
          <w:lang w:eastAsia="zh-CN"/>
        </w:rPr>
        <w:t>克拉玛依市独山子区农业和水务局2025年度独山子区兽医社会化服务采购项目合同</w:t>
      </w:r>
    </w:p>
    <w:p w14:paraId="534AC676">
      <w:pPr>
        <w:pStyle w:val="12"/>
        <w:spacing w:line="243" w:lineRule="auto"/>
        <w:rPr>
          <w:highlight w:val="none"/>
        </w:rPr>
      </w:pPr>
    </w:p>
    <w:p w14:paraId="4E2163DC">
      <w:pPr>
        <w:pStyle w:val="12"/>
        <w:spacing w:line="243" w:lineRule="auto"/>
        <w:rPr>
          <w:highlight w:val="none"/>
        </w:rPr>
      </w:pPr>
    </w:p>
    <w:p w14:paraId="7FBFA257">
      <w:pPr>
        <w:pStyle w:val="12"/>
        <w:spacing w:line="244" w:lineRule="auto"/>
        <w:rPr>
          <w:highlight w:val="none"/>
        </w:rPr>
      </w:pPr>
    </w:p>
    <w:p w14:paraId="02EFCB18">
      <w:pPr>
        <w:pStyle w:val="12"/>
        <w:spacing w:line="244" w:lineRule="auto"/>
        <w:rPr>
          <w:highlight w:val="none"/>
        </w:rPr>
      </w:pPr>
    </w:p>
    <w:p w14:paraId="62F7200E">
      <w:pPr>
        <w:pStyle w:val="12"/>
        <w:spacing w:line="244" w:lineRule="auto"/>
        <w:rPr>
          <w:highlight w:val="none"/>
        </w:rPr>
      </w:pPr>
    </w:p>
    <w:p w14:paraId="0A48ED61">
      <w:pPr>
        <w:pStyle w:val="12"/>
        <w:spacing w:line="244" w:lineRule="auto"/>
        <w:rPr>
          <w:highlight w:val="none"/>
        </w:rPr>
      </w:pPr>
    </w:p>
    <w:p w14:paraId="3DEE5F56">
      <w:pPr>
        <w:pStyle w:val="12"/>
        <w:spacing w:line="244" w:lineRule="auto"/>
        <w:rPr>
          <w:highlight w:val="none"/>
        </w:rPr>
      </w:pPr>
    </w:p>
    <w:p w14:paraId="53BD6B8A">
      <w:pPr>
        <w:pStyle w:val="12"/>
        <w:spacing w:line="244" w:lineRule="auto"/>
        <w:rPr>
          <w:highlight w:val="none"/>
        </w:rPr>
      </w:pPr>
    </w:p>
    <w:p w14:paraId="290D6987">
      <w:pPr>
        <w:pStyle w:val="12"/>
        <w:spacing w:line="244" w:lineRule="auto"/>
        <w:rPr>
          <w:highlight w:val="none"/>
        </w:rPr>
      </w:pPr>
    </w:p>
    <w:p w14:paraId="4E5AC556">
      <w:pPr>
        <w:pStyle w:val="12"/>
        <w:spacing w:line="244" w:lineRule="auto"/>
        <w:rPr>
          <w:highlight w:val="none"/>
        </w:rPr>
      </w:pPr>
    </w:p>
    <w:p w14:paraId="5A7A20A1">
      <w:pPr>
        <w:pStyle w:val="12"/>
        <w:spacing w:line="244" w:lineRule="auto"/>
        <w:rPr>
          <w:highlight w:val="none"/>
        </w:rPr>
      </w:pPr>
    </w:p>
    <w:p w14:paraId="7FDA21D4">
      <w:pPr>
        <w:pStyle w:val="12"/>
        <w:spacing w:line="244" w:lineRule="auto"/>
        <w:jc w:val="center"/>
        <w:rPr>
          <w:highlight w:val="none"/>
        </w:rPr>
      </w:pPr>
    </w:p>
    <w:p w14:paraId="0C8A6884">
      <w:pPr>
        <w:spacing w:before="102" w:line="224" w:lineRule="auto"/>
        <w:ind w:left="245"/>
        <w:jc w:val="center"/>
        <w:rPr>
          <w:rFonts w:hint="default" w:ascii="宋体" w:hAnsi="宋体" w:eastAsia="宋体" w:cs="宋体"/>
          <w:sz w:val="31"/>
          <w:szCs w:val="31"/>
          <w:highlight w:val="none"/>
          <w:lang w:val="en-US" w:eastAsia="zh-CN"/>
        </w:rPr>
      </w:pPr>
      <w:r>
        <w:rPr>
          <w:rFonts w:ascii="宋体" w:hAnsi="宋体" w:eastAsia="宋体" w:cs="宋体"/>
          <w:b/>
          <w:bCs/>
          <w:spacing w:val="5"/>
          <w:sz w:val="31"/>
          <w:szCs w:val="31"/>
          <w:highlight w:val="none"/>
        </w:rPr>
        <w:t>甲方</w:t>
      </w:r>
      <w:r>
        <w:rPr>
          <w:rFonts w:hint="eastAsia" w:ascii="宋体" w:hAnsi="宋体" w:cs="宋体"/>
          <w:b/>
          <w:bCs/>
          <w:spacing w:val="5"/>
          <w:sz w:val="31"/>
          <w:szCs w:val="31"/>
          <w:highlight w:val="none"/>
          <w:lang w:eastAsia="zh-CN"/>
        </w:rPr>
        <w:t>：</w:t>
      </w:r>
      <w:r>
        <w:rPr>
          <w:rFonts w:hint="eastAsia" w:ascii="宋体" w:hAnsi="宋体" w:cs="宋体"/>
          <w:b/>
          <w:bCs/>
          <w:spacing w:val="5"/>
          <w:sz w:val="31"/>
          <w:szCs w:val="31"/>
          <w:highlight w:val="none"/>
          <w:u w:val="single" w:color="auto"/>
          <w:lang w:val="en-US" w:eastAsia="zh-CN"/>
        </w:rPr>
        <w:t>*****************************************</w:t>
      </w:r>
    </w:p>
    <w:p w14:paraId="5AD8421F">
      <w:pPr>
        <w:pStyle w:val="12"/>
        <w:spacing w:line="284" w:lineRule="auto"/>
        <w:jc w:val="center"/>
        <w:rPr>
          <w:highlight w:val="none"/>
        </w:rPr>
      </w:pPr>
    </w:p>
    <w:p w14:paraId="4925C277">
      <w:pPr>
        <w:spacing w:before="102" w:line="224" w:lineRule="auto"/>
        <w:ind w:left="245"/>
        <w:jc w:val="center"/>
        <w:rPr>
          <w:rFonts w:hint="default" w:ascii="宋体" w:hAnsi="宋体" w:eastAsia="宋体" w:cs="宋体"/>
          <w:sz w:val="31"/>
          <w:szCs w:val="31"/>
          <w:highlight w:val="none"/>
          <w:lang w:val="en-US" w:eastAsia="zh-CN"/>
        </w:rPr>
      </w:pPr>
      <w:r>
        <w:rPr>
          <w:rFonts w:hint="eastAsia" w:ascii="宋体" w:hAnsi="宋体" w:cs="宋体"/>
          <w:b/>
          <w:bCs/>
          <w:spacing w:val="5"/>
          <w:sz w:val="31"/>
          <w:szCs w:val="31"/>
          <w:highlight w:val="none"/>
          <w:lang w:val="en-US" w:eastAsia="zh-CN"/>
        </w:rPr>
        <w:t>乙</w:t>
      </w:r>
      <w:r>
        <w:rPr>
          <w:rFonts w:ascii="宋体" w:hAnsi="宋体" w:eastAsia="宋体" w:cs="宋体"/>
          <w:b/>
          <w:bCs/>
          <w:spacing w:val="5"/>
          <w:sz w:val="31"/>
          <w:szCs w:val="31"/>
          <w:highlight w:val="none"/>
        </w:rPr>
        <w:t>方</w:t>
      </w:r>
      <w:r>
        <w:rPr>
          <w:rFonts w:hint="eastAsia" w:ascii="宋体" w:hAnsi="宋体" w:cs="宋体"/>
          <w:b/>
          <w:bCs/>
          <w:spacing w:val="5"/>
          <w:sz w:val="31"/>
          <w:szCs w:val="31"/>
          <w:highlight w:val="none"/>
          <w:lang w:eastAsia="zh-CN"/>
        </w:rPr>
        <w:t>：</w:t>
      </w:r>
      <w:r>
        <w:rPr>
          <w:rFonts w:hint="eastAsia" w:ascii="宋体" w:hAnsi="宋体" w:cs="宋体"/>
          <w:b/>
          <w:bCs/>
          <w:spacing w:val="5"/>
          <w:sz w:val="31"/>
          <w:szCs w:val="31"/>
          <w:highlight w:val="none"/>
          <w:u w:val="single" w:color="auto"/>
          <w:lang w:val="en-US" w:eastAsia="zh-CN"/>
        </w:rPr>
        <w:t>*****************************************</w:t>
      </w:r>
    </w:p>
    <w:p w14:paraId="75294541">
      <w:pPr>
        <w:spacing w:line="226" w:lineRule="auto"/>
        <w:rPr>
          <w:rFonts w:ascii="宋体" w:hAnsi="宋体" w:eastAsia="宋体" w:cs="宋体"/>
          <w:sz w:val="31"/>
          <w:szCs w:val="31"/>
          <w:highlight w:val="none"/>
        </w:rPr>
      </w:pPr>
    </w:p>
    <w:p w14:paraId="782A9590">
      <w:pPr>
        <w:pStyle w:val="16"/>
        <w:adjustRightInd w:val="0"/>
        <w:snapToGrid w:val="0"/>
        <w:spacing w:line="400" w:lineRule="exact"/>
        <w:jc w:val="center"/>
        <w:outlineLvl w:val="0"/>
        <w:rPr>
          <w:rFonts w:hint="eastAsia" w:hAnsi="宋体" w:cs="宋体"/>
          <w:b/>
          <w:bCs/>
          <w:color w:val="auto"/>
          <w:kern w:val="2"/>
          <w:sz w:val="32"/>
          <w:szCs w:val="32"/>
          <w:highlight w:val="none"/>
        </w:rPr>
      </w:pPr>
    </w:p>
    <w:p w14:paraId="78007A7A">
      <w:pPr>
        <w:pStyle w:val="16"/>
        <w:adjustRightInd w:val="0"/>
        <w:snapToGrid w:val="0"/>
        <w:spacing w:line="400" w:lineRule="exact"/>
        <w:jc w:val="center"/>
        <w:outlineLvl w:val="0"/>
        <w:rPr>
          <w:rFonts w:hint="eastAsia" w:hAnsi="宋体" w:cs="宋体"/>
          <w:b/>
          <w:bCs/>
          <w:color w:val="auto"/>
          <w:kern w:val="2"/>
          <w:sz w:val="32"/>
          <w:szCs w:val="32"/>
          <w:highlight w:val="none"/>
        </w:rPr>
      </w:pPr>
    </w:p>
    <w:p w14:paraId="2A1848D2">
      <w:pPr>
        <w:pStyle w:val="3"/>
        <w:rPr>
          <w:rFonts w:hint="eastAsia" w:ascii="宋体" w:hAnsi="宋体" w:cs="宋体"/>
          <w:b/>
          <w:bCs/>
          <w:color w:val="auto"/>
          <w:sz w:val="28"/>
          <w:szCs w:val="28"/>
          <w:highlight w:val="none"/>
        </w:rPr>
      </w:pPr>
      <w:r>
        <w:rPr>
          <w:rFonts w:ascii="方正小标宋简体" w:eastAsia="方正小标宋简体"/>
          <w:bCs/>
          <w:color w:val="auto"/>
          <w:sz w:val="44"/>
          <w:szCs w:val="44"/>
          <w:highlight w:val="none"/>
        </w:rPr>
        <w:br w:type="page"/>
      </w:r>
    </w:p>
    <w:p w14:paraId="6D651F62">
      <w:pPr>
        <w:pStyle w:val="16"/>
        <w:adjustRightInd w:val="0"/>
        <w:snapToGrid w:val="0"/>
        <w:spacing w:line="400" w:lineRule="exact"/>
        <w:jc w:val="center"/>
        <w:outlineLvl w:val="0"/>
        <w:rPr>
          <w:rFonts w:hint="eastAsia" w:hAnsi="宋体" w:cs="宋体"/>
          <w:b/>
          <w:bCs/>
          <w:color w:val="auto"/>
          <w:kern w:val="2"/>
          <w:sz w:val="32"/>
          <w:szCs w:val="32"/>
          <w:highlight w:val="none"/>
        </w:rPr>
      </w:pPr>
      <w:r>
        <w:rPr>
          <w:rFonts w:hint="eastAsia" w:hAnsi="宋体" w:cs="宋体"/>
          <w:b/>
          <w:bCs/>
          <w:color w:val="auto"/>
          <w:kern w:val="2"/>
          <w:sz w:val="32"/>
          <w:szCs w:val="32"/>
          <w:highlight w:val="none"/>
        </w:rPr>
        <w:t>第五章  响应文件格式</w:t>
      </w:r>
      <w:bookmarkEnd w:id="529"/>
      <w:bookmarkEnd w:id="530"/>
      <w:bookmarkEnd w:id="531"/>
      <w:bookmarkEnd w:id="532"/>
      <w:bookmarkEnd w:id="533"/>
    </w:p>
    <w:p w14:paraId="695F98A6">
      <w:pPr>
        <w:pStyle w:val="12"/>
        <w:rPr>
          <w:rFonts w:hint="eastAsia" w:ascii="宋体" w:hAnsi="宋体" w:cs="宋体"/>
          <w:color w:val="auto"/>
          <w:highlight w:val="none"/>
        </w:rPr>
      </w:pPr>
    </w:p>
    <w:p w14:paraId="680A22C6">
      <w:pPr>
        <w:pStyle w:val="12"/>
        <w:spacing w:line="360" w:lineRule="auto"/>
        <w:ind w:firstLine="723" w:firstLineChars="300"/>
        <w:rPr>
          <w:rFonts w:ascii="宋体" w:hAnsi="宋体" w:cs="宋体"/>
          <w:b/>
          <w:bCs/>
          <w:color w:val="auto"/>
          <w:szCs w:val="24"/>
          <w:highlight w:val="none"/>
        </w:rPr>
      </w:pPr>
      <w:r>
        <w:rPr>
          <w:rFonts w:hint="eastAsia" w:ascii="宋体" w:hAnsi="宋体" w:cs="宋体"/>
          <w:b/>
          <w:bCs/>
          <w:color w:val="auto"/>
          <w:szCs w:val="24"/>
          <w:highlight w:val="none"/>
        </w:rPr>
        <w:t>投标响应文件封面</w:t>
      </w:r>
    </w:p>
    <w:p w14:paraId="6A7FD6FA">
      <w:pPr>
        <w:pStyle w:val="12"/>
        <w:spacing w:line="360" w:lineRule="auto"/>
        <w:ind w:firstLine="723" w:firstLineChars="300"/>
        <w:rPr>
          <w:rFonts w:hint="eastAsia" w:ascii="宋体" w:hAnsi="宋体" w:cs="宋体"/>
          <w:color w:val="auto"/>
          <w:highlight w:val="none"/>
        </w:rPr>
      </w:pPr>
      <w:r>
        <w:rPr>
          <w:rFonts w:hint="eastAsia" w:ascii="宋体" w:hAnsi="宋体" w:cs="宋体"/>
          <w:b/>
          <w:bCs/>
          <w:color w:val="auto"/>
          <w:szCs w:val="24"/>
          <w:highlight w:val="none"/>
        </w:rPr>
        <w:t>资格性/符合性自查表</w:t>
      </w:r>
    </w:p>
    <w:p w14:paraId="0C95A88E">
      <w:pPr>
        <w:snapToGrid w:val="0"/>
        <w:spacing w:line="360" w:lineRule="auto"/>
        <w:ind w:left="210" w:leftChars="100" w:right="210" w:rightChars="100"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kern w:val="0"/>
          <w:sz w:val="24"/>
          <w:highlight w:val="none"/>
        </w:rPr>
        <w:t>法定代表人资格证明书</w:t>
      </w:r>
      <w:r>
        <w:rPr>
          <w:rFonts w:hint="eastAsia" w:ascii="宋体" w:hAnsi="宋体" w:cs="宋体"/>
          <w:b/>
          <w:bCs/>
          <w:color w:val="auto"/>
          <w:sz w:val="24"/>
          <w:highlight w:val="none"/>
        </w:rPr>
        <w:t>（</w:t>
      </w:r>
      <w:r>
        <w:rPr>
          <w:rFonts w:hint="eastAsia" w:ascii="宋体" w:hAnsi="宋体" w:cs="宋体"/>
          <w:b/>
          <w:bCs/>
          <w:color w:val="auto"/>
          <w:kern w:val="0"/>
          <w:sz w:val="24"/>
          <w:highlight w:val="none"/>
        </w:rPr>
        <w:t>格式</w:t>
      </w:r>
      <w:r>
        <w:rPr>
          <w:rFonts w:hint="eastAsia" w:ascii="宋体" w:hAnsi="宋体" w:cs="宋体"/>
          <w:b/>
          <w:bCs/>
          <w:color w:val="auto"/>
          <w:sz w:val="24"/>
          <w:highlight w:val="none"/>
        </w:rPr>
        <w:t>1）</w:t>
      </w:r>
    </w:p>
    <w:p w14:paraId="549416AE">
      <w:pPr>
        <w:snapToGrid w:val="0"/>
        <w:spacing w:line="360" w:lineRule="auto"/>
        <w:ind w:left="210" w:leftChars="100" w:right="210" w:rightChars="100"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kern w:val="0"/>
          <w:sz w:val="24"/>
          <w:highlight w:val="none"/>
        </w:rPr>
        <w:t>法定代表人授权委托书</w:t>
      </w:r>
      <w:r>
        <w:rPr>
          <w:rFonts w:hint="eastAsia" w:ascii="宋体" w:hAnsi="宋体" w:cs="宋体"/>
          <w:b/>
          <w:bCs/>
          <w:color w:val="auto"/>
          <w:sz w:val="24"/>
          <w:highlight w:val="none"/>
        </w:rPr>
        <w:t>（</w:t>
      </w:r>
      <w:r>
        <w:rPr>
          <w:rFonts w:hint="eastAsia" w:ascii="宋体" w:hAnsi="宋体" w:cs="宋体"/>
          <w:b/>
          <w:bCs/>
          <w:color w:val="auto"/>
          <w:kern w:val="0"/>
          <w:sz w:val="24"/>
          <w:highlight w:val="none"/>
        </w:rPr>
        <w:t>格式</w:t>
      </w:r>
      <w:r>
        <w:rPr>
          <w:rFonts w:hint="eastAsia" w:ascii="宋体" w:hAnsi="宋体" w:cs="宋体"/>
          <w:b/>
          <w:bCs/>
          <w:color w:val="auto"/>
          <w:sz w:val="24"/>
          <w:highlight w:val="none"/>
        </w:rPr>
        <w:t>2）</w:t>
      </w:r>
    </w:p>
    <w:p w14:paraId="1836C587">
      <w:pPr>
        <w:snapToGrid w:val="0"/>
        <w:spacing w:line="360" w:lineRule="auto"/>
        <w:ind w:left="210" w:leftChars="100" w:right="210" w:rightChars="100"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（3）</w:t>
      </w:r>
      <w:r>
        <w:rPr>
          <w:rFonts w:hint="eastAsia" w:ascii="宋体" w:hAnsi="宋体" w:cs="宋体"/>
          <w:b/>
          <w:bCs/>
          <w:color w:val="auto"/>
          <w:sz w:val="24"/>
          <w:highlight w:val="none"/>
          <w:lang w:eastAsia="zh-CN"/>
        </w:rPr>
        <w:t>营业执照</w:t>
      </w:r>
      <w:r>
        <w:rPr>
          <w:rFonts w:hint="eastAsia" w:ascii="宋体" w:hAnsi="宋体" w:cs="宋体"/>
          <w:b/>
          <w:bCs/>
          <w:color w:val="auto"/>
          <w:sz w:val="24"/>
          <w:highlight w:val="none"/>
        </w:rPr>
        <w:t>（</w:t>
      </w:r>
      <w:r>
        <w:rPr>
          <w:rFonts w:hint="eastAsia" w:ascii="宋体" w:hAnsi="宋体" w:cs="宋体"/>
          <w:b/>
          <w:bCs/>
          <w:color w:val="auto"/>
          <w:kern w:val="0"/>
          <w:sz w:val="24"/>
          <w:highlight w:val="none"/>
        </w:rPr>
        <w:t>格式</w:t>
      </w:r>
      <w:r>
        <w:rPr>
          <w:rFonts w:hint="eastAsia" w:ascii="宋体" w:hAnsi="宋体" w:cs="宋体"/>
          <w:b/>
          <w:bCs/>
          <w:color w:val="auto"/>
          <w:sz w:val="24"/>
          <w:highlight w:val="none"/>
        </w:rPr>
        <w:t>3）</w:t>
      </w:r>
    </w:p>
    <w:p w14:paraId="5994BD75">
      <w:pPr>
        <w:snapToGrid w:val="0"/>
        <w:spacing w:line="360" w:lineRule="auto"/>
        <w:ind w:left="210" w:leftChars="100" w:right="210" w:rightChars="100" w:firstLine="482" w:firstLineChars="2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（4）</w:t>
      </w:r>
      <w:r>
        <w:rPr>
          <w:rFonts w:hint="eastAsia" w:ascii="宋体" w:hAnsi="宋体" w:cs="宋体"/>
          <w:b/>
          <w:bCs/>
          <w:color w:val="auto"/>
          <w:sz w:val="24"/>
          <w:highlight w:val="none"/>
          <w:lang w:bidi="ar"/>
        </w:rPr>
        <w:t>供应商基本情况表</w:t>
      </w:r>
      <w:r>
        <w:rPr>
          <w:rFonts w:hint="eastAsia" w:ascii="宋体" w:hAnsi="宋体" w:cs="宋体"/>
          <w:b/>
          <w:bCs/>
          <w:color w:val="auto"/>
          <w:kern w:val="0"/>
          <w:sz w:val="24"/>
          <w:highlight w:val="none"/>
        </w:rPr>
        <w:t>（格式4）</w:t>
      </w:r>
    </w:p>
    <w:p w14:paraId="18D56562">
      <w:pPr>
        <w:snapToGrid w:val="0"/>
        <w:spacing w:line="360" w:lineRule="auto"/>
        <w:ind w:left="210" w:leftChars="100" w:right="210" w:rightChars="100" w:firstLine="482" w:firstLineChars="2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（5）</w:t>
      </w:r>
      <w:r>
        <w:rPr>
          <w:rFonts w:hint="eastAsia" w:ascii="宋体" w:hAnsi="宋体" w:cs="宋体"/>
          <w:b/>
          <w:bCs/>
          <w:color w:val="auto"/>
          <w:kern w:val="0"/>
          <w:sz w:val="24"/>
          <w:highlight w:val="none"/>
          <w:lang w:val="en-US" w:eastAsia="zh-CN"/>
        </w:rPr>
        <w:t>2024年</w:t>
      </w:r>
      <w:r>
        <w:rPr>
          <w:rFonts w:hint="eastAsia" w:ascii="宋体" w:hAnsi="宋体" w:cs="宋体"/>
          <w:b/>
          <w:bCs/>
          <w:color w:val="auto"/>
          <w:kern w:val="0"/>
          <w:sz w:val="24"/>
          <w:highlight w:val="none"/>
        </w:rPr>
        <w:t>度财务审计报告</w:t>
      </w:r>
      <w:r>
        <w:rPr>
          <w:rFonts w:hint="eastAsia" w:ascii="宋体" w:hAnsi="宋体" w:cs="宋体"/>
          <w:b/>
          <w:bCs/>
          <w:color w:val="auto"/>
          <w:kern w:val="0"/>
          <w:sz w:val="24"/>
          <w:highlight w:val="none"/>
          <w:lang w:eastAsia="zh-CN"/>
        </w:rPr>
        <w:t>或财务报表</w:t>
      </w:r>
      <w:r>
        <w:rPr>
          <w:rFonts w:hint="eastAsia" w:ascii="宋体" w:hAnsi="宋体" w:cs="宋体"/>
          <w:b/>
          <w:bCs/>
          <w:color w:val="auto"/>
          <w:kern w:val="0"/>
          <w:sz w:val="24"/>
          <w:highlight w:val="none"/>
        </w:rPr>
        <w:t>（格式5）</w:t>
      </w:r>
    </w:p>
    <w:p w14:paraId="598A84D1">
      <w:pPr>
        <w:snapToGrid w:val="0"/>
        <w:spacing w:line="360" w:lineRule="auto"/>
        <w:ind w:left="210" w:leftChars="100" w:right="210" w:rightChars="100" w:firstLine="482" w:firstLineChars="2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（6）</w:t>
      </w:r>
      <w:r>
        <w:rPr>
          <w:rFonts w:hint="eastAsia" w:ascii="宋体" w:hAnsi="宋体" w:cs="宋体"/>
          <w:b/>
          <w:color w:val="auto"/>
          <w:sz w:val="24"/>
          <w:highlight w:val="none"/>
        </w:rPr>
        <w:t>具有履行合同所必需的设备和专业技术能力声明</w:t>
      </w:r>
      <w:r>
        <w:rPr>
          <w:rFonts w:hint="eastAsia" w:ascii="宋体" w:hAnsi="宋体" w:cs="宋体"/>
          <w:b/>
          <w:bCs/>
          <w:color w:val="auto"/>
          <w:kern w:val="0"/>
          <w:sz w:val="24"/>
          <w:highlight w:val="none"/>
        </w:rPr>
        <w:t>（格式6）</w:t>
      </w:r>
    </w:p>
    <w:p w14:paraId="12D986EE">
      <w:pPr>
        <w:snapToGrid w:val="0"/>
        <w:spacing w:line="360" w:lineRule="auto"/>
        <w:ind w:left="210" w:leftChars="100" w:right="210" w:rightChars="100" w:firstLine="482" w:firstLineChars="200"/>
        <w:jc w:val="left"/>
        <w:rPr>
          <w:rFonts w:hint="eastAsia" w:ascii="宋体" w:hAnsi="宋体" w:cs="宋体"/>
          <w:b/>
          <w:bCs/>
          <w:color w:val="auto"/>
          <w:sz w:val="24"/>
          <w:highlight w:val="none"/>
        </w:rPr>
      </w:pPr>
      <w:r>
        <w:rPr>
          <w:rFonts w:hint="eastAsia" w:ascii="宋体" w:hAnsi="宋体" w:cs="宋体"/>
          <w:b/>
          <w:bCs/>
          <w:color w:val="auto"/>
          <w:kern w:val="0"/>
          <w:sz w:val="24"/>
          <w:highlight w:val="none"/>
        </w:rPr>
        <w:t>（7）近六个月</w:t>
      </w:r>
      <w:r>
        <w:rPr>
          <w:rFonts w:hint="eastAsia" w:ascii="宋体" w:hAnsi="宋体" w:cs="宋体"/>
          <w:b/>
          <w:color w:val="auto"/>
          <w:sz w:val="24"/>
          <w:highlight w:val="none"/>
        </w:rPr>
        <w:t>依法缴纳税收和社会保障资金的</w:t>
      </w:r>
      <w:r>
        <w:rPr>
          <w:rFonts w:hint="eastAsia" w:ascii="宋体" w:hAnsi="宋体" w:cs="宋体"/>
          <w:b/>
          <w:bCs/>
          <w:color w:val="auto"/>
          <w:sz w:val="24"/>
          <w:highlight w:val="none"/>
        </w:rPr>
        <w:t>良好记录（格式7）</w:t>
      </w:r>
    </w:p>
    <w:p w14:paraId="1A136D2F">
      <w:pPr>
        <w:snapToGrid w:val="0"/>
        <w:spacing w:line="360" w:lineRule="auto"/>
        <w:ind w:left="210" w:leftChars="100" w:right="210" w:rightChars="100"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（8）近三年内（2022年1月至今）在经营活动中没有重大违法记录的书面声明（格式8）</w:t>
      </w:r>
    </w:p>
    <w:p w14:paraId="66DD60C9">
      <w:pPr>
        <w:snapToGrid w:val="0"/>
        <w:spacing w:line="360" w:lineRule="auto"/>
        <w:ind w:left="210" w:leftChars="100" w:right="210" w:rightChars="100"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（9）信用查询及截图（格式9）</w:t>
      </w:r>
    </w:p>
    <w:p w14:paraId="41488BFB">
      <w:pPr>
        <w:snapToGrid w:val="0"/>
        <w:spacing w:line="360" w:lineRule="auto"/>
        <w:ind w:left="210" w:leftChars="100" w:right="210" w:rightChars="100"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（10）具有相应履约能力声明（格式10）</w:t>
      </w:r>
    </w:p>
    <w:p w14:paraId="0092C70E">
      <w:pPr>
        <w:snapToGrid w:val="0"/>
        <w:spacing w:line="360" w:lineRule="auto"/>
        <w:ind w:left="210" w:leftChars="100" w:right="210" w:rightChars="100"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（11）书面声明（格式11）</w:t>
      </w:r>
    </w:p>
    <w:p w14:paraId="28D8DB61">
      <w:pPr>
        <w:snapToGrid w:val="0"/>
        <w:spacing w:line="360" w:lineRule="auto"/>
        <w:ind w:left="210" w:leftChars="100" w:right="210" w:rightChars="100"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（12）诚信承诺书（格式12）</w:t>
      </w:r>
    </w:p>
    <w:p w14:paraId="08FB448A">
      <w:pPr>
        <w:snapToGrid w:val="0"/>
        <w:spacing w:line="360" w:lineRule="auto"/>
        <w:ind w:left="210" w:leftChars="100" w:right="210" w:rightChars="100"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（13）响应函（格式13）</w:t>
      </w:r>
    </w:p>
    <w:p w14:paraId="0514CCC8">
      <w:pPr>
        <w:snapToGrid w:val="0"/>
        <w:spacing w:line="360" w:lineRule="auto"/>
        <w:ind w:left="210" w:leftChars="100" w:right="210" w:rightChars="100"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（14）商务条款偏离表（格式14）</w:t>
      </w:r>
    </w:p>
    <w:p w14:paraId="7EE3AD37">
      <w:pPr>
        <w:snapToGrid w:val="0"/>
        <w:spacing w:line="360" w:lineRule="auto"/>
        <w:ind w:left="210" w:leftChars="100" w:right="210" w:rightChars="100"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（15）中小企业声明函（服务）（格式</w:t>
      </w:r>
      <w:r>
        <w:rPr>
          <w:rFonts w:hint="eastAsia" w:ascii="宋体" w:hAnsi="宋体" w:cs="宋体"/>
          <w:b/>
          <w:color w:val="auto"/>
          <w:sz w:val="24"/>
          <w:highlight w:val="none"/>
        </w:rPr>
        <w:t>15）</w:t>
      </w:r>
    </w:p>
    <w:p w14:paraId="005F6527">
      <w:pPr>
        <w:snapToGrid w:val="0"/>
        <w:spacing w:line="360" w:lineRule="auto"/>
        <w:ind w:left="210" w:leftChars="100" w:right="210" w:rightChars="100"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（16）商务报价一览表（首次）（格式16）</w:t>
      </w:r>
    </w:p>
    <w:p w14:paraId="0899BD54">
      <w:pPr>
        <w:snapToGrid w:val="0"/>
        <w:spacing w:line="360" w:lineRule="auto"/>
        <w:ind w:left="210" w:leftChars="100" w:right="210" w:rightChars="100"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（17）拟投入人员服务标准及要求（格式17）</w:t>
      </w:r>
    </w:p>
    <w:p w14:paraId="517F0CFA">
      <w:pPr>
        <w:snapToGrid w:val="0"/>
        <w:spacing w:line="360" w:lineRule="auto"/>
        <w:ind w:left="210" w:leftChars="100" w:right="210" w:rightChars="100"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（18）技术条款偏离表（格式18）</w:t>
      </w:r>
    </w:p>
    <w:p w14:paraId="7827596D">
      <w:pPr>
        <w:snapToGrid w:val="0"/>
        <w:spacing w:line="360" w:lineRule="auto"/>
        <w:ind w:left="210" w:leftChars="100" w:right="210" w:rightChars="100"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（19）项目负责人简历表（格式19）</w:t>
      </w:r>
    </w:p>
    <w:p w14:paraId="0E7EF6E0">
      <w:pPr>
        <w:snapToGrid w:val="0"/>
        <w:spacing w:line="360" w:lineRule="auto"/>
        <w:ind w:left="210" w:leftChars="100" w:right="210" w:rightChars="100"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（20）拟投入的专业技术人员一览表（格式20）</w:t>
      </w:r>
    </w:p>
    <w:p w14:paraId="5380AF4A">
      <w:pPr>
        <w:snapToGrid w:val="0"/>
        <w:spacing w:line="360" w:lineRule="auto"/>
        <w:ind w:left="210" w:leftChars="100" w:right="210" w:rightChars="100"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（21）近三年（2022年1月至今）类似项目业绩表（格式21）</w:t>
      </w:r>
    </w:p>
    <w:p w14:paraId="78C25711">
      <w:pPr>
        <w:snapToGrid w:val="0"/>
        <w:spacing w:line="360" w:lineRule="auto"/>
        <w:ind w:left="210" w:leftChars="100" w:right="210" w:rightChars="100"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（22）服务方案（格式22）</w:t>
      </w:r>
    </w:p>
    <w:p w14:paraId="0FE1D7A5">
      <w:pPr>
        <w:snapToGrid w:val="0"/>
        <w:spacing w:line="360" w:lineRule="auto"/>
        <w:ind w:left="210" w:leftChars="100" w:right="210" w:rightChars="100"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（23）其他材料（格式23）</w:t>
      </w:r>
    </w:p>
    <w:p w14:paraId="793A203A">
      <w:pPr>
        <w:snapToGrid w:val="0"/>
        <w:spacing w:line="360" w:lineRule="auto"/>
        <w:ind w:left="210" w:leftChars="100" w:right="210" w:rightChars="100" w:firstLine="482" w:firstLineChars="200"/>
        <w:jc w:val="left"/>
        <w:rPr>
          <w:rFonts w:hint="eastAsia" w:ascii="宋体" w:hAnsi="宋体" w:cs="宋体"/>
          <w:b/>
          <w:color w:val="auto"/>
          <w:sz w:val="56"/>
          <w:szCs w:val="56"/>
          <w:highlight w:val="none"/>
        </w:rPr>
      </w:pP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24</w:t>
      </w:r>
      <w:r>
        <w:rPr>
          <w:rFonts w:hint="eastAsia" w:ascii="宋体" w:hAnsi="宋体" w:cs="宋体"/>
          <w:b/>
          <w:color w:val="auto"/>
          <w:sz w:val="24"/>
          <w:highlight w:val="none"/>
          <w:lang w:eastAsia="zh-CN"/>
        </w:rPr>
        <w:t>）</w:t>
      </w:r>
      <w:r>
        <w:rPr>
          <w:rFonts w:hint="eastAsia" w:ascii="宋体" w:hAnsi="宋体" w:cs="宋体"/>
          <w:b/>
          <w:bCs/>
          <w:color w:val="auto"/>
          <w:sz w:val="24"/>
          <w:highlight w:val="none"/>
        </w:rPr>
        <w:t>商务报价一览表（</w:t>
      </w: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次）</w:t>
      </w:r>
      <w:r>
        <w:rPr>
          <w:rFonts w:hint="eastAsia" w:ascii="宋体" w:hAnsi="宋体" w:cs="宋体"/>
          <w:b/>
          <w:color w:val="auto"/>
          <w:sz w:val="24"/>
          <w:highlight w:val="none"/>
        </w:rPr>
        <w:t>（格式2</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w:t>
      </w:r>
    </w:p>
    <w:p w14:paraId="0C9D3DF1">
      <w:pPr>
        <w:jc w:val="center"/>
        <w:rPr>
          <w:rFonts w:hint="eastAsia" w:ascii="宋体" w:hAnsi="宋体" w:cs="宋体"/>
          <w:b/>
          <w:color w:val="auto"/>
          <w:sz w:val="56"/>
          <w:szCs w:val="56"/>
          <w:highlight w:val="none"/>
          <w:lang w:eastAsia="zh-CN"/>
        </w:rPr>
      </w:pPr>
    </w:p>
    <w:p w14:paraId="6CB22CE4">
      <w:pPr>
        <w:jc w:val="center"/>
        <w:rPr>
          <w:rFonts w:hint="eastAsia" w:ascii="宋体" w:hAnsi="宋体" w:cs="宋体"/>
          <w:b/>
          <w:color w:val="auto"/>
          <w:sz w:val="56"/>
          <w:szCs w:val="56"/>
          <w:highlight w:val="none"/>
          <w:lang w:eastAsia="zh-CN"/>
        </w:rPr>
      </w:pPr>
    </w:p>
    <w:p w14:paraId="0D6DB6D2">
      <w:pPr>
        <w:jc w:val="center"/>
        <w:rPr>
          <w:rFonts w:hint="eastAsia" w:ascii="宋体" w:hAnsi="宋体" w:cs="宋体"/>
          <w:b/>
          <w:color w:val="auto"/>
          <w:sz w:val="56"/>
          <w:szCs w:val="56"/>
          <w:highlight w:val="none"/>
          <w:lang w:eastAsia="zh-CN"/>
        </w:rPr>
      </w:pPr>
    </w:p>
    <w:p w14:paraId="502F1C91">
      <w:pPr>
        <w:jc w:val="center"/>
        <w:rPr>
          <w:rFonts w:hint="eastAsia" w:ascii="宋体" w:hAnsi="宋体" w:eastAsia="宋体" w:cs="宋体"/>
          <w:b/>
          <w:bCs/>
          <w:color w:val="auto"/>
          <w:sz w:val="24"/>
          <w:highlight w:val="none"/>
          <w:lang w:eastAsia="zh-CN"/>
        </w:rPr>
      </w:pPr>
      <w:r>
        <w:rPr>
          <w:rFonts w:hint="eastAsia" w:ascii="宋体" w:hAnsi="宋体" w:cs="宋体"/>
          <w:b/>
          <w:color w:val="auto"/>
          <w:sz w:val="56"/>
          <w:szCs w:val="56"/>
          <w:highlight w:val="none"/>
          <w:lang w:eastAsia="zh-CN"/>
        </w:rPr>
        <w:t>克拉玛依市独山子区农业和水务局2025年度独山子区兽医社会化服务采购项目</w:t>
      </w:r>
    </w:p>
    <w:p w14:paraId="0F788DD6">
      <w:pPr>
        <w:rPr>
          <w:rFonts w:hint="eastAsia" w:ascii="宋体" w:hAnsi="宋体" w:cs="宋体"/>
          <w:b/>
          <w:bCs/>
          <w:color w:val="auto"/>
          <w:sz w:val="24"/>
          <w:highlight w:val="none"/>
        </w:rPr>
      </w:pPr>
    </w:p>
    <w:p w14:paraId="5F668195">
      <w:pPr>
        <w:pStyle w:val="35"/>
        <w:ind w:left="0" w:leftChars="0" w:firstLine="0" w:firstLineChars="0"/>
        <w:rPr>
          <w:rFonts w:hint="eastAsia" w:ascii="宋体" w:hAnsi="宋体" w:cs="宋体"/>
          <w:b/>
          <w:bCs/>
          <w:color w:val="auto"/>
          <w:sz w:val="24"/>
          <w:highlight w:val="none"/>
        </w:rPr>
      </w:pPr>
    </w:p>
    <w:p w14:paraId="79050FCA">
      <w:pPr>
        <w:rPr>
          <w:rFonts w:hint="eastAsia" w:ascii="宋体" w:hAnsi="宋体" w:cs="宋体"/>
          <w:b/>
          <w:bCs/>
          <w:color w:val="auto"/>
          <w:sz w:val="24"/>
          <w:highlight w:val="none"/>
        </w:rPr>
      </w:pPr>
    </w:p>
    <w:p w14:paraId="0E13E530">
      <w:pPr>
        <w:jc w:val="center"/>
        <w:rPr>
          <w:rFonts w:hint="eastAsia" w:ascii="宋体" w:hAnsi="宋体" w:cs="宋体"/>
          <w:b/>
          <w:bCs/>
          <w:color w:val="auto"/>
          <w:sz w:val="24"/>
          <w:highlight w:val="none"/>
        </w:rPr>
      </w:pPr>
      <w:r>
        <w:rPr>
          <w:rFonts w:hint="eastAsia" w:ascii="宋体" w:hAnsi="宋体" w:cs="宋体"/>
          <w:b/>
          <w:bCs/>
          <w:color w:val="auto"/>
          <w:sz w:val="72"/>
          <w:szCs w:val="72"/>
          <w:highlight w:val="none"/>
        </w:rPr>
        <w:t>响 应 文 件</w:t>
      </w:r>
    </w:p>
    <w:p w14:paraId="7320B2CF">
      <w:pPr>
        <w:overflowPunct w:val="0"/>
        <w:spacing w:line="500" w:lineRule="exact"/>
        <w:jc w:val="center"/>
        <w:rPr>
          <w:rFonts w:hint="eastAsia" w:ascii="宋体" w:hAnsi="宋体" w:cs="宋体"/>
          <w:b/>
          <w:bCs/>
          <w:color w:val="auto"/>
          <w:kern w:val="0"/>
          <w:sz w:val="28"/>
          <w:szCs w:val="28"/>
          <w:highlight w:val="none"/>
        </w:rPr>
      </w:pPr>
    </w:p>
    <w:p w14:paraId="2D624C1C">
      <w:pPr>
        <w:overflowPunct w:val="0"/>
        <w:spacing w:line="500" w:lineRule="exact"/>
        <w:jc w:val="center"/>
        <w:rPr>
          <w:rFonts w:hint="eastAsia" w:ascii="宋体" w:hAnsi="宋体" w:eastAsia="宋体" w:cs="宋体"/>
          <w:b/>
          <w:bCs/>
          <w:color w:val="auto"/>
          <w:kern w:val="0"/>
          <w:sz w:val="32"/>
          <w:szCs w:val="32"/>
          <w:highlight w:val="none"/>
          <w:lang w:eastAsia="zh-CN"/>
        </w:rPr>
      </w:pPr>
      <w:r>
        <w:rPr>
          <w:rFonts w:hint="eastAsia" w:ascii="宋体" w:hAnsi="宋体" w:cs="宋体"/>
          <w:b/>
          <w:bCs/>
          <w:color w:val="auto"/>
          <w:kern w:val="0"/>
          <w:sz w:val="32"/>
          <w:szCs w:val="32"/>
          <w:highlight w:val="none"/>
        </w:rPr>
        <w:t>项目编号：</w:t>
      </w:r>
      <w:r>
        <w:rPr>
          <w:rFonts w:hint="eastAsia" w:ascii="宋体" w:hAnsi="宋体" w:cs="宋体"/>
          <w:b/>
          <w:bCs/>
          <w:color w:val="auto"/>
          <w:kern w:val="0"/>
          <w:sz w:val="32"/>
          <w:szCs w:val="32"/>
          <w:highlight w:val="none"/>
          <w:lang w:eastAsia="zh-CN"/>
        </w:rPr>
        <w:t>XJYYZB-(DSNYSWJ)2025113</w:t>
      </w:r>
    </w:p>
    <w:p w14:paraId="4C5D9145">
      <w:pPr>
        <w:spacing w:line="360" w:lineRule="auto"/>
        <w:rPr>
          <w:rFonts w:hint="eastAsia" w:ascii="宋体" w:hAnsi="宋体" w:cs="宋体"/>
          <w:b/>
          <w:bCs/>
          <w:color w:val="auto"/>
          <w:sz w:val="24"/>
          <w:highlight w:val="none"/>
        </w:rPr>
      </w:pPr>
    </w:p>
    <w:p w14:paraId="124D3856">
      <w:pPr>
        <w:spacing w:line="360" w:lineRule="auto"/>
        <w:rPr>
          <w:rFonts w:hint="eastAsia" w:ascii="宋体" w:hAnsi="宋体" w:cs="宋体"/>
          <w:b/>
          <w:bCs/>
          <w:color w:val="auto"/>
          <w:sz w:val="24"/>
          <w:highlight w:val="none"/>
        </w:rPr>
      </w:pPr>
    </w:p>
    <w:p w14:paraId="396B8140">
      <w:pPr>
        <w:pStyle w:val="12"/>
        <w:rPr>
          <w:rFonts w:hint="eastAsia" w:ascii="宋体" w:hAnsi="宋体" w:cs="宋体"/>
          <w:color w:val="auto"/>
          <w:sz w:val="28"/>
          <w:szCs w:val="21"/>
          <w:highlight w:val="none"/>
        </w:rPr>
      </w:pPr>
    </w:p>
    <w:p w14:paraId="604AE292">
      <w:pPr>
        <w:spacing w:line="480" w:lineRule="auto"/>
        <w:ind w:firstLine="1915" w:firstLineChars="596"/>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供应商名称：（盖章）</w:t>
      </w:r>
    </w:p>
    <w:p w14:paraId="57CBFE8B">
      <w:pPr>
        <w:spacing w:line="480" w:lineRule="auto"/>
        <w:ind w:firstLine="1915" w:firstLineChars="596"/>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单位地址：</w:t>
      </w:r>
    </w:p>
    <w:p w14:paraId="70DB2ECA">
      <w:pPr>
        <w:pStyle w:val="16"/>
        <w:spacing w:line="480" w:lineRule="auto"/>
        <w:ind w:firstLine="1915" w:firstLineChars="596"/>
        <w:outlineLvl w:val="0"/>
        <w:rPr>
          <w:rFonts w:hint="eastAsia" w:hAnsi="宋体" w:cs="宋体"/>
          <w:b/>
          <w:bCs/>
          <w:color w:val="auto"/>
          <w:sz w:val="32"/>
          <w:szCs w:val="32"/>
          <w:highlight w:val="none"/>
        </w:rPr>
      </w:pPr>
      <w:bookmarkStart w:id="534" w:name="_Toc27930"/>
      <w:bookmarkStart w:id="535" w:name="_Toc16961"/>
      <w:bookmarkStart w:id="536" w:name="_Toc15457"/>
      <w:bookmarkStart w:id="537" w:name="_Toc7770"/>
      <w:bookmarkStart w:id="538" w:name="_Toc7016"/>
      <w:r>
        <w:rPr>
          <w:rFonts w:hint="eastAsia" w:hAnsi="宋体" w:cs="宋体"/>
          <w:b/>
          <w:bCs/>
          <w:color w:val="auto"/>
          <w:sz w:val="32"/>
          <w:szCs w:val="32"/>
          <w:highlight w:val="none"/>
        </w:rPr>
        <w:t>联系人：</w:t>
      </w:r>
      <w:bookmarkEnd w:id="534"/>
      <w:bookmarkEnd w:id="535"/>
      <w:bookmarkEnd w:id="536"/>
      <w:bookmarkEnd w:id="537"/>
      <w:bookmarkEnd w:id="538"/>
    </w:p>
    <w:p w14:paraId="67E78BE2">
      <w:pPr>
        <w:pStyle w:val="16"/>
        <w:spacing w:line="480" w:lineRule="auto"/>
        <w:ind w:firstLine="1915" w:firstLineChars="596"/>
        <w:outlineLvl w:val="0"/>
        <w:rPr>
          <w:rFonts w:hint="eastAsia" w:hAnsi="宋体" w:cs="宋体"/>
          <w:b/>
          <w:bCs/>
          <w:color w:val="auto"/>
          <w:sz w:val="32"/>
          <w:szCs w:val="32"/>
          <w:highlight w:val="none"/>
        </w:rPr>
      </w:pPr>
      <w:bookmarkStart w:id="539" w:name="_Toc19616"/>
      <w:bookmarkStart w:id="540" w:name="_Toc32756"/>
      <w:bookmarkStart w:id="541" w:name="_Toc5087"/>
      <w:bookmarkStart w:id="542" w:name="_Toc24947"/>
      <w:bookmarkStart w:id="543" w:name="_Toc23532"/>
      <w:r>
        <w:rPr>
          <w:rFonts w:hint="eastAsia" w:hAnsi="宋体" w:cs="宋体"/>
          <w:b/>
          <w:bCs/>
          <w:color w:val="auto"/>
          <w:sz w:val="32"/>
          <w:szCs w:val="32"/>
          <w:highlight w:val="none"/>
        </w:rPr>
        <w:t>联系电话：</w:t>
      </w:r>
      <w:bookmarkEnd w:id="539"/>
      <w:bookmarkEnd w:id="540"/>
      <w:bookmarkEnd w:id="541"/>
      <w:bookmarkEnd w:id="542"/>
      <w:bookmarkEnd w:id="543"/>
    </w:p>
    <w:p w14:paraId="40E5D207">
      <w:pPr>
        <w:pStyle w:val="12"/>
        <w:jc w:val="both"/>
        <w:rPr>
          <w:rFonts w:hint="eastAsia" w:ascii="宋体" w:hAnsi="宋体" w:cs="宋体"/>
          <w:b/>
          <w:bCs/>
          <w:color w:val="auto"/>
          <w:sz w:val="32"/>
          <w:szCs w:val="32"/>
          <w:highlight w:val="none"/>
        </w:rPr>
      </w:pPr>
    </w:p>
    <w:p w14:paraId="7E0CFC60">
      <w:pPr>
        <w:pStyle w:val="12"/>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    年    月    日</w:t>
      </w:r>
    </w:p>
    <w:p w14:paraId="6E3018EC">
      <w:pPr>
        <w:pStyle w:val="12"/>
        <w:rPr>
          <w:rFonts w:hint="eastAsia" w:ascii="宋体" w:hAnsi="宋体" w:cs="宋体"/>
          <w:b/>
          <w:bCs/>
          <w:color w:val="auto"/>
          <w:sz w:val="28"/>
          <w:szCs w:val="28"/>
          <w:highlight w:val="none"/>
        </w:rPr>
      </w:pPr>
    </w:p>
    <w:p w14:paraId="3A29722A">
      <w:pPr>
        <w:rPr>
          <w:rFonts w:hint="eastAsia" w:ascii="宋体" w:hAnsi="宋体" w:cs="宋体"/>
          <w:b/>
          <w:bCs/>
          <w:color w:val="auto"/>
          <w:sz w:val="24"/>
          <w:highlight w:val="none"/>
        </w:rPr>
      </w:pPr>
    </w:p>
    <w:p w14:paraId="7BE7A42E">
      <w:pPr>
        <w:spacing w:line="360" w:lineRule="auto"/>
        <w:ind w:left="947" w:hanging="947" w:hangingChars="337"/>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r>
        <w:rPr>
          <w:rFonts w:hint="eastAsia" w:ascii="宋体" w:hAnsi="宋体" w:cs="宋体"/>
          <w:b/>
          <w:bCs/>
          <w:color w:val="auto"/>
          <w:sz w:val="32"/>
          <w:szCs w:val="32"/>
          <w:highlight w:val="none"/>
        </w:rPr>
        <w:t>资格性/符合性自查表</w:t>
      </w:r>
    </w:p>
    <w:tbl>
      <w:tblPr>
        <w:tblStyle w:val="36"/>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391"/>
        <w:gridCol w:w="3221"/>
        <w:gridCol w:w="2180"/>
        <w:gridCol w:w="2390"/>
      </w:tblGrid>
      <w:tr w14:paraId="3793267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031" w:hRule="atLeast"/>
        </w:trPr>
        <w:tc>
          <w:tcPr>
            <w:tcW w:w="1391" w:type="dxa"/>
            <w:tcBorders>
              <w:top w:val="outset" w:color="111111" w:sz="6" w:space="0"/>
              <w:left w:val="outset" w:color="111111" w:sz="6" w:space="0"/>
              <w:bottom w:val="outset" w:color="111111" w:sz="6" w:space="0"/>
              <w:right w:val="outset" w:color="111111" w:sz="6" w:space="0"/>
            </w:tcBorders>
            <w:noWrap w:val="0"/>
            <w:vAlign w:val="center"/>
          </w:tcPr>
          <w:p w14:paraId="5F4962D0">
            <w:pPr>
              <w:jc w:val="center"/>
              <w:rPr>
                <w:rFonts w:hint="eastAsia" w:ascii="宋体" w:hAnsi="宋体" w:eastAsia="宋体" w:cs="宋体"/>
                <w:color w:val="auto"/>
                <w:sz w:val="24"/>
                <w:highlight w:val="none"/>
              </w:rPr>
            </w:pPr>
            <w:r>
              <w:rPr>
                <w:rFonts w:hint="eastAsia" w:ascii="宋体" w:hAnsi="宋体" w:eastAsia="宋体" w:cs="宋体"/>
                <w:color w:val="auto"/>
                <w:spacing w:val="10"/>
                <w:sz w:val="24"/>
                <w:highlight w:val="none"/>
              </w:rPr>
              <w:t>评审内容</w:t>
            </w:r>
          </w:p>
        </w:tc>
        <w:tc>
          <w:tcPr>
            <w:tcW w:w="3221" w:type="dxa"/>
            <w:tcBorders>
              <w:top w:val="outset" w:color="111111" w:sz="6" w:space="0"/>
              <w:left w:val="outset" w:color="111111" w:sz="6" w:space="0"/>
              <w:bottom w:val="outset" w:color="111111" w:sz="6" w:space="0"/>
              <w:right w:val="outset" w:color="111111" w:sz="6" w:space="0"/>
            </w:tcBorders>
            <w:noWrap w:val="0"/>
            <w:vAlign w:val="center"/>
          </w:tcPr>
          <w:p w14:paraId="116FAA4F">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采购文件要求</w:t>
            </w:r>
          </w:p>
          <w:p w14:paraId="6099CCD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（详见《资格性和符合性审查表》各项）</w:t>
            </w:r>
          </w:p>
        </w:tc>
        <w:tc>
          <w:tcPr>
            <w:tcW w:w="2180" w:type="dxa"/>
            <w:tcBorders>
              <w:top w:val="outset" w:color="111111" w:sz="6" w:space="0"/>
              <w:left w:val="outset" w:color="111111" w:sz="6" w:space="0"/>
              <w:bottom w:val="outset" w:color="111111" w:sz="6" w:space="0"/>
              <w:right w:val="outset" w:color="111111" w:sz="6" w:space="0"/>
            </w:tcBorders>
            <w:noWrap w:val="0"/>
            <w:vAlign w:val="center"/>
          </w:tcPr>
          <w:p w14:paraId="03A343FC">
            <w:pPr>
              <w:jc w:val="center"/>
              <w:rPr>
                <w:rFonts w:hint="eastAsia" w:ascii="宋体" w:hAnsi="宋体" w:eastAsia="宋体" w:cs="宋体"/>
                <w:color w:val="auto"/>
                <w:sz w:val="24"/>
                <w:highlight w:val="none"/>
              </w:rPr>
            </w:pPr>
            <w:r>
              <w:rPr>
                <w:rFonts w:hint="eastAsia" w:ascii="宋体" w:hAnsi="宋体" w:eastAsia="宋体" w:cs="宋体"/>
                <w:color w:val="auto"/>
                <w:spacing w:val="10"/>
                <w:sz w:val="24"/>
                <w:highlight w:val="none"/>
              </w:rPr>
              <w:t>自查结论</w:t>
            </w:r>
          </w:p>
        </w:tc>
        <w:tc>
          <w:tcPr>
            <w:tcW w:w="2390" w:type="dxa"/>
            <w:tcBorders>
              <w:top w:val="outset" w:color="111111" w:sz="6" w:space="0"/>
              <w:left w:val="outset" w:color="111111" w:sz="6" w:space="0"/>
              <w:bottom w:val="outset" w:color="111111" w:sz="6" w:space="0"/>
              <w:right w:val="outset" w:color="111111" w:sz="6" w:space="0"/>
            </w:tcBorders>
            <w:noWrap w:val="0"/>
            <w:vAlign w:val="center"/>
          </w:tcPr>
          <w:p w14:paraId="265A74B4">
            <w:pPr>
              <w:jc w:val="center"/>
              <w:rPr>
                <w:rFonts w:hint="eastAsia" w:ascii="宋体" w:hAnsi="宋体" w:eastAsia="宋体" w:cs="宋体"/>
                <w:color w:val="auto"/>
                <w:sz w:val="24"/>
                <w:highlight w:val="none"/>
              </w:rPr>
            </w:pPr>
            <w:r>
              <w:rPr>
                <w:rFonts w:hint="eastAsia" w:ascii="宋体" w:hAnsi="宋体" w:eastAsia="宋体" w:cs="宋体"/>
                <w:color w:val="auto"/>
                <w:spacing w:val="10"/>
                <w:sz w:val="24"/>
                <w:highlight w:val="none"/>
              </w:rPr>
              <w:t>证明资料</w:t>
            </w:r>
          </w:p>
        </w:tc>
      </w:tr>
      <w:tr w14:paraId="467D309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restart"/>
            <w:tcBorders>
              <w:top w:val="outset" w:color="111111" w:sz="6" w:space="0"/>
              <w:left w:val="outset" w:color="111111" w:sz="6" w:space="0"/>
              <w:right w:val="outset" w:color="111111" w:sz="6" w:space="0"/>
            </w:tcBorders>
            <w:noWrap w:val="0"/>
            <w:vAlign w:val="center"/>
          </w:tcPr>
          <w:p w14:paraId="74FB0841">
            <w:pPr>
              <w:widowControl/>
              <w:spacing w:before="100" w:beforeAutospacing="1" w:after="100" w:afterAutospacing="1"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资格性</w:t>
            </w:r>
          </w:p>
          <w:p w14:paraId="5C58119A">
            <w:pPr>
              <w:widowControl/>
              <w:spacing w:before="100" w:beforeAutospacing="1" w:after="100" w:afterAutospacing="1"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审查</w:t>
            </w:r>
          </w:p>
        </w:tc>
        <w:tc>
          <w:tcPr>
            <w:tcW w:w="3221" w:type="dxa"/>
            <w:tcBorders>
              <w:top w:val="outset" w:color="111111" w:sz="6" w:space="0"/>
              <w:left w:val="outset" w:color="111111" w:sz="6" w:space="0"/>
              <w:bottom w:val="outset" w:color="111111" w:sz="6" w:space="0"/>
              <w:right w:val="outset" w:color="111111" w:sz="6" w:space="0"/>
            </w:tcBorders>
            <w:noWrap w:val="0"/>
            <w:vAlign w:val="center"/>
          </w:tcPr>
          <w:p w14:paraId="1C65E8FA">
            <w:pPr>
              <w:spacing w:line="360" w:lineRule="auto"/>
              <w:rPr>
                <w:rFonts w:hint="eastAsia" w:ascii="宋体" w:hAnsi="宋体" w:eastAsia="宋体" w:cs="宋体"/>
                <w:color w:val="auto"/>
                <w:sz w:val="24"/>
                <w:highlight w:val="none"/>
              </w:rPr>
            </w:pPr>
          </w:p>
        </w:tc>
        <w:tc>
          <w:tcPr>
            <w:tcW w:w="2180" w:type="dxa"/>
            <w:tcBorders>
              <w:top w:val="outset" w:color="111111" w:sz="6" w:space="0"/>
              <w:left w:val="outset" w:color="111111" w:sz="6" w:space="0"/>
              <w:bottom w:val="outset" w:color="111111" w:sz="6" w:space="0"/>
              <w:right w:val="outset" w:color="111111" w:sz="6" w:space="0"/>
            </w:tcBorders>
            <w:noWrap w:val="0"/>
            <w:vAlign w:val="center"/>
          </w:tcPr>
          <w:p w14:paraId="36EB79A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□通过 □不通过</w:t>
            </w:r>
          </w:p>
        </w:tc>
        <w:tc>
          <w:tcPr>
            <w:tcW w:w="2390" w:type="dxa"/>
            <w:tcBorders>
              <w:top w:val="outset" w:color="111111" w:sz="6" w:space="0"/>
              <w:left w:val="outset" w:color="111111" w:sz="6" w:space="0"/>
              <w:bottom w:val="outset" w:color="111111" w:sz="6" w:space="0"/>
              <w:right w:val="outset" w:color="111111" w:sz="6" w:space="0"/>
            </w:tcBorders>
            <w:noWrap w:val="0"/>
            <w:vAlign w:val="center"/>
          </w:tcPr>
          <w:p w14:paraId="2152C02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见响应文件第（）页</w:t>
            </w:r>
          </w:p>
        </w:tc>
      </w:tr>
      <w:tr w14:paraId="4E61F51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0"/>
            <w:vAlign w:val="center"/>
          </w:tcPr>
          <w:p w14:paraId="5207DDFA">
            <w:pPr>
              <w:spacing w:line="360" w:lineRule="auto"/>
              <w:rPr>
                <w:rFonts w:hint="eastAsia" w:ascii="宋体" w:hAnsi="宋体" w:eastAsia="宋体" w:cs="宋体"/>
                <w:color w:val="auto"/>
                <w:sz w:val="24"/>
                <w:highlight w:val="none"/>
              </w:rPr>
            </w:pPr>
          </w:p>
        </w:tc>
        <w:tc>
          <w:tcPr>
            <w:tcW w:w="3221" w:type="dxa"/>
            <w:tcBorders>
              <w:top w:val="outset" w:color="111111" w:sz="6" w:space="0"/>
              <w:left w:val="outset" w:color="111111" w:sz="6" w:space="0"/>
              <w:bottom w:val="outset" w:color="111111" w:sz="6" w:space="0"/>
              <w:right w:val="outset" w:color="111111" w:sz="6" w:space="0"/>
            </w:tcBorders>
            <w:noWrap w:val="0"/>
            <w:vAlign w:val="center"/>
          </w:tcPr>
          <w:p w14:paraId="23AB8FE2">
            <w:pPr>
              <w:spacing w:line="360" w:lineRule="auto"/>
              <w:rPr>
                <w:rFonts w:hint="eastAsia" w:ascii="宋体" w:hAnsi="宋体" w:eastAsia="宋体" w:cs="宋体"/>
                <w:color w:val="auto"/>
                <w:sz w:val="24"/>
                <w:highlight w:val="none"/>
              </w:rPr>
            </w:pPr>
          </w:p>
        </w:tc>
        <w:tc>
          <w:tcPr>
            <w:tcW w:w="2180" w:type="dxa"/>
            <w:tcBorders>
              <w:top w:val="outset" w:color="111111" w:sz="6" w:space="0"/>
              <w:left w:val="outset" w:color="111111" w:sz="6" w:space="0"/>
              <w:bottom w:val="outset" w:color="111111" w:sz="6" w:space="0"/>
              <w:right w:val="outset" w:color="111111" w:sz="6" w:space="0"/>
            </w:tcBorders>
            <w:noWrap w:val="0"/>
            <w:vAlign w:val="center"/>
          </w:tcPr>
          <w:p w14:paraId="7E1876B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□通过 □不通过</w:t>
            </w:r>
          </w:p>
        </w:tc>
        <w:tc>
          <w:tcPr>
            <w:tcW w:w="2390" w:type="dxa"/>
            <w:tcBorders>
              <w:top w:val="outset" w:color="111111" w:sz="6" w:space="0"/>
              <w:left w:val="outset" w:color="111111" w:sz="6" w:space="0"/>
              <w:bottom w:val="outset" w:color="111111" w:sz="6" w:space="0"/>
              <w:right w:val="outset" w:color="111111" w:sz="6" w:space="0"/>
            </w:tcBorders>
            <w:noWrap w:val="0"/>
            <w:vAlign w:val="center"/>
          </w:tcPr>
          <w:p w14:paraId="0A1445E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见响应文件第（）页</w:t>
            </w:r>
          </w:p>
        </w:tc>
      </w:tr>
      <w:tr w14:paraId="7504376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0"/>
            <w:vAlign w:val="center"/>
          </w:tcPr>
          <w:p w14:paraId="157A866F">
            <w:pPr>
              <w:spacing w:line="360" w:lineRule="auto"/>
              <w:rPr>
                <w:rFonts w:hint="eastAsia" w:ascii="宋体" w:hAnsi="宋体" w:eastAsia="宋体" w:cs="宋体"/>
                <w:color w:val="auto"/>
                <w:sz w:val="24"/>
                <w:highlight w:val="none"/>
              </w:rPr>
            </w:pPr>
          </w:p>
        </w:tc>
        <w:tc>
          <w:tcPr>
            <w:tcW w:w="3221" w:type="dxa"/>
            <w:tcBorders>
              <w:top w:val="outset" w:color="111111" w:sz="6" w:space="0"/>
              <w:left w:val="outset" w:color="111111" w:sz="6" w:space="0"/>
              <w:bottom w:val="outset" w:color="111111" w:sz="6" w:space="0"/>
              <w:right w:val="outset" w:color="111111" w:sz="6" w:space="0"/>
            </w:tcBorders>
            <w:noWrap w:val="0"/>
            <w:vAlign w:val="center"/>
          </w:tcPr>
          <w:p w14:paraId="59C371B6">
            <w:pPr>
              <w:spacing w:line="360" w:lineRule="auto"/>
              <w:rPr>
                <w:rFonts w:hint="eastAsia" w:ascii="宋体" w:hAnsi="宋体" w:eastAsia="宋体" w:cs="宋体"/>
                <w:color w:val="auto"/>
                <w:sz w:val="24"/>
                <w:highlight w:val="none"/>
              </w:rPr>
            </w:pPr>
          </w:p>
        </w:tc>
        <w:tc>
          <w:tcPr>
            <w:tcW w:w="2180" w:type="dxa"/>
            <w:tcBorders>
              <w:top w:val="outset" w:color="111111" w:sz="6" w:space="0"/>
              <w:left w:val="outset" w:color="111111" w:sz="6" w:space="0"/>
              <w:bottom w:val="outset" w:color="111111" w:sz="6" w:space="0"/>
              <w:right w:val="outset" w:color="111111" w:sz="6" w:space="0"/>
            </w:tcBorders>
            <w:noWrap w:val="0"/>
            <w:vAlign w:val="center"/>
          </w:tcPr>
          <w:p w14:paraId="1EAC04D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□通过 □不通过</w:t>
            </w:r>
          </w:p>
        </w:tc>
        <w:tc>
          <w:tcPr>
            <w:tcW w:w="2390" w:type="dxa"/>
            <w:tcBorders>
              <w:top w:val="outset" w:color="111111" w:sz="6" w:space="0"/>
              <w:left w:val="outset" w:color="111111" w:sz="6" w:space="0"/>
              <w:bottom w:val="outset" w:color="111111" w:sz="6" w:space="0"/>
              <w:right w:val="outset" w:color="111111" w:sz="6" w:space="0"/>
            </w:tcBorders>
            <w:noWrap w:val="0"/>
            <w:vAlign w:val="center"/>
          </w:tcPr>
          <w:p w14:paraId="2255D7A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见响应文件第（）页</w:t>
            </w:r>
          </w:p>
        </w:tc>
      </w:tr>
      <w:tr w14:paraId="12063FE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0"/>
            <w:vAlign w:val="center"/>
          </w:tcPr>
          <w:p w14:paraId="32BBC872">
            <w:pPr>
              <w:spacing w:line="360" w:lineRule="auto"/>
              <w:rPr>
                <w:rFonts w:hint="eastAsia" w:ascii="宋体" w:hAnsi="宋体" w:eastAsia="宋体" w:cs="宋体"/>
                <w:color w:val="auto"/>
                <w:sz w:val="24"/>
                <w:highlight w:val="none"/>
              </w:rPr>
            </w:pPr>
          </w:p>
        </w:tc>
        <w:tc>
          <w:tcPr>
            <w:tcW w:w="3221" w:type="dxa"/>
            <w:tcBorders>
              <w:top w:val="outset" w:color="111111" w:sz="6" w:space="0"/>
              <w:left w:val="outset" w:color="111111" w:sz="6" w:space="0"/>
              <w:bottom w:val="outset" w:color="111111" w:sz="6" w:space="0"/>
              <w:right w:val="outset" w:color="111111" w:sz="6" w:space="0"/>
            </w:tcBorders>
            <w:noWrap w:val="0"/>
            <w:vAlign w:val="center"/>
          </w:tcPr>
          <w:p w14:paraId="7AC03EBF">
            <w:pPr>
              <w:spacing w:line="360" w:lineRule="auto"/>
              <w:rPr>
                <w:rFonts w:hint="eastAsia" w:ascii="宋体" w:hAnsi="宋体" w:eastAsia="宋体" w:cs="宋体"/>
                <w:color w:val="auto"/>
                <w:sz w:val="24"/>
                <w:highlight w:val="none"/>
              </w:rPr>
            </w:pPr>
          </w:p>
        </w:tc>
        <w:tc>
          <w:tcPr>
            <w:tcW w:w="2180" w:type="dxa"/>
            <w:tcBorders>
              <w:top w:val="outset" w:color="111111" w:sz="6" w:space="0"/>
              <w:left w:val="outset" w:color="111111" w:sz="6" w:space="0"/>
              <w:bottom w:val="outset" w:color="111111" w:sz="6" w:space="0"/>
              <w:right w:val="outset" w:color="111111" w:sz="6" w:space="0"/>
            </w:tcBorders>
            <w:noWrap w:val="0"/>
            <w:vAlign w:val="center"/>
          </w:tcPr>
          <w:p w14:paraId="796CCD0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□通过 □不通过</w:t>
            </w:r>
          </w:p>
        </w:tc>
        <w:tc>
          <w:tcPr>
            <w:tcW w:w="2390" w:type="dxa"/>
            <w:tcBorders>
              <w:top w:val="outset" w:color="111111" w:sz="6" w:space="0"/>
              <w:left w:val="outset" w:color="111111" w:sz="6" w:space="0"/>
              <w:bottom w:val="outset" w:color="111111" w:sz="6" w:space="0"/>
              <w:right w:val="outset" w:color="111111" w:sz="6" w:space="0"/>
            </w:tcBorders>
            <w:noWrap w:val="0"/>
            <w:vAlign w:val="center"/>
          </w:tcPr>
          <w:p w14:paraId="7A1B35E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见响应文件第（）页</w:t>
            </w:r>
          </w:p>
        </w:tc>
      </w:tr>
      <w:tr w14:paraId="481331F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0"/>
            <w:vAlign w:val="center"/>
          </w:tcPr>
          <w:p w14:paraId="56780BBB">
            <w:pPr>
              <w:spacing w:line="360" w:lineRule="auto"/>
              <w:rPr>
                <w:rFonts w:hint="eastAsia" w:ascii="宋体" w:hAnsi="宋体" w:eastAsia="宋体" w:cs="宋体"/>
                <w:color w:val="auto"/>
                <w:sz w:val="24"/>
                <w:highlight w:val="none"/>
              </w:rPr>
            </w:pPr>
          </w:p>
        </w:tc>
        <w:tc>
          <w:tcPr>
            <w:tcW w:w="3221" w:type="dxa"/>
            <w:tcBorders>
              <w:top w:val="outset" w:color="111111" w:sz="6" w:space="0"/>
              <w:left w:val="outset" w:color="111111" w:sz="6" w:space="0"/>
              <w:bottom w:val="outset" w:color="111111" w:sz="6" w:space="0"/>
              <w:right w:val="outset" w:color="111111" w:sz="6" w:space="0"/>
            </w:tcBorders>
            <w:noWrap w:val="0"/>
            <w:vAlign w:val="center"/>
          </w:tcPr>
          <w:p w14:paraId="17D0971D">
            <w:pPr>
              <w:spacing w:line="360" w:lineRule="auto"/>
              <w:rPr>
                <w:rFonts w:hint="eastAsia" w:ascii="宋体" w:hAnsi="宋体" w:eastAsia="宋体" w:cs="宋体"/>
                <w:color w:val="auto"/>
                <w:sz w:val="24"/>
                <w:highlight w:val="none"/>
              </w:rPr>
            </w:pPr>
          </w:p>
        </w:tc>
        <w:tc>
          <w:tcPr>
            <w:tcW w:w="2180" w:type="dxa"/>
            <w:tcBorders>
              <w:top w:val="outset" w:color="111111" w:sz="6" w:space="0"/>
              <w:left w:val="outset" w:color="111111" w:sz="6" w:space="0"/>
              <w:bottom w:val="outset" w:color="111111" w:sz="6" w:space="0"/>
              <w:right w:val="outset" w:color="111111" w:sz="6" w:space="0"/>
            </w:tcBorders>
            <w:noWrap w:val="0"/>
            <w:vAlign w:val="center"/>
          </w:tcPr>
          <w:p w14:paraId="20907AE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□通过 □不通过</w:t>
            </w:r>
          </w:p>
        </w:tc>
        <w:tc>
          <w:tcPr>
            <w:tcW w:w="2390" w:type="dxa"/>
            <w:tcBorders>
              <w:top w:val="outset" w:color="111111" w:sz="6" w:space="0"/>
              <w:left w:val="outset" w:color="111111" w:sz="6" w:space="0"/>
              <w:bottom w:val="outset" w:color="111111" w:sz="6" w:space="0"/>
              <w:right w:val="outset" w:color="111111" w:sz="6" w:space="0"/>
            </w:tcBorders>
            <w:noWrap w:val="0"/>
            <w:vAlign w:val="center"/>
          </w:tcPr>
          <w:p w14:paraId="0A93191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见响应文件第（）页</w:t>
            </w:r>
          </w:p>
        </w:tc>
      </w:tr>
      <w:tr w14:paraId="5C854C9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restart"/>
            <w:tcBorders>
              <w:top w:val="outset" w:color="111111" w:sz="6" w:space="0"/>
              <w:left w:val="outset" w:color="111111" w:sz="6" w:space="0"/>
              <w:right w:val="outset" w:color="111111" w:sz="6" w:space="0"/>
            </w:tcBorders>
            <w:noWrap w:val="0"/>
            <w:vAlign w:val="center"/>
          </w:tcPr>
          <w:p w14:paraId="400C6AD6">
            <w:pPr>
              <w:widowControl/>
              <w:spacing w:before="100" w:beforeAutospacing="1" w:after="100" w:afterAutospacing="1"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符合性</w:t>
            </w:r>
          </w:p>
          <w:p w14:paraId="0567ABFB">
            <w:pPr>
              <w:widowControl/>
              <w:spacing w:before="100" w:beforeAutospacing="1" w:after="100" w:afterAutospacing="1"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审查</w:t>
            </w:r>
          </w:p>
        </w:tc>
        <w:tc>
          <w:tcPr>
            <w:tcW w:w="3221" w:type="dxa"/>
            <w:tcBorders>
              <w:top w:val="outset" w:color="111111" w:sz="6" w:space="0"/>
              <w:left w:val="outset" w:color="111111" w:sz="6" w:space="0"/>
              <w:bottom w:val="outset" w:color="111111" w:sz="6" w:space="0"/>
              <w:right w:val="outset" w:color="111111" w:sz="6" w:space="0"/>
            </w:tcBorders>
            <w:noWrap w:val="0"/>
            <w:vAlign w:val="center"/>
          </w:tcPr>
          <w:p w14:paraId="61783639">
            <w:pPr>
              <w:spacing w:line="360" w:lineRule="auto"/>
              <w:rPr>
                <w:rFonts w:hint="eastAsia" w:ascii="宋体" w:hAnsi="宋体" w:eastAsia="宋体" w:cs="宋体"/>
                <w:color w:val="auto"/>
                <w:sz w:val="24"/>
                <w:highlight w:val="none"/>
              </w:rPr>
            </w:pPr>
          </w:p>
        </w:tc>
        <w:tc>
          <w:tcPr>
            <w:tcW w:w="2180" w:type="dxa"/>
            <w:tcBorders>
              <w:top w:val="outset" w:color="111111" w:sz="6" w:space="0"/>
              <w:left w:val="outset" w:color="111111" w:sz="6" w:space="0"/>
              <w:bottom w:val="outset" w:color="111111" w:sz="6" w:space="0"/>
              <w:right w:val="outset" w:color="111111" w:sz="6" w:space="0"/>
            </w:tcBorders>
            <w:noWrap w:val="0"/>
            <w:vAlign w:val="center"/>
          </w:tcPr>
          <w:p w14:paraId="48C4FE0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□通过 □不通过</w:t>
            </w:r>
          </w:p>
        </w:tc>
        <w:tc>
          <w:tcPr>
            <w:tcW w:w="2390" w:type="dxa"/>
            <w:tcBorders>
              <w:top w:val="outset" w:color="111111" w:sz="6" w:space="0"/>
              <w:left w:val="outset" w:color="111111" w:sz="6" w:space="0"/>
              <w:bottom w:val="outset" w:color="111111" w:sz="6" w:space="0"/>
              <w:right w:val="outset" w:color="111111" w:sz="6" w:space="0"/>
            </w:tcBorders>
            <w:noWrap w:val="0"/>
            <w:vAlign w:val="center"/>
          </w:tcPr>
          <w:p w14:paraId="20ADCFD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见响应文件第（）页</w:t>
            </w:r>
          </w:p>
        </w:tc>
      </w:tr>
      <w:tr w14:paraId="245C0A9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0"/>
            <w:vAlign w:val="center"/>
          </w:tcPr>
          <w:p w14:paraId="11BFF543">
            <w:pPr>
              <w:spacing w:line="360" w:lineRule="auto"/>
              <w:rPr>
                <w:rFonts w:hint="eastAsia" w:ascii="宋体" w:hAnsi="宋体" w:eastAsia="宋体" w:cs="宋体"/>
                <w:color w:val="auto"/>
                <w:sz w:val="24"/>
                <w:highlight w:val="none"/>
              </w:rPr>
            </w:pPr>
          </w:p>
        </w:tc>
        <w:tc>
          <w:tcPr>
            <w:tcW w:w="3221" w:type="dxa"/>
            <w:tcBorders>
              <w:top w:val="outset" w:color="111111" w:sz="6" w:space="0"/>
              <w:left w:val="outset" w:color="111111" w:sz="6" w:space="0"/>
              <w:bottom w:val="outset" w:color="111111" w:sz="6" w:space="0"/>
              <w:right w:val="outset" w:color="111111" w:sz="6" w:space="0"/>
            </w:tcBorders>
            <w:noWrap w:val="0"/>
            <w:vAlign w:val="center"/>
          </w:tcPr>
          <w:p w14:paraId="2C992C7D">
            <w:pPr>
              <w:spacing w:line="360" w:lineRule="auto"/>
              <w:rPr>
                <w:rFonts w:hint="eastAsia" w:ascii="宋体" w:hAnsi="宋体" w:eastAsia="宋体" w:cs="宋体"/>
                <w:color w:val="auto"/>
                <w:sz w:val="24"/>
                <w:highlight w:val="none"/>
              </w:rPr>
            </w:pPr>
          </w:p>
        </w:tc>
        <w:tc>
          <w:tcPr>
            <w:tcW w:w="2180" w:type="dxa"/>
            <w:tcBorders>
              <w:top w:val="outset" w:color="111111" w:sz="6" w:space="0"/>
              <w:left w:val="outset" w:color="111111" w:sz="6" w:space="0"/>
              <w:bottom w:val="outset" w:color="111111" w:sz="6" w:space="0"/>
              <w:right w:val="outset" w:color="111111" w:sz="6" w:space="0"/>
            </w:tcBorders>
            <w:noWrap w:val="0"/>
            <w:vAlign w:val="center"/>
          </w:tcPr>
          <w:p w14:paraId="6A9C0A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□通过 □不通过</w:t>
            </w:r>
          </w:p>
        </w:tc>
        <w:tc>
          <w:tcPr>
            <w:tcW w:w="2390" w:type="dxa"/>
            <w:tcBorders>
              <w:top w:val="outset" w:color="111111" w:sz="6" w:space="0"/>
              <w:left w:val="outset" w:color="111111" w:sz="6" w:space="0"/>
              <w:bottom w:val="outset" w:color="111111" w:sz="6" w:space="0"/>
              <w:right w:val="outset" w:color="111111" w:sz="6" w:space="0"/>
            </w:tcBorders>
            <w:noWrap w:val="0"/>
            <w:vAlign w:val="center"/>
          </w:tcPr>
          <w:p w14:paraId="07DF6EA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见响应文件第（）页</w:t>
            </w:r>
          </w:p>
        </w:tc>
      </w:tr>
      <w:tr w14:paraId="521B988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0"/>
            <w:vAlign w:val="center"/>
          </w:tcPr>
          <w:p w14:paraId="71A363C2">
            <w:pPr>
              <w:spacing w:line="360" w:lineRule="auto"/>
              <w:rPr>
                <w:rFonts w:hint="eastAsia" w:ascii="宋体" w:hAnsi="宋体" w:eastAsia="宋体" w:cs="宋体"/>
                <w:color w:val="auto"/>
                <w:sz w:val="24"/>
                <w:highlight w:val="none"/>
              </w:rPr>
            </w:pPr>
          </w:p>
        </w:tc>
        <w:tc>
          <w:tcPr>
            <w:tcW w:w="3221" w:type="dxa"/>
            <w:tcBorders>
              <w:top w:val="outset" w:color="111111" w:sz="6" w:space="0"/>
              <w:left w:val="outset" w:color="111111" w:sz="6" w:space="0"/>
              <w:bottom w:val="outset" w:color="111111" w:sz="6" w:space="0"/>
              <w:right w:val="outset" w:color="111111" w:sz="6" w:space="0"/>
            </w:tcBorders>
            <w:noWrap w:val="0"/>
            <w:vAlign w:val="center"/>
          </w:tcPr>
          <w:p w14:paraId="660B0A5A">
            <w:pPr>
              <w:spacing w:line="360" w:lineRule="auto"/>
              <w:rPr>
                <w:rFonts w:hint="eastAsia" w:ascii="宋体" w:hAnsi="宋体" w:eastAsia="宋体" w:cs="宋体"/>
                <w:color w:val="auto"/>
                <w:sz w:val="24"/>
                <w:highlight w:val="none"/>
              </w:rPr>
            </w:pPr>
          </w:p>
        </w:tc>
        <w:tc>
          <w:tcPr>
            <w:tcW w:w="2180" w:type="dxa"/>
            <w:tcBorders>
              <w:top w:val="outset" w:color="111111" w:sz="6" w:space="0"/>
              <w:left w:val="outset" w:color="111111" w:sz="6" w:space="0"/>
              <w:bottom w:val="outset" w:color="111111" w:sz="6" w:space="0"/>
              <w:right w:val="outset" w:color="111111" w:sz="6" w:space="0"/>
            </w:tcBorders>
            <w:noWrap w:val="0"/>
            <w:vAlign w:val="center"/>
          </w:tcPr>
          <w:p w14:paraId="347FFDF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□通过 □不通过</w:t>
            </w:r>
          </w:p>
        </w:tc>
        <w:tc>
          <w:tcPr>
            <w:tcW w:w="2390" w:type="dxa"/>
            <w:tcBorders>
              <w:top w:val="outset" w:color="111111" w:sz="6" w:space="0"/>
              <w:left w:val="outset" w:color="111111" w:sz="6" w:space="0"/>
              <w:bottom w:val="outset" w:color="111111" w:sz="6" w:space="0"/>
              <w:right w:val="outset" w:color="111111" w:sz="6" w:space="0"/>
            </w:tcBorders>
            <w:noWrap w:val="0"/>
            <w:vAlign w:val="center"/>
          </w:tcPr>
          <w:p w14:paraId="007DBCC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见响应文件第（）页</w:t>
            </w:r>
          </w:p>
        </w:tc>
      </w:tr>
      <w:tr w14:paraId="3618C40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0"/>
            <w:vAlign w:val="center"/>
          </w:tcPr>
          <w:p w14:paraId="376F8877">
            <w:pPr>
              <w:spacing w:line="360" w:lineRule="auto"/>
              <w:rPr>
                <w:rFonts w:hint="eastAsia" w:ascii="宋体" w:hAnsi="宋体" w:eastAsia="宋体" w:cs="宋体"/>
                <w:color w:val="auto"/>
                <w:sz w:val="24"/>
                <w:highlight w:val="none"/>
              </w:rPr>
            </w:pPr>
          </w:p>
        </w:tc>
        <w:tc>
          <w:tcPr>
            <w:tcW w:w="3221" w:type="dxa"/>
            <w:tcBorders>
              <w:top w:val="outset" w:color="111111" w:sz="6" w:space="0"/>
              <w:left w:val="outset" w:color="111111" w:sz="6" w:space="0"/>
              <w:bottom w:val="outset" w:color="111111" w:sz="6" w:space="0"/>
              <w:right w:val="outset" w:color="111111" w:sz="6" w:space="0"/>
            </w:tcBorders>
            <w:noWrap w:val="0"/>
            <w:vAlign w:val="center"/>
          </w:tcPr>
          <w:p w14:paraId="63C2EF8A">
            <w:pPr>
              <w:spacing w:line="360" w:lineRule="auto"/>
              <w:rPr>
                <w:rFonts w:hint="eastAsia" w:ascii="宋体" w:hAnsi="宋体" w:eastAsia="宋体" w:cs="宋体"/>
                <w:color w:val="auto"/>
                <w:sz w:val="24"/>
                <w:highlight w:val="none"/>
              </w:rPr>
            </w:pPr>
          </w:p>
        </w:tc>
        <w:tc>
          <w:tcPr>
            <w:tcW w:w="2180" w:type="dxa"/>
            <w:tcBorders>
              <w:top w:val="outset" w:color="111111" w:sz="6" w:space="0"/>
              <w:left w:val="outset" w:color="111111" w:sz="6" w:space="0"/>
              <w:bottom w:val="outset" w:color="111111" w:sz="6" w:space="0"/>
              <w:right w:val="outset" w:color="111111" w:sz="6" w:space="0"/>
            </w:tcBorders>
            <w:noWrap w:val="0"/>
            <w:vAlign w:val="center"/>
          </w:tcPr>
          <w:p w14:paraId="39A0C36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□通过 □不通过</w:t>
            </w:r>
          </w:p>
        </w:tc>
        <w:tc>
          <w:tcPr>
            <w:tcW w:w="2390" w:type="dxa"/>
            <w:tcBorders>
              <w:top w:val="outset" w:color="111111" w:sz="6" w:space="0"/>
              <w:left w:val="outset" w:color="111111" w:sz="6" w:space="0"/>
              <w:bottom w:val="outset" w:color="111111" w:sz="6" w:space="0"/>
              <w:right w:val="outset" w:color="111111" w:sz="6" w:space="0"/>
            </w:tcBorders>
            <w:noWrap w:val="0"/>
            <w:vAlign w:val="center"/>
          </w:tcPr>
          <w:p w14:paraId="41A8C87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见响应文件第（）页</w:t>
            </w:r>
          </w:p>
        </w:tc>
      </w:tr>
      <w:tr w14:paraId="2AA43A8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0"/>
            <w:vAlign w:val="center"/>
          </w:tcPr>
          <w:p w14:paraId="033B54F7">
            <w:pPr>
              <w:spacing w:line="360" w:lineRule="auto"/>
              <w:rPr>
                <w:rFonts w:hint="eastAsia" w:ascii="宋体" w:hAnsi="宋体" w:eastAsia="宋体" w:cs="宋体"/>
                <w:color w:val="auto"/>
                <w:sz w:val="24"/>
                <w:highlight w:val="none"/>
              </w:rPr>
            </w:pPr>
          </w:p>
        </w:tc>
        <w:tc>
          <w:tcPr>
            <w:tcW w:w="3221" w:type="dxa"/>
            <w:tcBorders>
              <w:top w:val="outset" w:color="111111" w:sz="6" w:space="0"/>
              <w:left w:val="outset" w:color="111111" w:sz="6" w:space="0"/>
              <w:bottom w:val="outset" w:color="111111" w:sz="6" w:space="0"/>
              <w:right w:val="outset" w:color="111111" w:sz="6" w:space="0"/>
            </w:tcBorders>
            <w:noWrap w:val="0"/>
            <w:vAlign w:val="center"/>
          </w:tcPr>
          <w:p w14:paraId="3A581DA9">
            <w:pPr>
              <w:spacing w:line="360" w:lineRule="auto"/>
              <w:rPr>
                <w:rFonts w:hint="eastAsia" w:ascii="宋体" w:hAnsi="宋体" w:eastAsia="宋体" w:cs="宋体"/>
                <w:color w:val="auto"/>
                <w:sz w:val="24"/>
                <w:highlight w:val="none"/>
              </w:rPr>
            </w:pPr>
          </w:p>
        </w:tc>
        <w:tc>
          <w:tcPr>
            <w:tcW w:w="2180" w:type="dxa"/>
            <w:tcBorders>
              <w:top w:val="outset" w:color="111111" w:sz="6" w:space="0"/>
              <w:left w:val="outset" w:color="111111" w:sz="6" w:space="0"/>
              <w:bottom w:val="outset" w:color="111111" w:sz="6" w:space="0"/>
              <w:right w:val="outset" w:color="111111" w:sz="6" w:space="0"/>
            </w:tcBorders>
            <w:noWrap w:val="0"/>
            <w:vAlign w:val="center"/>
          </w:tcPr>
          <w:p w14:paraId="5EF3E98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□通过 □不通过</w:t>
            </w:r>
          </w:p>
        </w:tc>
        <w:tc>
          <w:tcPr>
            <w:tcW w:w="2390" w:type="dxa"/>
            <w:tcBorders>
              <w:top w:val="outset" w:color="111111" w:sz="6" w:space="0"/>
              <w:left w:val="outset" w:color="111111" w:sz="6" w:space="0"/>
              <w:bottom w:val="outset" w:color="111111" w:sz="6" w:space="0"/>
              <w:right w:val="outset" w:color="111111" w:sz="6" w:space="0"/>
            </w:tcBorders>
            <w:noWrap w:val="0"/>
            <w:vAlign w:val="center"/>
          </w:tcPr>
          <w:p w14:paraId="6EDD3A4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见响应文件第（）页</w:t>
            </w:r>
          </w:p>
        </w:tc>
      </w:tr>
      <w:tr w14:paraId="6856C87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0"/>
            <w:vAlign w:val="center"/>
          </w:tcPr>
          <w:p w14:paraId="72D9715A">
            <w:pPr>
              <w:spacing w:line="360" w:lineRule="auto"/>
              <w:rPr>
                <w:rFonts w:hint="eastAsia" w:ascii="宋体" w:hAnsi="宋体" w:eastAsia="宋体" w:cs="宋体"/>
                <w:color w:val="auto"/>
                <w:sz w:val="24"/>
                <w:highlight w:val="none"/>
              </w:rPr>
            </w:pPr>
          </w:p>
        </w:tc>
        <w:tc>
          <w:tcPr>
            <w:tcW w:w="3221" w:type="dxa"/>
            <w:tcBorders>
              <w:top w:val="outset" w:color="111111" w:sz="6" w:space="0"/>
              <w:left w:val="outset" w:color="111111" w:sz="6" w:space="0"/>
              <w:bottom w:val="outset" w:color="111111" w:sz="6" w:space="0"/>
              <w:right w:val="outset" w:color="111111" w:sz="6" w:space="0"/>
            </w:tcBorders>
            <w:noWrap w:val="0"/>
            <w:vAlign w:val="center"/>
          </w:tcPr>
          <w:p w14:paraId="26A2DB66">
            <w:pPr>
              <w:spacing w:line="360" w:lineRule="auto"/>
              <w:rPr>
                <w:rFonts w:hint="eastAsia" w:ascii="宋体" w:hAnsi="宋体" w:eastAsia="宋体" w:cs="宋体"/>
                <w:color w:val="auto"/>
                <w:sz w:val="24"/>
                <w:highlight w:val="none"/>
              </w:rPr>
            </w:pPr>
          </w:p>
        </w:tc>
        <w:tc>
          <w:tcPr>
            <w:tcW w:w="2180" w:type="dxa"/>
            <w:tcBorders>
              <w:top w:val="outset" w:color="111111" w:sz="6" w:space="0"/>
              <w:left w:val="outset" w:color="111111" w:sz="6" w:space="0"/>
              <w:bottom w:val="outset" w:color="111111" w:sz="6" w:space="0"/>
              <w:right w:val="outset" w:color="111111" w:sz="6" w:space="0"/>
            </w:tcBorders>
            <w:noWrap w:val="0"/>
            <w:vAlign w:val="center"/>
          </w:tcPr>
          <w:p w14:paraId="4D7F445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□通过 □不通过</w:t>
            </w:r>
          </w:p>
        </w:tc>
        <w:tc>
          <w:tcPr>
            <w:tcW w:w="2390" w:type="dxa"/>
            <w:tcBorders>
              <w:top w:val="outset" w:color="111111" w:sz="6" w:space="0"/>
              <w:left w:val="outset" w:color="111111" w:sz="6" w:space="0"/>
              <w:bottom w:val="outset" w:color="111111" w:sz="6" w:space="0"/>
              <w:right w:val="outset" w:color="111111" w:sz="6" w:space="0"/>
            </w:tcBorders>
            <w:noWrap w:val="0"/>
            <w:vAlign w:val="center"/>
          </w:tcPr>
          <w:p w14:paraId="265E4D4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见响应文件第（）页</w:t>
            </w:r>
          </w:p>
        </w:tc>
      </w:tr>
      <w:tr w14:paraId="451A150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0"/>
            <w:vAlign w:val="center"/>
          </w:tcPr>
          <w:p w14:paraId="5648F86A">
            <w:pPr>
              <w:spacing w:line="360" w:lineRule="auto"/>
              <w:rPr>
                <w:rFonts w:hint="eastAsia" w:ascii="宋体" w:hAnsi="宋体" w:eastAsia="宋体" w:cs="宋体"/>
                <w:color w:val="auto"/>
                <w:sz w:val="24"/>
                <w:highlight w:val="none"/>
              </w:rPr>
            </w:pPr>
          </w:p>
        </w:tc>
        <w:tc>
          <w:tcPr>
            <w:tcW w:w="3221" w:type="dxa"/>
            <w:tcBorders>
              <w:top w:val="outset" w:color="111111" w:sz="6" w:space="0"/>
              <w:left w:val="outset" w:color="111111" w:sz="6" w:space="0"/>
              <w:bottom w:val="outset" w:color="111111" w:sz="6" w:space="0"/>
              <w:right w:val="outset" w:color="111111" w:sz="6" w:space="0"/>
            </w:tcBorders>
            <w:noWrap w:val="0"/>
            <w:vAlign w:val="center"/>
          </w:tcPr>
          <w:p w14:paraId="4F8CB68A">
            <w:pPr>
              <w:spacing w:line="360" w:lineRule="auto"/>
              <w:rPr>
                <w:rFonts w:hint="eastAsia" w:ascii="宋体" w:hAnsi="宋体" w:eastAsia="宋体" w:cs="宋体"/>
                <w:color w:val="auto"/>
                <w:sz w:val="24"/>
                <w:highlight w:val="none"/>
              </w:rPr>
            </w:pPr>
          </w:p>
        </w:tc>
        <w:tc>
          <w:tcPr>
            <w:tcW w:w="2180" w:type="dxa"/>
            <w:tcBorders>
              <w:top w:val="outset" w:color="111111" w:sz="6" w:space="0"/>
              <w:left w:val="outset" w:color="111111" w:sz="6" w:space="0"/>
              <w:bottom w:val="outset" w:color="111111" w:sz="6" w:space="0"/>
              <w:right w:val="outset" w:color="111111" w:sz="6" w:space="0"/>
            </w:tcBorders>
            <w:noWrap w:val="0"/>
            <w:vAlign w:val="center"/>
          </w:tcPr>
          <w:p w14:paraId="144BFE3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□通过 □不通过</w:t>
            </w:r>
          </w:p>
        </w:tc>
        <w:tc>
          <w:tcPr>
            <w:tcW w:w="2390" w:type="dxa"/>
            <w:tcBorders>
              <w:top w:val="outset" w:color="111111" w:sz="6" w:space="0"/>
              <w:left w:val="outset" w:color="111111" w:sz="6" w:space="0"/>
              <w:bottom w:val="outset" w:color="111111" w:sz="6" w:space="0"/>
              <w:right w:val="outset" w:color="111111" w:sz="6" w:space="0"/>
            </w:tcBorders>
            <w:noWrap w:val="0"/>
            <w:vAlign w:val="center"/>
          </w:tcPr>
          <w:p w14:paraId="0D25F43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见响应文件第（）页</w:t>
            </w:r>
          </w:p>
        </w:tc>
      </w:tr>
    </w:tbl>
    <w:p w14:paraId="6B6F0B70">
      <w:pPr>
        <w:spacing w:line="300" w:lineRule="auto"/>
        <w:rPr>
          <w:rFonts w:hint="eastAsia" w:ascii="宋体" w:hAnsi="宋体" w:cs="宋体"/>
          <w:color w:val="auto"/>
          <w:sz w:val="24"/>
          <w:highlight w:val="none"/>
        </w:rPr>
      </w:pPr>
      <w:r>
        <w:rPr>
          <w:rFonts w:hint="eastAsia" w:ascii="宋体" w:hAnsi="宋体" w:cs="宋体"/>
          <w:color w:val="auto"/>
          <w:sz w:val="24"/>
          <w:highlight w:val="none"/>
        </w:rPr>
        <w:t>注：1、以上材料将作为响应人有效性审核的重要内容之一，响应人必须严格按照其内容及序列要求在响应文件中对应如实提供，对资格性和符合性证明文件的任何缺漏和不符合项将会直接导致响应文件无效！响应人根据自查结论在对应的□打“√”。</w:t>
      </w:r>
    </w:p>
    <w:p w14:paraId="22EE327E">
      <w:pPr>
        <w:pStyle w:val="35"/>
        <w:ind w:left="0" w:leftChars="0" w:firstLine="240" w:firstLineChars="100"/>
        <w:outlineLvl w:val="1"/>
        <w:rPr>
          <w:rFonts w:hint="eastAsia" w:ascii="宋体" w:hAnsi="宋体" w:cs="宋体"/>
          <w:b/>
          <w:bCs/>
          <w:color w:val="auto"/>
          <w:sz w:val="28"/>
          <w:szCs w:val="28"/>
          <w:highlight w:val="none"/>
        </w:rPr>
      </w:pPr>
      <w:bookmarkStart w:id="544" w:name="_Toc25780"/>
      <w:bookmarkStart w:id="545" w:name="_Toc20005"/>
      <w:r>
        <w:rPr>
          <w:rFonts w:hint="eastAsia" w:ascii="宋体" w:hAnsi="宋体" w:cs="宋体"/>
          <w:color w:val="auto"/>
          <w:sz w:val="24"/>
          <w:highlight w:val="none"/>
        </w:rPr>
        <w:t>2、各响应人按此表格式填写，表格不够时可自行添加。</w:t>
      </w:r>
      <w:bookmarkEnd w:id="544"/>
      <w:bookmarkEnd w:id="545"/>
    </w:p>
    <w:p w14:paraId="5F98CCA8">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格式1  法定代表人资格证明书</w:t>
      </w:r>
    </w:p>
    <w:p w14:paraId="4FC61F07">
      <w:pPr>
        <w:tabs>
          <w:tab w:val="left" w:pos="360"/>
          <w:tab w:val="left" w:pos="1800"/>
        </w:tabs>
        <w:spacing w:line="360" w:lineRule="auto"/>
        <w:ind w:left="540"/>
        <w:rPr>
          <w:rFonts w:hint="eastAsia" w:ascii="宋体" w:hAnsi="宋体" w:cs="宋体"/>
          <w:color w:val="auto"/>
          <w:sz w:val="24"/>
          <w:highlight w:val="none"/>
        </w:rPr>
      </w:pPr>
    </w:p>
    <w:p w14:paraId="1B2CD636">
      <w:pPr>
        <w:tabs>
          <w:tab w:val="left" w:pos="360"/>
          <w:tab w:val="left" w:pos="180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单位名称：</w:t>
      </w:r>
      <w:r>
        <w:rPr>
          <w:rFonts w:hint="eastAsia" w:ascii="宋体" w:hAnsi="宋体" w:cs="宋体"/>
          <w:color w:val="auto"/>
          <w:sz w:val="24"/>
          <w:highlight w:val="none"/>
          <w:u w:val="single"/>
        </w:rPr>
        <w:t xml:space="preserve">                            </w:t>
      </w:r>
    </w:p>
    <w:p w14:paraId="081E098C">
      <w:pPr>
        <w:tabs>
          <w:tab w:val="left" w:pos="360"/>
          <w:tab w:val="left" w:pos="180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p>
    <w:p w14:paraId="539E0F7F">
      <w:pPr>
        <w:tabs>
          <w:tab w:val="left" w:pos="360"/>
          <w:tab w:val="left" w:pos="720"/>
          <w:tab w:val="left" w:pos="900"/>
          <w:tab w:val="left" w:pos="180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年龄：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0B67C062">
      <w:pPr>
        <w:tabs>
          <w:tab w:val="left" w:pos="360"/>
          <w:tab w:val="left" w:pos="180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w:t>
      </w:r>
    </w:p>
    <w:p w14:paraId="0039D7FB">
      <w:pPr>
        <w:tabs>
          <w:tab w:val="left" w:pos="360"/>
          <w:tab w:val="left" w:pos="1800"/>
        </w:tabs>
        <w:spacing w:line="360" w:lineRule="auto"/>
        <w:rPr>
          <w:rFonts w:hint="eastAsia" w:ascii="宋体" w:hAnsi="宋体" w:cs="宋体"/>
          <w:color w:val="auto"/>
          <w:sz w:val="24"/>
          <w:highlight w:val="none"/>
        </w:rPr>
      </w:pPr>
    </w:p>
    <w:p w14:paraId="0C6E78C3">
      <w:pPr>
        <w:tabs>
          <w:tab w:val="left" w:pos="360"/>
          <w:tab w:val="left" w:pos="180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特此证明。</w:t>
      </w:r>
    </w:p>
    <w:p w14:paraId="5E56C913">
      <w:pPr>
        <w:pStyle w:val="12"/>
        <w:rPr>
          <w:rFonts w:hint="eastAsia" w:ascii="宋体" w:hAnsi="宋体" w:cs="宋体"/>
          <w:color w:val="auto"/>
          <w:szCs w:val="24"/>
          <w:highlight w:val="none"/>
        </w:rPr>
      </w:pPr>
    </w:p>
    <w:p w14:paraId="7EDA9A60">
      <w:pPr>
        <w:tabs>
          <w:tab w:val="left" w:pos="360"/>
          <w:tab w:val="left" w:pos="1800"/>
        </w:tabs>
        <w:spacing w:line="360" w:lineRule="auto"/>
        <w:ind w:left="4500"/>
        <w:rPr>
          <w:rFonts w:hint="eastAsia" w:ascii="宋体" w:hAnsi="宋体" w:cs="宋体"/>
          <w:color w:val="auto"/>
          <w:sz w:val="24"/>
          <w:highlight w:val="none"/>
        </w:rPr>
      </w:pPr>
      <w:r>
        <w:rPr>
          <w:rFonts w:hint="eastAsia" w:ascii="宋体" w:hAnsi="宋体" w:cs="宋体"/>
          <w:color w:val="auto"/>
          <w:sz w:val="24"/>
          <w:highlight w:val="none"/>
        </w:rPr>
        <w:t>供应商：（公章）</w:t>
      </w:r>
    </w:p>
    <w:p w14:paraId="2632DBCB">
      <w:pPr>
        <w:tabs>
          <w:tab w:val="left" w:pos="360"/>
          <w:tab w:val="left" w:pos="1800"/>
        </w:tabs>
        <w:spacing w:line="360" w:lineRule="auto"/>
        <w:ind w:left="4500"/>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455E1299">
      <w:pPr>
        <w:tabs>
          <w:tab w:val="left" w:pos="360"/>
          <w:tab w:val="left" w:pos="1800"/>
        </w:tabs>
        <w:spacing w:line="360" w:lineRule="auto"/>
        <w:ind w:firstLine="6000" w:firstLineChars="2500"/>
        <w:rPr>
          <w:rFonts w:hint="eastAsia" w:ascii="宋体" w:hAnsi="宋体" w:cs="宋体"/>
          <w:color w:val="auto"/>
          <w:sz w:val="24"/>
          <w:highlight w:val="none"/>
        </w:rPr>
      </w:pPr>
    </w:p>
    <w:p w14:paraId="510DC88C">
      <w:pPr>
        <w:tabs>
          <w:tab w:val="left" w:pos="360"/>
          <w:tab w:val="left" w:pos="1800"/>
        </w:tabs>
        <w:spacing w:line="360" w:lineRule="auto"/>
        <w:jc w:val="center"/>
        <w:rPr>
          <w:rFonts w:hint="eastAsia" w:ascii="宋体" w:hAnsi="宋体" w:cs="宋体"/>
          <w:color w:val="auto"/>
          <w:sz w:val="24"/>
          <w:highlight w:val="none"/>
        </w:rPr>
      </w:pPr>
    </w:p>
    <w:p w14:paraId="72E0BF5D">
      <w:pPr>
        <w:tabs>
          <w:tab w:val="left" w:pos="360"/>
          <w:tab w:val="left" w:pos="180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-162560</wp:posOffset>
                </wp:positionV>
                <wp:extent cx="2710180" cy="1793875"/>
                <wp:effectExtent l="12700" t="12700" r="20320" b="22225"/>
                <wp:wrapNone/>
                <wp:docPr id="13" name="圆角矩形 13"/>
                <wp:cNvGraphicFramePr/>
                <a:graphic xmlns:a="http://schemas.openxmlformats.org/drawingml/2006/main">
                  <a:graphicData uri="http://schemas.microsoft.com/office/word/2010/wordprocessingShape">
                    <wps:wsp>
                      <wps:cNvSpPr/>
                      <wps:spPr>
                        <a:xfrm>
                          <a:off x="968375" y="4841875"/>
                          <a:ext cx="2710180" cy="1793875"/>
                        </a:xfrm>
                        <a:prstGeom prst="roundRect">
                          <a:avLst>
                            <a:gd name="adj" fmla="val 4035"/>
                          </a:avLst>
                        </a:prstGeom>
                        <a:noFill/>
                        <a:ln w="25400" cap="flat" cmpd="sng" algn="ctr">
                          <a:solidFill>
                            <a:srgbClr val="000000"/>
                          </a:solidFill>
                          <a:prstDash val="solid"/>
                        </a:ln>
                        <a:effectLst/>
                      </wps:spPr>
                      <wps:txbx>
                        <w:txbxContent>
                          <w:p w14:paraId="446396FC">
                            <w:pPr>
                              <w:pStyle w:val="122"/>
                              <w:spacing w:line="360" w:lineRule="auto"/>
                              <w:ind w:firstLine="0" w:firstLineChars="0"/>
                              <w:jc w:val="center"/>
                              <w:rPr>
                                <w:rFonts w:ascii="仿宋" w:hAnsi="仿宋" w:eastAsia="仿宋"/>
                                <w:color w:val="000000"/>
                              </w:rPr>
                            </w:pPr>
                          </w:p>
                          <w:p w14:paraId="32E5B142">
                            <w:pPr>
                              <w:pStyle w:val="122"/>
                              <w:spacing w:line="360" w:lineRule="auto"/>
                              <w:ind w:firstLine="0" w:firstLineChars="0"/>
                              <w:jc w:val="center"/>
                              <w:rPr>
                                <w:rFonts w:hint="eastAsia" w:ascii="宋体" w:hAnsi="宋体" w:eastAsia="宋体" w:cs="宋体"/>
                                <w:color w:val="000000"/>
                              </w:rPr>
                            </w:pPr>
                          </w:p>
                          <w:p w14:paraId="1E164993">
                            <w:pPr>
                              <w:pStyle w:val="122"/>
                              <w:spacing w:line="360" w:lineRule="auto"/>
                              <w:ind w:firstLine="0" w:firstLineChars="0"/>
                              <w:jc w:val="center"/>
                              <w:rPr>
                                <w:rFonts w:hint="eastAsia" w:ascii="仿宋" w:hAnsi="仿宋" w:eastAsia="仿宋" w:cs="仿宋"/>
                                <w:sz w:val="24"/>
                              </w:rPr>
                            </w:pPr>
                            <w:r>
                              <w:rPr>
                                <w:rFonts w:hint="eastAsia" w:ascii="仿宋" w:hAnsi="仿宋" w:eastAsia="仿宋" w:cs="仿宋"/>
                                <w:sz w:val="24"/>
                              </w:rPr>
                              <w:t>法定代表人身份证正面</w:t>
                            </w:r>
                          </w:p>
                          <w:p w14:paraId="5773D91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4pt;margin-top:-12.8pt;height:141.25pt;width:213.4pt;z-index:251659264;v-text-anchor:middle;mso-width-relative:page;mso-height-relative:page;" filled="f" stroked="t" coordsize="21600,21600" arcsize="0.0403703703703704" o:gfxdata="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bh3UW1gAAAAoBAAAPAAAAAAAAAAEAIAAAACIAAABkcnMvZG93bnJldi54bWxQSwECFAAUAAAA&#10;CACHTuJARebAD5sCAAARBQAADgAAAAAAAAABACAAAAAlAQAAZHJzL2Uyb0RvYy54bWxQSwUGAAAA&#10;AAYABgBZAQAAMgYAAAAA&#10;">
                <v:fill on="f" focussize="0,0"/>
                <v:stroke weight="2pt" color="#000000" joinstyle="round"/>
                <v:imagedata o:title=""/>
                <o:lock v:ext="edit" aspectratio="f"/>
                <v:textbox>
                  <w:txbxContent>
                    <w:p w14:paraId="446396FC">
                      <w:pPr>
                        <w:pStyle w:val="122"/>
                        <w:spacing w:line="360" w:lineRule="auto"/>
                        <w:ind w:firstLine="0" w:firstLineChars="0"/>
                        <w:jc w:val="center"/>
                        <w:rPr>
                          <w:rFonts w:ascii="仿宋" w:hAnsi="仿宋" w:eastAsia="仿宋"/>
                          <w:color w:val="000000"/>
                        </w:rPr>
                      </w:pPr>
                    </w:p>
                    <w:p w14:paraId="32E5B142">
                      <w:pPr>
                        <w:pStyle w:val="122"/>
                        <w:spacing w:line="360" w:lineRule="auto"/>
                        <w:ind w:firstLine="0" w:firstLineChars="0"/>
                        <w:jc w:val="center"/>
                        <w:rPr>
                          <w:rFonts w:hint="eastAsia" w:ascii="宋体" w:hAnsi="宋体" w:eastAsia="宋体" w:cs="宋体"/>
                          <w:color w:val="000000"/>
                        </w:rPr>
                      </w:pPr>
                    </w:p>
                    <w:p w14:paraId="1E164993">
                      <w:pPr>
                        <w:pStyle w:val="122"/>
                        <w:spacing w:line="360" w:lineRule="auto"/>
                        <w:ind w:firstLine="0" w:firstLineChars="0"/>
                        <w:jc w:val="center"/>
                        <w:rPr>
                          <w:rFonts w:hint="eastAsia" w:ascii="仿宋" w:hAnsi="仿宋" w:eastAsia="仿宋" w:cs="仿宋"/>
                          <w:sz w:val="24"/>
                        </w:rPr>
                      </w:pPr>
                      <w:r>
                        <w:rPr>
                          <w:rFonts w:hint="eastAsia" w:ascii="仿宋" w:hAnsi="仿宋" w:eastAsia="仿宋" w:cs="仿宋"/>
                          <w:sz w:val="24"/>
                        </w:rPr>
                        <w:t>法定代表人身份证正面</w:t>
                      </w:r>
                    </w:p>
                    <w:p w14:paraId="5773D919">
                      <w:pPr>
                        <w:jc w:val="center"/>
                      </w:pPr>
                    </w:p>
                  </w:txbxContent>
                </v:textbox>
              </v:roundrect>
            </w:pict>
          </mc:Fallback>
        </mc:AlternateContent>
      </w:r>
      <w:r>
        <w:rPr>
          <w:rFonts w:hint="eastAsia" w:ascii="宋体" w:hAnsi="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3007360</wp:posOffset>
                </wp:positionH>
                <wp:positionV relativeFrom="paragraph">
                  <wp:posOffset>-162560</wp:posOffset>
                </wp:positionV>
                <wp:extent cx="2710180" cy="1793875"/>
                <wp:effectExtent l="12700" t="12700" r="20320" b="22225"/>
                <wp:wrapNone/>
                <wp:docPr id="10" name="圆角矩形 10"/>
                <wp:cNvGraphicFramePr/>
                <a:graphic xmlns:a="http://schemas.openxmlformats.org/drawingml/2006/main">
                  <a:graphicData uri="http://schemas.microsoft.com/office/word/2010/wordprocessingShape">
                    <wps:wsp>
                      <wps:cNvSpPr/>
                      <wps:spPr>
                        <a:xfrm>
                          <a:off x="3772535" y="4841875"/>
                          <a:ext cx="2710180" cy="1793875"/>
                        </a:xfrm>
                        <a:prstGeom prst="roundRect">
                          <a:avLst>
                            <a:gd name="adj" fmla="val 4035"/>
                          </a:avLst>
                        </a:prstGeom>
                        <a:noFill/>
                        <a:ln w="25400" cap="flat" cmpd="sng" algn="ctr">
                          <a:solidFill>
                            <a:srgbClr val="000000"/>
                          </a:solidFill>
                          <a:prstDash val="solid"/>
                        </a:ln>
                        <a:effectLst/>
                      </wps:spPr>
                      <wps:txbx>
                        <w:txbxContent>
                          <w:p w14:paraId="5F8A1514">
                            <w:pPr>
                              <w:pStyle w:val="122"/>
                              <w:spacing w:line="360" w:lineRule="auto"/>
                              <w:ind w:firstLine="0" w:firstLineChars="0"/>
                              <w:jc w:val="center"/>
                              <w:rPr>
                                <w:rFonts w:ascii="仿宋" w:hAnsi="仿宋" w:eastAsia="仿宋"/>
                                <w:color w:val="000000"/>
                              </w:rPr>
                            </w:pPr>
                          </w:p>
                          <w:p w14:paraId="0AD49277">
                            <w:pPr>
                              <w:pStyle w:val="122"/>
                              <w:spacing w:line="360" w:lineRule="auto"/>
                              <w:ind w:firstLine="0" w:firstLineChars="0"/>
                              <w:jc w:val="center"/>
                              <w:rPr>
                                <w:rFonts w:hint="eastAsia" w:ascii="宋体" w:hAnsi="宋体" w:eastAsia="宋体" w:cs="宋体"/>
                                <w:color w:val="000000"/>
                              </w:rPr>
                            </w:pPr>
                          </w:p>
                          <w:p w14:paraId="7B1BE216">
                            <w:pPr>
                              <w:pStyle w:val="122"/>
                              <w:spacing w:line="360" w:lineRule="auto"/>
                              <w:ind w:firstLine="0" w:firstLineChars="0"/>
                              <w:jc w:val="center"/>
                              <w:rPr>
                                <w:rFonts w:hint="eastAsia" w:ascii="宋体" w:hAnsi="宋体" w:eastAsia="宋体" w:cs="宋体"/>
                                <w:color w:val="000000"/>
                              </w:rPr>
                            </w:pPr>
                            <w:r>
                              <w:rPr>
                                <w:rFonts w:hint="eastAsia" w:ascii="仿宋" w:hAnsi="仿宋" w:eastAsia="仿宋" w:cs="仿宋"/>
                                <w:sz w:val="24"/>
                              </w:rPr>
                              <w:t>法定代表人身份证反面</w:t>
                            </w:r>
                          </w:p>
                          <w:p w14:paraId="10B8587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6.8pt;margin-top:-12.8pt;height:141.25pt;width:213.4pt;z-index:251660288;v-text-anchor:middle;mso-width-relative:page;mso-height-relative:page;" filled="f" stroked="t" coordsize="21600,21600" arcsize="0.0403703703703704" o:gfxdata="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biNBkNcAAAALAQAADwAAAAAAAAABACAAAAAiAAAAZHJzL2Rvd25yZXYueG1sUEsBAhQAFAAA&#10;AAgAh07iQNDDJV6bAgAAEgUAAA4AAAAAAAAAAQAgAAAAJgEAAGRycy9lMm9Eb2MueG1sUEsFBgAA&#10;AAAGAAYAWQEAADMGAAAAAA==&#10;">
                <v:fill on="f" focussize="0,0"/>
                <v:stroke weight="2pt" color="#000000" joinstyle="round"/>
                <v:imagedata o:title=""/>
                <o:lock v:ext="edit" aspectratio="f"/>
                <v:textbox>
                  <w:txbxContent>
                    <w:p w14:paraId="5F8A1514">
                      <w:pPr>
                        <w:pStyle w:val="122"/>
                        <w:spacing w:line="360" w:lineRule="auto"/>
                        <w:ind w:firstLine="0" w:firstLineChars="0"/>
                        <w:jc w:val="center"/>
                        <w:rPr>
                          <w:rFonts w:ascii="仿宋" w:hAnsi="仿宋" w:eastAsia="仿宋"/>
                          <w:color w:val="000000"/>
                        </w:rPr>
                      </w:pPr>
                    </w:p>
                    <w:p w14:paraId="0AD49277">
                      <w:pPr>
                        <w:pStyle w:val="122"/>
                        <w:spacing w:line="360" w:lineRule="auto"/>
                        <w:ind w:firstLine="0" w:firstLineChars="0"/>
                        <w:jc w:val="center"/>
                        <w:rPr>
                          <w:rFonts w:hint="eastAsia" w:ascii="宋体" w:hAnsi="宋体" w:eastAsia="宋体" w:cs="宋体"/>
                          <w:color w:val="000000"/>
                        </w:rPr>
                      </w:pPr>
                    </w:p>
                    <w:p w14:paraId="7B1BE216">
                      <w:pPr>
                        <w:pStyle w:val="122"/>
                        <w:spacing w:line="360" w:lineRule="auto"/>
                        <w:ind w:firstLine="0" w:firstLineChars="0"/>
                        <w:jc w:val="center"/>
                        <w:rPr>
                          <w:rFonts w:hint="eastAsia" w:ascii="宋体" w:hAnsi="宋体" w:eastAsia="宋体" w:cs="宋体"/>
                          <w:color w:val="000000"/>
                        </w:rPr>
                      </w:pPr>
                      <w:r>
                        <w:rPr>
                          <w:rFonts w:hint="eastAsia" w:ascii="仿宋" w:hAnsi="仿宋" w:eastAsia="仿宋" w:cs="仿宋"/>
                          <w:sz w:val="24"/>
                        </w:rPr>
                        <w:t>法定代表人身份证反面</w:t>
                      </w:r>
                    </w:p>
                    <w:p w14:paraId="10B85877">
                      <w:pPr>
                        <w:jc w:val="center"/>
                      </w:pPr>
                    </w:p>
                  </w:txbxContent>
                </v:textbox>
              </v:roundrect>
            </w:pict>
          </mc:Fallback>
        </mc:AlternateContent>
      </w:r>
    </w:p>
    <w:p w14:paraId="61292EE5">
      <w:pPr>
        <w:tabs>
          <w:tab w:val="left" w:pos="360"/>
          <w:tab w:val="left" w:pos="1800"/>
        </w:tabs>
        <w:spacing w:line="360" w:lineRule="auto"/>
        <w:jc w:val="center"/>
        <w:rPr>
          <w:rFonts w:hint="eastAsia" w:ascii="宋体" w:hAnsi="宋体" w:cs="宋体"/>
          <w:color w:val="auto"/>
          <w:sz w:val="24"/>
          <w:highlight w:val="none"/>
        </w:rPr>
      </w:pPr>
    </w:p>
    <w:p w14:paraId="3B953783">
      <w:pPr>
        <w:tabs>
          <w:tab w:val="left" w:pos="360"/>
          <w:tab w:val="left" w:pos="1800"/>
        </w:tabs>
        <w:spacing w:line="360" w:lineRule="auto"/>
        <w:jc w:val="center"/>
        <w:rPr>
          <w:rFonts w:hint="eastAsia" w:ascii="宋体" w:hAnsi="宋体" w:cs="宋体"/>
          <w:color w:val="auto"/>
          <w:sz w:val="24"/>
          <w:highlight w:val="none"/>
        </w:rPr>
      </w:pPr>
    </w:p>
    <w:p w14:paraId="785A9503">
      <w:pPr>
        <w:tabs>
          <w:tab w:val="left" w:pos="360"/>
          <w:tab w:val="left" w:pos="1800"/>
        </w:tabs>
        <w:spacing w:line="360" w:lineRule="auto"/>
        <w:jc w:val="center"/>
        <w:rPr>
          <w:rFonts w:hint="eastAsia" w:ascii="宋体" w:hAnsi="宋体" w:cs="宋体"/>
          <w:color w:val="auto"/>
          <w:sz w:val="24"/>
          <w:highlight w:val="none"/>
        </w:rPr>
      </w:pPr>
    </w:p>
    <w:p w14:paraId="4CF7747E">
      <w:pPr>
        <w:tabs>
          <w:tab w:val="left" w:pos="360"/>
          <w:tab w:val="left" w:pos="1800"/>
        </w:tabs>
        <w:spacing w:line="360" w:lineRule="auto"/>
        <w:jc w:val="center"/>
        <w:rPr>
          <w:rFonts w:hint="eastAsia" w:ascii="宋体" w:hAnsi="宋体" w:cs="宋体"/>
          <w:color w:val="auto"/>
          <w:sz w:val="24"/>
          <w:highlight w:val="none"/>
        </w:rPr>
      </w:pPr>
    </w:p>
    <w:p w14:paraId="6508A1A1">
      <w:pPr>
        <w:pStyle w:val="6"/>
        <w:rPr>
          <w:rFonts w:hint="eastAsia" w:ascii="宋体" w:hAnsi="宋体" w:cs="宋体"/>
          <w:color w:val="auto"/>
          <w:sz w:val="24"/>
          <w:szCs w:val="24"/>
          <w:highlight w:val="none"/>
        </w:rPr>
      </w:pPr>
    </w:p>
    <w:p w14:paraId="0BDC310B">
      <w:pPr>
        <w:rPr>
          <w:rFonts w:hint="eastAsia" w:ascii="宋体" w:hAnsi="宋体" w:cs="宋体"/>
          <w:color w:val="auto"/>
          <w:sz w:val="24"/>
          <w:highlight w:val="none"/>
        </w:rPr>
      </w:pPr>
    </w:p>
    <w:p w14:paraId="6C192D98">
      <w:pPr>
        <w:pStyle w:val="6"/>
        <w:rPr>
          <w:rFonts w:hint="eastAsia" w:ascii="宋体" w:hAnsi="宋体" w:cs="宋体"/>
          <w:color w:val="auto"/>
          <w:sz w:val="24"/>
          <w:szCs w:val="24"/>
          <w:highlight w:val="none"/>
        </w:rPr>
      </w:pPr>
    </w:p>
    <w:p w14:paraId="0A09EA33">
      <w:pPr>
        <w:rPr>
          <w:rFonts w:hint="eastAsia" w:ascii="宋体" w:hAnsi="宋体" w:cs="宋体"/>
          <w:color w:val="auto"/>
          <w:sz w:val="24"/>
          <w:highlight w:val="none"/>
        </w:rPr>
      </w:pPr>
    </w:p>
    <w:p w14:paraId="2A2ADF7C">
      <w:pPr>
        <w:pStyle w:val="6"/>
        <w:rPr>
          <w:rFonts w:hint="eastAsia" w:ascii="宋体" w:hAnsi="宋体" w:cs="宋体"/>
          <w:color w:val="auto"/>
          <w:highlight w:val="none"/>
        </w:rPr>
      </w:pPr>
    </w:p>
    <w:p w14:paraId="06F06550">
      <w:pPr>
        <w:tabs>
          <w:tab w:val="left" w:pos="360"/>
          <w:tab w:val="left" w:pos="180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注：法定代表人身份证复印件或扫描件应反映出证件有效期等所载内容。</w:t>
      </w:r>
    </w:p>
    <w:p w14:paraId="48744105">
      <w:pPr>
        <w:rPr>
          <w:rFonts w:hint="eastAsia" w:ascii="宋体" w:hAnsi="宋体" w:cs="宋体"/>
          <w:color w:val="auto"/>
          <w:sz w:val="24"/>
          <w:highlight w:val="none"/>
        </w:rPr>
      </w:pPr>
    </w:p>
    <w:p w14:paraId="369F70FB">
      <w:pPr>
        <w:pStyle w:val="12"/>
        <w:rPr>
          <w:rFonts w:hint="eastAsia" w:ascii="宋体" w:hAnsi="宋体" w:cs="宋体"/>
          <w:color w:val="auto"/>
          <w:szCs w:val="24"/>
          <w:highlight w:val="none"/>
        </w:rPr>
      </w:pPr>
    </w:p>
    <w:p w14:paraId="067B6CE2">
      <w:pPr>
        <w:tabs>
          <w:tab w:val="left" w:pos="360"/>
          <w:tab w:val="left" w:pos="1800"/>
        </w:tabs>
        <w:spacing w:line="360" w:lineRule="auto"/>
        <w:jc w:val="center"/>
        <w:rPr>
          <w:rFonts w:hint="eastAsia" w:ascii="宋体" w:hAnsi="宋体" w:cs="宋体"/>
          <w:color w:val="auto"/>
          <w:sz w:val="24"/>
          <w:highlight w:val="none"/>
        </w:rPr>
      </w:pPr>
    </w:p>
    <w:p w14:paraId="261437E0">
      <w:pPr>
        <w:tabs>
          <w:tab w:val="left" w:pos="360"/>
          <w:tab w:val="left" w:pos="1800"/>
        </w:tabs>
        <w:spacing w:line="360" w:lineRule="auto"/>
        <w:jc w:val="center"/>
        <w:rPr>
          <w:rFonts w:hint="eastAsia" w:ascii="宋体" w:hAnsi="宋体" w:cs="宋体"/>
          <w:color w:val="auto"/>
          <w:sz w:val="24"/>
          <w:highlight w:val="none"/>
        </w:rPr>
      </w:pPr>
    </w:p>
    <w:p w14:paraId="416FCC52">
      <w:pPr>
        <w:pStyle w:val="12"/>
        <w:rPr>
          <w:rFonts w:hint="eastAsia" w:ascii="宋体" w:hAnsi="宋体" w:cs="宋体"/>
          <w:color w:val="auto"/>
          <w:szCs w:val="24"/>
          <w:highlight w:val="none"/>
        </w:rPr>
      </w:pPr>
    </w:p>
    <w:p w14:paraId="06AA88B4">
      <w:pPr>
        <w:rPr>
          <w:rFonts w:hint="eastAsia" w:ascii="宋体" w:hAnsi="宋体" w:cs="宋体"/>
          <w:color w:val="auto"/>
          <w:sz w:val="24"/>
          <w:highlight w:val="none"/>
        </w:rPr>
      </w:pPr>
    </w:p>
    <w:p w14:paraId="2D4859C2">
      <w:pPr>
        <w:pStyle w:val="12"/>
        <w:rPr>
          <w:rFonts w:hint="eastAsia" w:ascii="宋体" w:hAnsi="宋体" w:cs="宋体"/>
          <w:color w:val="auto"/>
          <w:szCs w:val="24"/>
          <w:highlight w:val="none"/>
        </w:rPr>
      </w:pPr>
    </w:p>
    <w:p w14:paraId="71A17950">
      <w:pPr>
        <w:tabs>
          <w:tab w:val="left" w:pos="360"/>
          <w:tab w:val="left" w:pos="1800"/>
        </w:tabs>
        <w:spacing w:line="360" w:lineRule="auto"/>
        <w:rPr>
          <w:rFonts w:hint="eastAsia" w:ascii="宋体" w:hAnsi="宋体" w:cs="宋体"/>
          <w:b/>
          <w:bCs/>
          <w:color w:val="auto"/>
          <w:sz w:val="28"/>
          <w:szCs w:val="28"/>
          <w:highlight w:val="none"/>
        </w:rPr>
      </w:pPr>
    </w:p>
    <w:p w14:paraId="70ACFC44">
      <w:pPr>
        <w:tabs>
          <w:tab w:val="left" w:pos="360"/>
          <w:tab w:val="left" w:pos="1800"/>
        </w:tabs>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格式2  法定代表人授权委托书</w:t>
      </w:r>
    </w:p>
    <w:p w14:paraId="0A0EBA9F">
      <w:pPr>
        <w:tabs>
          <w:tab w:val="left" w:pos="360"/>
          <w:tab w:val="left" w:pos="1800"/>
        </w:tabs>
        <w:spacing w:line="360" w:lineRule="auto"/>
        <w:ind w:left="239" w:leftChars="114" w:firstLine="240" w:firstLineChars="100"/>
        <w:rPr>
          <w:rFonts w:hint="eastAsia" w:ascii="宋体" w:hAnsi="宋体" w:cs="宋体"/>
          <w:color w:val="auto"/>
          <w:sz w:val="24"/>
          <w:highlight w:val="none"/>
        </w:rPr>
      </w:pPr>
    </w:p>
    <w:p w14:paraId="0FC3B4CC">
      <w:pPr>
        <w:tabs>
          <w:tab w:val="left" w:pos="360"/>
          <w:tab w:val="left" w:pos="180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供应商名称）的法定代表人，现授权委托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（姓名、身份证号码）为我方代理人，参加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（项目名称）的磋商活动。代理人根据授权，以我方名义签署、澄清确认、递交、撤回、修改投标文件、签订合同和处理有关事宜，我均予以承认，其法律后果由我方承担。</w:t>
      </w:r>
    </w:p>
    <w:p w14:paraId="42F3FCC3">
      <w:pPr>
        <w:tabs>
          <w:tab w:val="left" w:pos="360"/>
          <w:tab w:val="left" w:pos="1800"/>
        </w:tabs>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委托期限：自</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日起至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日止。</w:t>
      </w:r>
    </w:p>
    <w:p w14:paraId="6D87E817">
      <w:pPr>
        <w:tabs>
          <w:tab w:val="left" w:pos="360"/>
          <w:tab w:val="left" w:pos="180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代理人无转委托权。</w:t>
      </w:r>
    </w:p>
    <w:p w14:paraId="664A529D">
      <w:pPr>
        <w:tabs>
          <w:tab w:val="left" w:pos="360"/>
          <w:tab w:val="left" w:pos="180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年龄：</w:t>
      </w:r>
      <w:r>
        <w:rPr>
          <w:rFonts w:hint="eastAsia" w:ascii="宋体" w:hAnsi="宋体" w:cs="宋体"/>
          <w:color w:val="auto"/>
          <w:sz w:val="24"/>
          <w:highlight w:val="none"/>
          <w:u w:val="single"/>
        </w:rPr>
        <w:t xml:space="preserve">          </w:t>
      </w:r>
    </w:p>
    <w:p w14:paraId="4A9B1BAF">
      <w:pPr>
        <w:tabs>
          <w:tab w:val="left" w:pos="360"/>
          <w:tab w:val="left" w:pos="180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单位：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部门：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28E66243">
      <w:pPr>
        <w:tabs>
          <w:tab w:val="left" w:pos="360"/>
          <w:tab w:val="left" w:pos="1800"/>
        </w:tabs>
        <w:spacing w:line="360" w:lineRule="auto"/>
        <w:ind w:firstLine="3600"/>
        <w:rPr>
          <w:rFonts w:hint="eastAsia" w:ascii="宋体" w:hAnsi="宋体" w:cs="宋体"/>
          <w:color w:val="auto"/>
          <w:sz w:val="24"/>
          <w:highlight w:val="none"/>
        </w:rPr>
      </w:pPr>
    </w:p>
    <w:p w14:paraId="3FA350F4">
      <w:pPr>
        <w:tabs>
          <w:tab w:val="left" w:pos="360"/>
          <w:tab w:val="left" w:pos="1800"/>
        </w:tabs>
        <w:spacing w:line="360" w:lineRule="auto"/>
        <w:ind w:firstLine="3600"/>
        <w:rPr>
          <w:rFonts w:hint="eastAsia" w:ascii="宋体" w:hAnsi="宋体" w:cs="宋体"/>
          <w:color w:val="auto"/>
          <w:sz w:val="24"/>
          <w:highlight w:val="none"/>
        </w:rPr>
      </w:pPr>
    </w:p>
    <w:p w14:paraId="5AD29004">
      <w:pPr>
        <w:tabs>
          <w:tab w:val="left" w:pos="360"/>
          <w:tab w:val="left" w:pos="1800"/>
        </w:tabs>
        <w:spacing w:line="360" w:lineRule="auto"/>
        <w:ind w:firstLine="3600"/>
        <w:rPr>
          <w:rFonts w:hint="eastAsia"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（公章）</w:t>
      </w:r>
    </w:p>
    <w:p w14:paraId="674777AE">
      <w:pPr>
        <w:tabs>
          <w:tab w:val="left" w:pos="360"/>
          <w:tab w:val="left" w:pos="1800"/>
        </w:tabs>
        <w:spacing w:line="360" w:lineRule="auto"/>
        <w:ind w:firstLine="3600"/>
        <w:rPr>
          <w:rFonts w:hint="eastAsia"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p w14:paraId="457D24A2">
      <w:pPr>
        <w:tabs>
          <w:tab w:val="left" w:pos="360"/>
          <w:tab w:val="left" w:pos="1800"/>
        </w:tabs>
        <w:spacing w:line="360" w:lineRule="auto"/>
        <w:ind w:firstLine="3600"/>
        <w:rPr>
          <w:rFonts w:hint="eastAsia" w:ascii="宋体" w:hAnsi="宋体" w:cs="宋体"/>
          <w:color w:val="auto"/>
          <w:sz w:val="24"/>
          <w:highlight w:val="none"/>
        </w:rPr>
      </w:pPr>
      <w:r>
        <w:rPr>
          <w:rFonts w:hint="eastAsia" w:ascii="宋体" w:hAnsi="宋体" w:cs="宋体"/>
          <w:color w:val="auto"/>
          <w:sz w:val="24"/>
          <w:highlight w:val="none"/>
        </w:rPr>
        <w:t>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p w14:paraId="4AA09155">
      <w:pPr>
        <w:tabs>
          <w:tab w:val="left" w:pos="360"/>
          <w:tab w:val="left" w:pos="1800"/>
        </w:tabs>
        <w:spacing w:line="360" w:lineRule="auto"/>
        <w:ind w:firstLine="3600"/>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31D442D6">
      <w:pPr>
        <w:rPr>
          <w:rFonts w:hint="eastAsia" w:ascii="宋体" w:hAnsi="宋体" w:cs="宋体"/>
          <w:color w:val="auto"/>
          <w:sz w:val="24"/>
          <w:highlight w:val="none"/>
        </w:rPr>
      </w:pPr>
    </w:p>
    <w:p w14:paraId="15B42B29">
      <w:pPr>
        <w:tabs>
          <w:tab w:val="left" w:pos="360"/>
          <w:tab w:val="left" w:pos="1800"/>
        </w:tabs>
        <w:spacing w:line="360" w:lineRule="auto"/>
        <w:ind w:firstLine="3600"/>
        <w:rPr>
          <w:rFonts w:hint="eastAsia" w:ascii="宋体" w:hAnsi="宋体" w:cs="宋体"/>
          <w:color w:val="auto"/>
          <w:sz w:val="24"/>
          <w:highlight w:val="none"/>
        </w:rPr>
      </w:pPr>
      <w:r>
        <w:rPr>
          <w:rFonts w:hint="eastAsia" w:ascii="宋体" w:hAnsi="宋体" w:cs="宋体"/>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2864485</wp:posOffset>
                </wp:positionH>
                <wp:positionV relativeFrom="paragraph">
                  <wp:posOffset>213360</wp:posOffset>
                </wp:positionV>
                <wp:extent cx="2710180" cy="1793875"/>
                <wp:effectExtent l="12700" t="12700" r="20320" b="22225"/>
                <wp:wrapNone/>
                <wp:docPr id="1" name="圆角矩形 1"/>
                <wp:cNvGraphicFramePr/>
                <a:graphic xmlns:a="http://schemas.openxmlformats.org/drawingml/2006/main">
                  <a:graphicData uri="http://schemas.microsoft.com/office/word/2010/wordprocessingShape">
                    <wps:wsp>
                      <wps:cNvSpPr/>
                      <wps:spPr>
                        <a:xfrm>
                          <a:off x="3772535" y="6640195"/>
                          <a:ext cx="2710180" cy="1793875"/>
                        </a:xfrm>
                        <a:prstGeom prst="roundRect">
                          <a:avLst>
                            <a:gd name="adj" fmla="val 4035"/>
                          </a:avLst>
                        </a:prstGeom>
                        <a:noFill/>
                        <a:ln w="25400" cap="flat" cmpd="sng" algn="ctr">
                          <a:solidFill>
                            <a:srgbClr val="000000"/>
                          </a:solidFill>
                          <a:prstDash val="solid"/>
                        </a:ln>
                        <a:effectLst/>
                      </wps:spPr>
                      <wps:txbx>
                        <w:txbxContent>
                          <w:p w14:paraId="05CCCA09">
                            <w:pPr>
                              <w:pStyle w:val="122"/>
                              <w:spacing w:line="360" w:lineRule="auto"/>
                              <w:ind w:firstLine="0" w:firstLineChars="0"/>
                              <w:jc w:val="center"/>
                              <w:rPr>
                                <w:rFonts w:ascii="仿宋" w:hAnsi="仿宋" w:eastAsia="仿宋"/>
                                <w:color w:val="000000"/>
                              </w:rPr>
                            </w:pPr>
                          </w:p>
                          <w:p w14:paraId="18CD1844">
                            <w:pPr>
                              <w:pStyle w:val="122"/>
                              <w:spacing w:line="360" w:lineRule="auto"/>
                              <w:ind w:firstLine="0" w:firstLineChars="0"/>
                              <w:jc w:val="center"/>
                              <w:rPr>
                                <w:rFonts w:hint="eastAsia" w:ascii="宋体" w:hAnsi="宋体" w:eastAsia="宋体" w:cs="宋体"/>
                                <w:color w:val="000000"/>
                              </w:rPr>
                            </w:pPr>
                          </w:p>
                          <w:p w14:paraId="4FF02DD9">
                            <w:pPr>
                              <w:pStyle w:val="122"/>
                              <w:spacing w:line="360" w:lineRule="auto"/>
                              <w:ind w:firstLine="0" w:firstLineChars="0"/>
                              <w:jc w:val="center"/>
                              <w:rPr>
                                <w:rFonts w:hint="eastAsia" w:ascii="宋体" w:hAnsi="宋体" w:eastAsia="宋体" w:cs="宋体"/>
                                <w:sz w:val="24"/>
                              </w:rPr>
                            </w:pPr>
                            <w:r>
                              <w:rPr>
                                <w:rFonts w:hint="eastAsia" w:ascii="宋体" w:hAnsi="宋体" w:eastAsia="宋体" w:cs="宋体"/>
                                <w:sz w:val="24"/>
                              </w:rPr>
                              <w:t>委托代理人身份证反面</w:t>
                            </w:r>
                          </w:p>
                          <w:p w14:paraId="0729D71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5.55pt;margin-top:16.8pt;height:141.25pt;width:213.4pt;z-index:251662336;v-text-anchor:middle;mso-width-relative:page;mso-height-relative:page;" filled="f" stroked="t" coordsize="21600,21600" arcsize="0.0403703703703704" o:gfxdata="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BQ/1541gAAAAoBAAAPAAAAAAAAAAEAIAAAACIAAABkcnMvZG93bnJldi54bWxQSwECFAAUAAAA&#10;CACHTuJAPfHzOpsCAAAQBQAADgAAAAAAAAABACAAAAAlAQAAZHJzL2Uyb0RvYy54bWxQSwUGAAAA&#10;AAYABgBZAQAAMgYAAAAA&#10;">
                <v:fill on="f" focussize="0,0"/>
                <v:stroke weight="2pt" color="#000000" joinstyle="round"/>
                <v:imagedata o:title=""/>
                <o:lock v:ext="edit" aspectratio="f"/>
                <v:textbox>
                  <w:txbxContent>
                    <w:p w14:paraId="05CCCA09">
                      <w:pPr>
                        <w:pStyle w:val="122"/>
                        <w:spacing w:line="360" w:lineRule="auto"/>
                        <w:ind w:firstLine="0" w:firstLineChars="0"/>
                        <w:jc w:val="center"/>
                        <w:rPr>
                          <w:rFonts w:ascii="仿宋" w:hAnsi="仿宋" w:eastAsia="仿宋"/>
                          <w:color w:val="000000"/>
                        </w:rPr>
                      </w:pPr>
                    </w:p>
                    <w:p w14:paraId="18CD1844">
                      <w:pPr>
                        <w:pStyle w:val="122"/>
                        <w:spacing w:line="360" w:lineRule="auto"/>
                        <w:ind w:firstLine="0" w:firstLineChars="0"/>
                        <w:jc w:val="center"/>
                        <w:rPr>
                          <w:rFonts w:hint="eastAsia" w:ascii="宋体" w:hAnsi="宋体" w:eastAsia="宋体" w:cs="宋体"/>
                          <w:color w:val="000000"/>
                        </w:rPr>
                      </w:pPr>
                    </w:p>
                    <w:p w14:paraId="4FF02DD9">
                      <w:pPr>
                        <w:pStyle w:val="122"/>
                        <w:spacing w:line="360" w:lineRule="auto"/>
                        <w:ind w:firstLine="0" w:firstLineChars="0"/>
                        <w:jc w:val="center"/>
                        <w:rPr>
                          <w:rFonts w:hint="eastAsia" w:ascii="宋体" w:hAnsi="宋体" w:eastAsia="宋体" w:cs="宋体"/>
                          <w:sz w:val="24"/>
                        </w:rPr>
                      </w:pPr>
                      <w:r>
                        <w:rPr>
                          <w:rFonts w:hint="eastAsia" w:ascii="宋体" w:hAnsi="宋体" w:eastAsia="宋体" w:cs="宋体"/>
                          <w:sz w:val="24"/>
                        </w:rPr>
                        <w:t>委托代理人身份证反面</w:t>
                      </w:r>
                    </w:p>
                    <w:p w14:paraId="0729D717">
                      <w:pPr>
                        <w:jc w:val="center"/>
                      </w:pPr>
                    </w:p>
                  </w:txbxContent>
                </v:textbox>
              </v:roundrect>
            </w:pict>
          </mc:Fallback>
        </mc:AlternateContent>
      </w:r>
      <w:r>
        <w:rPr>
          <w:rFonts w:hint="eastAsia" w:ascii="宋体" w:hAnsi="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31750</wp:posOffset>
                </wp:positionH>
                <wp:positionV relativeFrom="paragraph">
                  <wp:posOffset>213360</wp:posOffset>
                </wp:positionV>
                <wp:extent cx="2710180" cy="1793875"/>
                <wp:effectExtent l="12700" t="12700" r="20320" b="22225"/>
                <wp:wrapNone/>
                <wp:docPr id="2" name="圆角矩形 2"/>
                <wp:cNvGraphicFramePr/>
                <a:graphic xmlns:a="http://schemas.openxmlformats.org/drawingml/2006/main">
                  <a:graphicData uri="http://schemas.microsoft.com/office/word/2010/wordprocessingShape">
                    <wps:wsp>
                      <wps:cNvSpPr/>
                      <wps:spPr>
                        <a:xfrm>
                          <a:off x="968375" y="6640195"/>
                          <a:ext cx="2710180" cy="1793875"/>
                        </a:xfrm>
                        <a:prstGeom prst="roundRect">
                          <a:avLst>
                            <a:gd name="adj" fmla="val 4035"/>
                          </a:avLst>
                        </a:prstGeom>
                        <a:noFill/>
                        <a:ln w="25400" cap="flat" cmpd="sng" algn="ctr">
                          <a:solidFill>
                            <a:srgbClr val="000000"/>
                          </a:solidFill>
                          <a:prstDash val="solid"/>
                        </a:ln>
                        <a:effectLst/>
                      </wps:spPr>
                      <wps:txbx>
                        <w:txbxContent>
                          <w:p w14:paraId="34B2393F">
                            <w:pPr>
                              <w:pStyle w:val="122"/>
                              <w:spacing w:line="360" w:lineRule="auto"/>
                              <w:ind w:firstLine="0" w:firstLineChars="0"/>
                              <w:jc w:val="center"/>
                              <w:rPr>
                                <w:rFonts w:ascii="仿宋" w:hAnsi="仿宋" w:eastAsia="仿宋"/>
                                <w:color w:val="000000"/>
                              </w:rPr>
                            </w:pPr>
                          </w:p>
                          <w:p w14:paraId="76B637F6">
                            <w:pPr>
                              <w:pStyle w:val="122"/>
                              <w:spacing w:line="360" w:lineRule="auto"/>
                              <w:ind w:firstLine="0" w:firstLineChars="0"/>
                              <w:jc w:val="center"/>
                              <w:rPr>
                                <w:rFonts w:hint="eastAsia" w:ascii="宋体" w:hAnsi="宋体" w:eastAsia="宋体" w:cs="宋体"/>
                                <w:color w:val="000000"/>
                              </w:rPr>
                            </w:pPr>
                          </w:p>
                          <w:p w14:paraId="2B6E93B2">
                            <w:pPr>
                              <w:pStyle w:val="122"/>
                              <w:spacing w:line="360" w:lineRule="auto"/>
                              <w:ind w:firstLine="0" w:firstLineChars="0"/>
                              <w:jc w:val="center"/>
                              <w:rPr>
                                <w:rFonts w:hint="eastAsia" w:ascii="宋体" w:hAnsi="宋体" w:eastAsia="宋体" w:cs="宋体"/>
                                <w:sz w:val="24"/>
                              </w:rPr>
                            </w:pPr>
                            <w:r>
                              <w:rPr>
                                <w:rFonts w:hint="eastAsia" w:ascii="宋体" w:hAnsi="宋体" w:eastAsia="宋体" w:cs="宋体"/>
                                <w:sz w:val="24"/>
                              </w:rPr>
                              <w:t>委托代理人身份证正面</w:t>
                            </w:r>
                          </w:p>
                          <w:p w14:paraId="5C73215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5pt;margin-top:16.8pt;height:141.25pt;width:213.4pt;z-index:251661312;v-text-anchor:middle;mso-width-relative:page;mso-height-relative:page;" filled="f" stroked="t" coordsize="21600,21600" arcsize="0.0403703703703704" o:gfxdata="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D&#10;h+a81QAAAAgBAAAPAAAAAAAAAAEAIAAAACIAAABkcnMvZG93bnJldi54bWxQSwECFAAUAAAACACH&#10;TuJANltvRpkCAAAPBQAADgAAAAAAAAABACAAAAAkAQAAZHJzL2Uyb0RvYy54bWxQSwUGAAAAAAYA&#10;BgBZAQAALwYAAAAA&#10;">
                <v:fill on="f" focussize="0,0"/>
                <v:stroke weight="2pt" color="#000000" joinstyle="round"/>
                <v:imagedata o:title=""/>
                <o:lock v:ext="edit" aspectratio="f"/>
                <v:textbox>
                  <w:txbxContent>
                    <w:p w14:paraId="34B2393F">
                      <w:pPr>
                        <w:pStyle w:val="122"/>
                        <w:spacing w:line="360" w:lineRule="auto"/>
                        <w:ind w:firstLine="0" w:firstLineChars="0"/>
                        <w:jc w:val="center"/>
                        <w:rPr>
                          <w:rFonts w:ascii="仿宋" w:hAnsi="仿宋" w:eastAsia="仿宋"/>
                          <w:color w:val="000000"/>
                        </w:rPr>
                      </w:pPr>
                    </w:p>
                    <w:p w14:paraId="76B637F6">
                      <w:pPr>
                        <w:pStyle w:val="122"/>
                        <w:spacing w:line="360" w:lineRule="auto"/>
                        <w:ind w:firstLine="0" w:firstLineChars="0"/>
                        <w:jc w:val="center"/>
                        <w:rPr>
                          <w:rFonts w:hint="eastAsia" w:ascii="宋体" w:hAnsi="宋体" w:eastAsia="宋体" w:cs="宋体"/>
                          <w:color w:val="000000"/>
                        </w:rPr>
                      </w:pPr>
                    </w:p>
                    <w:p w14:paraId="2B6E93B2">
                      <w:pPr>
                        <w:pStyle w:val="122"/>
                        <w:spacing w:line="360" w:lineRule="auto"/>
                        <w:ind w:firstLine="0" w:firstLineChars="0"/>
                        <w:jc w:val="center"/>
                        <w:rPr>
                          <w:rFonts w:hint="eastAsia" w:ascii="宋体" w:hAnsi="宋体" w:eastAsia="宋体" w:cs="宋体"/>
                          <w:sz w:val="24"/>
                        </w:rPr>
                      </w:pPr>
                      <w:r>
                        <w:rPr>
                          <w:rFonts w:hint="eastAsia" w:ascii="宋体" w:hAnsi="宋体" w:eastAsia="宋体" w:cs="宋体"/>
                          <w:sz w:val="24"/>
                        </w:rPr>
                        <w:t>委托代理人身份证正面</w:t>
                      </w:r>
                    </w:p>
                    <w:p w14:paraId="5C73215F">
                      <w:pPr>
                        <w:jc w:val="center"/>
                      </w:pPr>
                    </w:p>
                  </w:txbxContent>
                </v:textbox>
              </v:roundrect>
            </w:pict>
          </mc:Fallback>
        </mc:AlternateContent>
      </w:r>
    </w:p>
    <w:p w14:paraId="061B0D76">
      <w:pPr>
        <w:tabs>
          <w:tab w:val="left" w:pos="360"/>
          <w:tab w:val="left" w:pos="1800"/>
        </w:tabs>
        <w:spacing w:line="360" w:lineRule="auto"/>
        <w:jc w:val="center"/>
        <w:rPr>
          <w:rFonts w:hint="eastAsia" w:ascii="宋体" w:hAnsi="宋体" w:cs="宋体"/>
          <w:color w:val="auto"/>
          <w:sz w:val="24"/>
          <w:highlight w:val="none"/>
        </w:rPr>
      </w:pPr>
    </w:p>
    <w:p w14:paraId="43987955">
      <w:pPr>
        <w:tabs>
          <w:tab w:val="left" w:pos="360"/>
          <w:tab w:val="left" w:pos="1800"/>
        </w:tabs>
        <w:spacing w:line="360" w:lineRule="auto"/>
        <w:jc w:val="center"/>
        <w:rPr>
          <w:rFonts w:hint="eastAsia" w:ascii="宋体" w:hAnsi="宋体" w:cs="宋体"/>
          <w:color w:val="auto"/>
          <w:sz w:val="24"/>
          <w:highlight w:val="none"/>
        </w:rPr>
      </w:pPr>
    </w:p>
    <w:p w14:paraId="063539C8">
      <w:pPr>
        <w:tabs>
          <w:tab w:val="left" w:pos="360"/>
          <w:tab w:val="left" w:pos="1800"/>
        </w:tabs>
        <w:spacing w:line="360" w:lineRule="auto"/>
        <w:jc w:val="center"/>
        <w:rPr>
          <w:rFonts w:hint="eastAsia" w:ascii="宋体" w:hAnsi="宋体" w:cs="宋体"/>
          <w:color w:val="auto"/>
          <w:sz w:val="24"/>
          <w:highlight w:val="none"/>
        </w:rPr>
      </w:pPr>
    </w:p>
    <w:p w14:paraId="693462EF">
      <w:pPr>
        <w:tabs>
          <w:tab w:val="left" w:pos="360"/>
          <w:tab w:val="left" w:pos="1800"/>
        </w:tabs>
        <w:spacing w:line="360" w:lineRule="auto"/>
        <w:jc w:val="center"/>
        <w:rPr>
          <w:rFonts w:hint="eastAsia" w:ascii="宋体" w:hAnsi="宋体" w:cs="宋体"/>
          <w:color w:val="auto"/>
          <w:sz w:val="24"/>
          <w:highlight w:val="none"/>
        </w:rPr>
      </w:pPr>
    </w:p>
    <w:p w14:paraId="0A38634B">
      <w:pPr>
        <w:tabs>
          <w:tab w:val="left" w:pos="360"/>
          <w:tab w:val="left" w:pos="1800"/>
        </w:tabs>
        <w:spacing w:line="360" w:lineRule="auto"/>
        <w:jc w:val="center"/>
        <w:rPr>
          <w:rFonts w:hint="eastAsia" w:ascii="宋体" w:hAnsi="宋体" w:cs="宋体"/>
          <w:color w:val="auto"/>
          <w:sz w:val="24"/>
          <w:highlight w:val="none"/>
        </w:rPr>
      </w:pPr>
    </w:p>
    <w:p w14:paraId="7B4FB22B">
      <w:pPr>
        <w:tabs>
          <w:tab w:val="left" w:pos="360"/>
          <w:tab w:val="left" w:pos="1800"/>
        </w:tabs>
        <w:spacing w:line="360" w:lineRule="auto"/>
        <w:rPr>
          <w:rFonts w:hint="eastAsia" w:ascii="宋体" w:hAnsi="宋体" w:cs="宋体"/>
          <w:color w:val="auto"/>
          <w:sz w:val="24"/>
          <w:highlight w:val="none"/>
        </w:rPr>
      </w:pPr>
    </w:p>
    <w:p w14:paraId="4727A845">
      <w:pPr>
        <w:tabs>
          <w:tab w:val="left" w:pos="360"/>
          <w:tab w:val="left" w:pos="180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注：委托代理人身份证复印件或扫描件应反映出证件有效期等所载内容。</w:t>
      </w:r>
    </w:p>
    <w:p w14:paraId="688E92B7">
      <w:pPr>
        <w:pStyle w:val="35"/>
        <w:ind w:firstLine="480"/>
        <w:rPr>
          <w:rFonts w:hint="eastAsia" w:ascii="宋体" w:hAnsi="宋体" w:cs="宋体"/>
          <w:color w:val="auto"/>
          <w:sz w:val="24"/>
          <w:highlight w:val="none"/>
        </w:rPr>
      </w:pPr>
    </w:p>
    <w:p w14:paraId="36499900">
      <w:pPr>
        <w:pStyle w:val="62"/>
        <w:spacing w:line="360" w:lineRule="auto"/>
        <w:ind w:firstLine="480"/>
        <w:rPr>
          <w:rFonts w:hint="eastAsia" w:ascii="宋体" w:hAnsi="宋体" w:cs="宋体"/>
          <w:color w:val="auto"/>
          <w:sz w:val="24"/>
          <w:szCs w:val="24"/>
          <w:highlight w:val="none"/>
        </w:rPr>
      </w:pPr>
    </w:p>
    <w:p w14:paraId="007D8E73">
      <w:pPr>
        <w:spacing w:line="360" w:lineRule="auto"/>
        <w:ind w:left="947" w:hanging="947" w:hangingChars="337"/>
        <w:jc w:val="center"/>
        <w:outlineLvl w:val="2"/>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 xml:space="preserve">格式3  </w:t>
      </w:r>
      <w:r>
        <w:rPr>
          <w:rFonts w:hint="eastAsia" w:ascii="宋体" w:hAnsi="宋体" w:cs="宋体"/>
          <w:b/>
          <w:bCs/>
          <w:color w:val="auto"/>
          <w:sz w:val="28"/>
          <w:szCs w:val="28"/>
          <w:highlight w:val="none"/>
          <w:lang w:eastAsia="zh-CN"/>
        </w:rPr>
        <w:t>营业执照</w:t>
      </w:r>
    </w:p>
    <w:p w14:paraId="3EB55E99">
      <w:pPr>
        <w:spacing w:line="360" w:lineRule="auto"/>
        <w:jc w:val="center"/>
        <w:rPr>
          <w:rFonts w:hint="eastAsia" w:ascii="宋体" w:hAnsi="宋体" w:cs="宋体"/>
          <w:b/>
          <w:bCs/>
          <w:color w:val="auto"/>
          <w:sz w:val="28"/>
          <w:szCs w:val="28"/>
          <w:highlight w:val="none"/>
        </w:rPr>
      </w:pPr>
    </w:p>
    <w:tbl>
      <w:tblPr>
        <w:tblStyle w:val="36"/>
        <w:tblpPr w:leftFromText="180" w:rightFromText="180" w:vertAnchor="text" w:horzAnchor="page" w:tblpX="2863" w:tblpY="487"/>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40"/>
      </w:tblGrid>
      <w:tr w14:paraId="1271C4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38" w:hRule="atLeast"/>
        </w:trPr>
        <w:tc>
          <w:tcPr>
            <w:tcW w:w="6540" w:type="dxa"/>
            <w:noWrap w:val="0"/>
            <w:vAlign w:val="top"/>
          </w:tcPr>
          <w:p w14:paraId="2BC9C308">
            <w:pPr>
              <w:tabs>
                <w:tab w:val="left" w:pos="360"/>
                <w:tab w:val="left" w:pos="1800"/>
              </w:tabs>
              <w:spacing w:line="360" w:lineRule="auto"/>
              <w:rPr>
                <w:rFonts w:hint="eastAsia" w:ascii="宋体" w:hAnsi="宋体" w:eastAsia="宋体" w:cs="宋体"/>
                <w:b/>
                <w:bCs/>
                <w:color w:val="auto"/>
                <w:sz w:val="24"/>
                <w:highlight w:val="none"/>
              </w:rPr>
            </w:pPr>
          </w:p>
          <w:p w14:paraId="547C8CD7">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有效期内的</w:t>
            </w:r>
            <w:r>
              <w:rPr>
                <w:rFonts w:hint="eastAsia" w:ascii="宋体" w:hAnsi="宋体" w:cs="宋体"/>
                <w:b/>
                <w:bCs/>
                <w:color w:val="auto"/>
                <w:sz w:val="28"/>
                <w:szCs w:val="28"/>
                <w:highlight w:val="none"/>
                <w:lang w:eastAsia="zh-CN"/>
              </w:rPr>
              <w:t>营业执照</w:t>
            </w:r>
            <w:r>
              <w:rPr>
                <w:rFonts w:hint="eastAsia" w:ascii="宋体" w:hAnsi="宋体" w:eastAsia="宋体" w:cs="宋体"/>
                <w:b/>
                <w:bCs/>
                <w:color w:val="auto"/>
                <w:sz w:val="28"/>
                <w:szCs w:val="28"/>
                <w:highlight w:val="none"/>
              </w:rPr>
              <w:t>复印件</w:t>
            </w:r>
          </w:p>
          <w:p w14:paraId="67732104">
            <w:pPr>
              <w:pStyle w:val="12"/>
              <w:rPr>
                <w:rFonts w:hint="eastAsia" w:ascii="宋体" w:hAnsi="宋体" w:eastAsia="宋体" w:cs="宋体"/>
                <w:color w:val="auto"/>
                <w:szCs w:val="24"/>
                <w:highlight w:val="none"/>
              </w:rPr>
            </w:pPr>
          </w:p>
        </w:tc>
      </w:tr>
    </w:tbl>
    <w:p w14:paraId="5168905D">
      <w:pPr>
        <w:tabs>
          <w:tab w:val="left" w:pos="360"/>
          <w:tab w:val="left" w:pos="1800"/>
        </w:tabs>
        <w:spacing w:line="360" w:lineRule="auto"/>
        <w:jc w:val="center"/>
        <w:rPr>
          <w:rFonts w:hint="eastAsia" w:ascii="宋体" w:hAnsi="宋体" w:cs="宋体"/>
          <w:b/>
          <w:bCs/>
          <w:color w:val="auto"/>
          <w:sz w:val="28"/>
          <w:szCs w:val="28"/>
          <w:highlight w:val="none"/>
        </w:rPr>
      </w:pPr>
    </w:p>
    <w:p w14:paraId="166EC843">
      <w:pPr>
        <w:tabs>
          <w:tab w:val="left" w:pos="360"/>
          <w:tab w:val="left" w:pos="1800"/>
        </w:tabs>
        <w:spacing w:line="360" w:lineRule="auto"/>
        <w:jc w:val="center"/>
        <w:rPr>
          <w:rFonts w:hint="eastAsia" w:ascii="宋体" w:hAnsi="宋体" w:cs="宋体"/>
          <w:b/>
          <w:bCs/>
          <w:color w:val="auto"/>
          <w:sz w:val="28"/>
          <w:szCs w:val="28"/>
          <w:highlight w:val="none"/>
        </w:rPr>
      </w:pPr>
    </w:p>
    <w:p w14:paraId="49CF7BE2">
      <w:pPr>
        <w:tabs>
          <w:tab w:val="left" w:pos="360"/>
          <w:tab w:val="left" w:pos="1800"/>
        </w:tabs>
        <w:spacing w:line="360" w:lineRule="auto"/>
        <w:jc w:val="center"/>
        <w:rPr>
          <w:rFonts w:hint="eastAsia" w:ascii="宋体" w:hAnsi="宋体" w:cs="宋体"/>
          <w:b/>
          <w:bCs/>
          <w:color w:val="auto"/>
          <w:sz w:val="28"/>
          <w:szCs w:val="28"/>
          <w:highlight w:val="none"/>
        </w:rPr>
      </w:pPr>
    </w:p>
    <w:p w14:paraId="3905F7E2">
      <w:pPr>
        <w:tabs>
          <w:tab w:val="left" w:pos="360"/>
          <w:tab w:val="left" w:pos="1800"/>
        </w:tabs>
        <w:spacing w:line="360" w:lineRule="auto"/>
        <w:jc w:val="center"/>
        <w:rPr>
          <w:rFonts w:hint="eastAsia" w:ascii="宋体" w:hAnsi="宋体" w:cs="宋体"/>
          <w:b/>
          <w:bCs/>
          <w:color w:val="auto"/>
          <w:sz w:val="28"/>
          <w:szCs w:val="28"/>
          <w:highlight w:val="none"/>
        </w:rPr>
      </w:pPr>
    </w:p>
    <w:p w14:paraId="05378298">
      <w:pPr>
        <w:tabs>
          <w:tab w:val="left" w:pos="360"/>
          <w:tab w:val="left" w:pos="1800"/>
        </w:tabs>
        <w:spacing w:line="360" w:lineRule="auto"/>
        <w:jc w:val="center"/>
        <w:rPr>
          <w:rFonts w:hint="eastAsia" w:ascii="宋体" w:hAnsi="宋体" w:cs="宋体"/>
          <w:b/>
          <w:bCs/>
          <w:color w:val="auto"/>
          <w:sz w:val="28"/>
          <w:szCs w:val="28"/>
          <w:highlight w:val="none"/>
        </w:rPr>
      </w:pPr>
    </w:p>
    <w:p w14:paraId="4EC9E80B">
      <w:pPr>
        <w:tabs>
          <w:tab w:val="left" w:pos="360"/>
          <w:tab w:val="left" w:pos="1800"/>
        </w:tabs>
        <w:spacing w:line="360" w:lineRule="auto"/>
        <w:jc w:val="center"/>
        <w:rPr>
          <w:rFonts w:hint="eastAsia" w:ascii="宋体" w:hAnsi="宋体" w:cs="宋体"/>
          <w:b/>
          <w:bCs/>
          <w:color w:val="auto"/>
          <w:sz w:val="28"/>
          <w:szCs w:val="28"/>
          <w:highlight w:val="none"/>
        </w:rPr>
      </w:pPr>
    </w:p>
    <w:p w14:paraId="4BF9CE63">
      <w:pPr>
        <w:tabs>
          <w:tab w:val="left" w:pos="360"/>
          <w:tab w:val="left" w:pos="1800"/>
        </w:tabs>
        <w:spacing w:line="360" w:lineRule="auto"/>
        <w:jc w:val="center"/>
        <w:rPr>
          <w:rFonts w:hint="eastAsia" w:ascii="宋体" w:hAnsi="宋体" w:cs="宋体"/>
          <w:b/>
          <w:bCs/>
          <w:color w:val="auto"/>
          <w:sz w:val="28"/>
          <w:szCs w:val="28"/>
          <w:highlight w:val="none"/>
        </w:rPr>
      </w:pPr>
    </w:p>
    <w:p w14:paraId="0141C3BC">
      <w:pPr>
        <w:tabs>
          <w:tab w:val="left" w:pos="360"/>
          <w:tab w:val="left" w:pos="1800"/>
        </w:tabs>
        <w:spacing w:line="360" w:lineRule="auto"/>
        <w:jc w:val="center"/>
        <w:rPr>
          <w:rFonts w:hint="eastAsia" w:ascii="宋体" w:hAnsi="宋体" w:cs="宋体"/>
          <w:b/>
          <w:bCs/>
          <w:color w:val="auto"/>
          <w:sz w:val="28"/>
          <w:szCs w:val="28"/>
          <w:highlight w:val="none"/>
        </w:rPr>
      </w:pPr>
    </w:p>
    <w:p w14:paraId="29EF87C7">
      <w:pPr>
        <w:tabs>
          <w:tab w:val="left" w:pos="360"/>
          <w:tab w:val="left" w:pos="1800"/>
        </w:tabs>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格式4</w:t>
      </w:r>
      <w:r>
        <w:rPr>
          <w:rFonts w:hint="eastAsia" w:ascii="宋体" w:hAnsi="宋体" w:cs="宋体"/>
          <w:b/>
          <w:bCs/>
          <w:color w:val="auto"/>
          <w:kern w:val="0"/>
          <w:sz w:val="28"/>
          <w:szCs w:val="28"/>
          <w:highlight w:val="none"/>
          <w:lang w:bidi="ar"/>
        </w:rPr>
        <w:t xml:space="preserve">  </w:t>
      </w:r>
      <w:r>
        <w:rPr>
          <w:rFonts w:hint="eastAsia" w:ascii="宋体" w:hAnsi="宋体" w:cs="宋体"/>
          <w:b/>
          <w:bCs/>
          <w:color w:val="auto"/>
          <w:sz w:val="28"/>
          <w:szCs w:val="28"/>
          <w:highlight w:val="none"/>
          <w:lang w:bidi="ar"/>
        </w:rPr>
        <w:t>供应商基本情况表</w:t>
      </w:r>
    </w:p>
    <w:tbl>
      <w:tblPr>
        <w:tblStyle w:val="36"/>
        <w:tblW w:w="93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6"/>
        <w:gridCol w:w="1377"/>
        <w:gridCol w:w="1574"/>
        <w:gridCol w:w="340"/>
        <w:gridCol w:w="1446"/>
        <w:gridCol w:w="156"/>
        <w:gridCol w:w="266"/>
        <w:gridCol w:w="1076"/>
        <w:gridCol w:w="1458"/>
      </w:tblGrid>
      <w:tr w14:paraId="2EAA8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686" w:type="dxa"/>
            <w:noWrap w:val="0"/>
            <w:vAlign w:val="center"/>
          </w:tcPr>
          <w:p w14:paraId="294202CE">
            <w:pPr>
              <w:pStyle w:val="124"/>
              <w:spacing w:before="40" w:line="219" w:lineRule="auto"/>
              <w:ind w:left="248"/>
              <w:jc w:val="center"/>
              <w:rPr>
                <w:rFonts w:hint="eastAsia"/>
                <w:color w:val="auto"/>
                <w:highlight w:val="none"/>
              </w:rPr>
            </w:pPr>
            <w:r>
              <w:rPr>
                <w:rFonts w:hint="eastAsia"/>
                <w:color w:val="auto"/>
                <w:spacing w:val="-2"/>
                <w:highlight w:val="none"/>
              </w:rPr>
              <w:t>供应商名称</w:t>
            </w:r>
          </w:p>
        </w:tc>
        <w:tc>
          <w:tcPr>
            <w:tcW w:w="7693" w:type="dxa"/>
            <w:gridSpan w:val="8"/>
            <w:noWrap w:val="0"/>
            <w:vAlign w:val="center"/>
          </w:tcPr>
          <w:p w14:paraId="6A3FA446">
            <w:pPr>
              <w:jc w:val="center"/>
              <w:rPr>
                <w:rFonts w:hint="eastAsia" w:ascii="宋体" w:hAnsi="宋体" w:eastAsia="宋体" w:cs="宋体"/>
                <w:color w:val="auto"/>
                <w:highlight w:val="none"/>
              </w:rPr>
            </w:pPr>
          </w:p>
        </w:tc>
      </w:tr>
      <w:tr w14:paraId="5F5F4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686" w:type="dxa"/>
            <w:noWrap w:val="0"/>
            <w:vAlign w:val="center"/>
          </w:tcPr>
          <w:p w14:paraId="515C6A27">
            <w:pPr>
              <w:pStyle w:val="124"/>
              <w:spacing w:before="34" w:line="229" w:lineRule="auto"/>
              <w:ind w:left="668"/>
              <w:jc w:val="center"/>
              <w:rPr>
                <w:rFonts w:hint="eastAsia"/>
                <w:color w:val="auto"/>
                <w:highlight w:val="none"/>
              </w:rPr>
            </w:pPr>
            <w:r>
              <w:rPr>
                <w:rFonts w:hint="eastAsia"/>
                <w:color w:val="auto"/>
                <w:spacing w:val="-5"/>
                <w:highlight w:val="none"/>
              </w:rPr>
              <w:t>地</w:t>
            </w:r>
            <w:r>
              <w:rPr>
                <w:rFonts w:hint="eastAsia"/>
                <w:color w:val="auto"/>
                <w:spacing w:val="10"/>
                <w:highlight w:val="none"/>
              </w:rPr>
              <w:t xml:space="preserve"> </w:t>
            </w:r>
            <w:r>
              <w:rPr>
                <w:rFonts w:hint="eastAsia"/>
                <w:color w:val="auto"/>
                <w:spacing w:val="-5"/>
                <w:highlight w:val="none"/>
              </w:rPr>
              <w:t>址</w:t>
            </w:r>
          </w:p>
        </w:tc>
        <w:tc>
          <w:tcPr>
            <w:tcW w:w="7693" w:type="dxa"/>
            <w:gridSpan w:val="8"/>
            <w:noWrap w:val="0"/>
            <w:vAlign w:val="center"/>
          </w:tcPr>
          <w:p w14:paraId="1AF4B076">
            <w:pPr>
              <w:jc w:val="center"/>
              <w:rPr>
                <w:rFonts w:hint="eastAsia" w:ascii="宋体" w:hAnsi="宋体" w:eastAsia="宋体" w:cs="宋体"/>
                <w:color w:val="auto"/>
                <w:highlight w:val="none"/>
              </w:rPr>
            </w:pPr>
          </w:p>
        </w:tc>
      </w:tr>
      <w:tr w14:paraId="41F8A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686" w:type="dxa"/>
            <w:noWrap w:val="0"/>
            <w:vAlign w:val="center"/>
          </w:tcPr>
          <w:p w14:paraId="5E7437B1">
            <w:pPr>
              <w:pStyle w:val="124"/>
              <w:spacing w:before="44" w:line="219" w:lineRule="auto"/>
              <w:ind w:left="249"/>
              <w:jc w:val="center"/>
              <w:rPr>
                <w:rFonts w:hint="eastAsia"/>
                <w:color w:val="auto"/>
                <w:highlight w:val="none"/>
              </w:rPr>
            </w:pPr>
            <w:r>
              <w:rPr>
                <w:rFonts w:hint="eastAsia"/>
                <w:color w:val="auto"/>
                <w:spacing w:val="-3"/>
                <w:highlight w:val="none"/>
              </w:rPr>
              <w:t>法定代表人</w:t>
            </w:r>
          </w:p>
        </w:tc>
        <w:tc>
          <w:tcPr>
            <w:tcW w:w="3291" w:type="dxa"/>
            <w:gridSpan w:val="3"/>
            <w:noWrap w:val="0"/>
            <w:vAlign w:val="center"/>
          </w:tcPr>
          <w:p w14:paraId="165D424B">
            <w:pPr>
              <w:jc w:val="center"/>
              <w:rPr>
                <w:rFonts w:hint="eastAsia" w:ascii="宋体" w:hAnsi="宋体" w:eastAsia="宋体" w:cs="宋体"/>
                <w:color w:val="auto"/>
                <w:highlight w:val="none"/>
              </w:rPr>
            </w:pPr>
          </w:p>
        </w:tc>
        <w:tc>
          <w:tcPr>
            <w:tcW w:w="1446" w:type="dxa"/>
            <w:noWrap w:val="0"/>
            <w:vAlign w:val="center"/>
          </w:tcPr>
          <w:p w14:paraId="58F9C313">
            <w:pPr>
              <w:pStyle w:val="124"/>
              <w:spacing w:before="44" w:line="219" w:lineRule="auto"/>
              <w:ind w:left="430"/>
              <w:jc w:val="center"/>
              <w:rPr>
                <w:rFonts w:hint="eastAsia"/>
                <w:color w:val="auto"/>
                <w:highlight w:val="none"/>
              </w:rPr>
            </w:pPr>
            <w:r>
              <w:rPr>
                <w:rFonts w:hint="eastAsia"/>
                <w:color w:val="auto"/>
                <w:spacing w:val="-6"/>
                <w:highlight w:val="none"/>
              </w:rPr>
              <w:t>职</w:t>
            </w:r>
            <w:r>
              <w:rPr>
                <w:rFonts w:hint="eastAsia"/>
                <w:color w:val="auto"/>
                <w:spacing w:val="11"/>
                <w:highlight w:val="none"/>
              </w:rPr>
              <w:t xml:space="preserve"> </w:t>
            </w:r>
            <w:r>
              <w:rPr>
                <w:rFonts w:hint="eastAsia"/>
                <w:color w:val="auto"/>
                <w:spacing w:val="-6"/>
                <w:highlight w:val="none"/>
              </w:rPr>
              <w:t>务</w:t>
            </w:r>
          </w:p>
        </w:tc>
        <w:tc>
          <w:tcPr>
            <w:tcW w:w="2956" w:type="dxa"/>
            <w:gridSpan w:val="4"/>
            <w:noWrap w:val="0"/>
            <w:vAlign w:val="center"/>
          </w:tcPr>
          <w:p w14:paraId="04F11244">
            <w:pPr>
              <w:jc w:val="center"/>
              <w:rPr>
                <w:rFonts w:hint="eastAsia" w:ascii="宋体" w:hAnsi="宋体" w:eastAsia="宋体" w:cs="宋体"/>
                <w:color w:val="auto"/>
                <w:highlight w:val="none"/>
              </w:rPr>
            </w:pPr>
          </w:p>
        </w:tc>
      </w:tr>
      <w:tr w14:paraId="3AD24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86" w:type="dxa"/>
            <w:noWrap w:val="0"/>
            <w:vAlign w:val="center"/>
          </w:tcPr>
          <w:p w14:paraId="2E2C8A00">
            <w:pPr>
              <w:pStyle w:val="124"/>
              <w:spacing w:before="36" w:line="221" w:lineRule="auto"/>
              <w:ind w:left="368"/>
              <w:jc w:val="center"/>
              <w:rPr>
                <w:rFonts w:hint="eastAsia"/>
                <w:color w:val="auto"/>
                <w:highlight w:val="none"/>
              </w:rPr>
            </w:pPr>
            <w:r>
              <w:rPr>
                <w:rFonts w:hint="eastAsia"/>
                <w:color w:val="auto"/>
                <w:spacing w:val="-3"/>
                <w:highlight w:val="none"/>
              </w:rPr>
              <w:t>注册时间</w:t>
            </w:r>
          </w:p>
        </w:tc>
        <w:tc>
          <w:tcPr>
            <w:tcW w:w="3291" w:type="dxa"/>
            <w:gridSpan w:val="3"/>
            <w:noWrap w:val="0"/>
            <w:vAlign w:val="center"/>
          </w:tcPr>
          <w:p w14:paraId="7C4FAC19">
            <w:pPr>
              <w:jc w:val="center"/>
              <w:rPr>
                <w:rFonts w:hint="eastAsia" w:ascii="宋体" w:hAnsi="宋体" w:eastAsia="宋体" w:cs="宋体"/>
                <w:color w:val="auto"/>
                <w:highlight w:val="none"/>
              </w:rPr>
            </w:pPr>
          </w:p>
        </w:tc>
        <w:tc>
          <w:tcPr>
            <w:tcW w:w="1446" w:type="dxa"/>
            <w:noWrap w:val="0"/>
            <w:vAlign w:val="center"/>
          </w:tcPr>
          <w:p w14:paraId="69912DCD">
            <w:pPr>
              <w:pStyle w:val="124"/>
              <w:spacing w:before="37" w:line="219" w:lineRule="auto"/>
              <w:ind w:left="251"/>
              <w:jc w:val="center"/>
              <w:rPr>
                <w:rFonts w:hint="eastAsia"/>
                <w:color w:val="auto"/>
                <w:highlight w:val="none"/>
              </w:rPr>
            </w:pPr>
            <w:r>
              <w:rPr>
                <w:rFonts w:hint="eastAsia"/>
                <w:color w:val="auto"/>
                <w:spacing w:val="-3"/>
                <w:highlight w:val="none"/>
              </w:rPr>
              <w:t>经济类型</w:t>
            </w:r>
          </w:p>
        </w:tc>
        <w:tc>
          <w:tcPr>
            <w:tcW w:w="2956" w:type="dxa"/>
            <w:gridSpan w:val="4"/>
            <w:noWrap w:val="0"/>
            <w:vAlign w:val="center"/>
          </w:tcPr>
          <w:p w14:paraId="6E61B42F">
            <w:pPr>
              <w:jc w:val="center"/>
              <w:rPr>
                <w:rFonts w:hint="eastAsia" w:ascii="宋体" w:hAnsi="宋体" w:eastAsia="宋体" w:cs="宋体"/>
                <w:color w:val="auto"/>
                <w:highlight w:val="none"/>
              </w:rPr>
            </w:pPr>
          </w:p>
        </w:tc>
      </w:tr>
      <w:tr w14:paraId="3EF9C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686" w:type="dxa"/>
            <w:noWrap w:val="0"/>
            <w:vAlign w:val="center"/>
          </w:tcPr>
          <w:p w14:paraId="0F47B0E7">
            <w:pPr>
              <w:pStyle w:val="124"/>
              <w:spacing w:before="36" w:line="343" w:lineRule="auto"/>
              <w:ind w:left="607" w:right="121" w:hanging="473"/>
              <w:jc w:val="center"/>
              <w:rPr>
                <w:rFonts w:hint="eastAsia"/>
                <w:color w:val="auto"/>
                <w:highlight w:val="none"/>
              </w:rPr>
            </w:pPr>
            <w:r>
              <w:rPr>
                <w:rFonts w:hint="eastAsia"/>
                <w:color w:val="auto"/>
                <w:spacing w:val="-3"/>
                <w:highlight w:val="none"/>
              </w:rPr>
              <w:t>统一社会信用</w:t>
            </w:r>
            <w:r>
              <w:rPr>
                <w:rFonts w:hint="eastAsia"/>
                <w:color w:val="auto"/>
                <w:spacing w:val="1"/>
                <w:highlight w:val="none"/>
              </w:rPr>
              <w:t xml:space="preserve"> </w:t>
            </w:r>
            <w:r>
              <w:rPr>
                <w:rFonts w:hint="eastAsia"/>
                <w:color w:val="auto"/>
                <w:spacing w:val="-5"/>
                <w:highlight w:val="none"/>
              </w:rPr>
              <w:t>代码</w:t>
            </w:r>
          </w:p>
        </w:tc>
        <w:tc>
          <w:tcPr>
            <w:tcW w:w="7693" w:type="dxa"/>
            <w:gridSpan w:val="8"/>
            <w:noWrap w:val="0"/>
            <w:vAlign w:val="center"/>
          </w:tcPr>
          <w:p w14:paraId="2D7A2CFF">
            <w:pPr>
              <w:jc w:val="center"/>
              <w:rPr>
                <w:rFonts w:hint="eastAsia" w:ascii="宋体" w:hAnsi="宋体" w:eastAsia="宋体" w:cs="宋体"/>
                <w:color w:val="auto"/>
                <w:highlight w:val="none"/>
              </w:rPr>
            </w:pPr>
          </w:p>
        </w:tc>
      </w:tr>
      <w:tr w14:paraId="5329D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977" w:type="dxa"/>
            <w:gridSpan w:val="4"/>
            <w:noWrap w:val="0"/>
            <w:vAlign w:val="center"/>
          </w:tcPr>
          <w:p w14:paraId="7F7DC5B9">
            <w:pPr>
              <w:pStyle w:val="124"/>
              <w:spacing w:before="38" w:line="342" w:lineRule="auto"/>
              <w:ind w:left="2015" w:right="105" w:hanging="1899"/>
              <w:jc w:val="center"/>
              <w:rPr>
                <w:rFonts w:hint="eastAsia"/>
                <w:color w:val="auto"/>
                <w:highlight w:val="none"/>
                <w:lang w:eastAsia="zh-CN"/>
              </w:rPr>
            </w:pPr>
            <w:r>
              <w:rPr>
                <w:rFonts w:hint="eastAsia"/>
                <w:color w:val="auto"/>
                <w:spacing w:val="-3"/>
                <w:highlight w:val="none"/>
                <w:lang w:eastAsia="zh-CN"/>
              </w:rPr>
              <w:t>近三年内（202</w:t>
            </w:r>
            <w:r>
              <w:rPr>
                <w:rFonts w:hint="eastAsia"/>
                <w:color w:val="auto"/>
                <w:spacing w:val="-3"/>
                <w:highlight w:val="none"/>
                <w:lang w:val="en-US" w:eastAsia="zh-CN"/>
              </w:rPr>
              <w:t>2</w:t>
            </w:r>
            <w:r>
              <w:rPr>
                <w:rFonts w:hint="eastAsia"/>
                <w:color w:val="auto"/>
                <w:spacing w:val="-3"/>
                <w:highlight w:val="none"/>
                <w:lang w:eastAsia="zh-CN"/>
              </w:rPr>
              <w:t>年至今）经营活动中有无重大</w:t>
            </w:r>
            <w:r>
              <w:rPr>
                <w:rFonts w:hint="eastAsia"/>
                <w:color w:val="auto"/>
                <w:spacing w:val="15"/>
                <w:highlight w:val="none"/>
                <w:lang w:eastAsia="zh-CN"/>
              </w:rPr>
              <w:t xml:space="preserve"> </w:t>
            </w:r>
            <w:r>
              <w:rPr>
                <w:rFonts w:hint="eastAsia"/>
                <w:color w:val="auto"/>
                <w:spacing w:val="-3"/>
                <w:highlight w:val="none"/>
                <w:lang w:eastAsia="zh-CN"/>
              </w:rPr>
              <w:t>违法记录</w:t>
            </w:r>
          </w:p>
        </w:tc>
        <w:tc>
          <w:tcPr>
            <w:tcW w:w="4402" w:type="dxa"/>
            <w:gridSpan w:val="5"/>
            <w:noWrap w:val="0"/>
            <w:vAlign w:val="center"/>
          </w:tcPr>
          <w:p w14:paraId="1FFE50B6">
            <w:pPr>
              <w:jc w:val="center"/>
              <w:rPr>
                <w:rFonts w:hint="eastAsia" w:ascii="宋体" w:hAnsi="宋体" w:eastAsia="宋体" w:cs="宋体"/>
                <w:color w:val="auto"/>
                <w:highlight w:val="none"/>
              </w:rPr>
            </w:pPr>
          </w:p>
        </w:tc>
      </w:tr>
      <w:tr w14:paraId="5A637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1686" w:type="dxa"/>
            <w:noWrap w:val="0"/>
            <w:vAlign w:val="center"/>
          </w:tcPr>
          <w:p w14:paraId="195ED7E9">
            <w:pPr>
              <w:pStyle w:val="124"/>
              <w:spacing w:before="61" w:line="345" w:lineRule="auto"/>
              <w:ind w:left="367" w:right="361" w:firstLine="5"/>
              <w:jc w:val="center"/>
              <w:rPr>
                <w:rFonts w:hint="eastAsia"/>
                <w:color w:val="auto"/>
                <w:highlight w:val="none"/>
              </w:rPr>
            </w:pPr>
            <w:r>
              <w:rPr>
                <w:rFonts w:hint="eastAsia"/>
                <w:color w:val="auto"/>
                <w:spacing w:val="-4"/>
                <w:highlight w:val="none"/>
              </w:rPr>
              <w:t>是否依法</w:t>
            </w:r>
            <w:r>
              <w:rPr>
                <w:rFonts w:hint="eastAsia"/>
                <w:color w:val="auto"/>
                <w:spacing w:val="1"/>
                <w:highlight w:val="none"/>
              </w:rPr>
              <w:t xml:space="preserve"> </w:t>
            </w:r>
            <w:r>
              <w:rPr>
                <w:rFonts w:hint="eastAsia"/>
                <w:color w:val="auto"/>
                <w:spacing w:val="-2"/>
                <w:highlight w:val="none"/>
              </w:rPr>
              <w:t>缴纳税收</w:t>
            </w:r>
          </w:p>
        </w:tc>
        <w:tc>
          <w:tcPr>
            <w:tcW w:w="3291" w:type="dxa"/>
            <w:gridSpan w:val="3"/>
            <w:noWrap w:val="0"/>
            <w:vAlign w:val="center"/>
          </w:tcPr>
          <w:p w14:paraId="40EC4AAE">
            <w:pPr>
              <w:jc w:val="center"/>
              <w:rPr>
                <w:rFonts w:hint="eastAsia" w:ascii="宋体" w:hAnsi="宋体" w:eastAsia="宋体" w:cs="宋体"/>
                <w:color w:val="auto"/>
                <w:highlight w:val="none"/>
              </w:rPr>
            </w:pPr>
          </w:p>
        </w:tc>
        <w:tc>
          <w:tcPr>
            <w:tcW w:w="1868" w:type="dxa"/>
            <w:gridSpan w:val="3"/>
            <w:noWrap w:val="0"/>
            <w:vAlign w:val="center"/>
          </w:tcPr>
          <w:p w14:paraId="6F55961A">
            <w:pPr>
              <w:pStyle w:val="124"/>
              <w:spacing w:before="60" w:line="345" w:lineRule="auto"/>
              <w:ind w:left="222" w:right="211" w:firstLine="1"/>
              <w:jc w:val="center"/>
              <w:rPr>
                <w:rFonts w:hint="eastAsia"/>
                <w:color w:val="auto"/>
                <w:highlight w:val="none"/>
                <w:lang w:eastAsia="zh-CN"/>
              </w:rPr>
            </w:pPr>
            <w:r>
              <w:rPr>
                <w:rFonts w:hint="eastAsia"/>
                <w:color w:val="auto"/>
                <w:spacing w:val="-3"/>
                <w:highlight w:val="none"/>
                <w:lang w:eastAsia="zh-CN"/>
              </w:rPr>
              <w:t>是否依法缴纳</w:t>
            </w:r>
            <w:r>
              <w:rPr>
                <w:rFonts w:hint="eastAsia"/>
                <w:color w:val="auto"/>
                <w:spacing w:val="3"/>
                <w:highlight w:val="none"/>
                <w:lang w:eastAsia="zh-CN"/>
              </w:rPr>
              <w:t xml:space="preserve"> </w:t>
            </w:r>
            <w:r>
              <w:rPr>
                <w:rFonts w:hint="eastAsia"/>
                <w:color w:val="auto"/>
                <w:spacing w:val="-2"/>
                <w:highlight w:val="none"/>
                <w:lang w:eastAsia="zh-CN"/>
              </w:rPr>
              <w:t>社会保障资金</w:t>
            </w:r>
          </w:p>
        </w:tc>
        <w:tc>
          <w:tcPr>
            <w:tcW w:w="2534" w:type="dxa"/>
            <w:gridSpan w:val="2"/>
            <w:noWrap w:val="0"/>
            <w:vAlign w:val="center"/>
          </w:tcPr>
          <w:p w14:paraId="4F47A5D1">
            <w:pPr>
              <w:jc w:val="center"/>
              <w:rPr>
                <w:rFonts w:hint="eastAsia" w:ascii="宋体" w:hAnsi="宋体" w:eastAsia="宋体" w:cs="宋体"/>
                <w:color w:val="auto"/>
                <w:highlight w:val="none"/>
              </w:rPr>
            </w:pPr>
          </w:p>
        </w:tc>
      </w:tr>
      <w:tr w14:paraId="3F9DE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686" w:type="dxa"/>
            <w:vMerge w:val="restart"/>
            <w:tcBorders>
              <w:bottom w:val="nil"/>
            </w:tcBorders>
            <w:noWrap w:val="0"/>
            <w:textDirection w:val="tbRlV"/>
            <w:vAlign w:val="center"/>
          </w:tcPr>
          <w:p w14:paraId="79BA2E32">
            <w:pPr>
              <w:spacing w:line="310" w:lineRule="auto"/>
              <w:jc w:val="center"/>
              <w:rPr>
                <w:rFonts w:hint="eastAsia" w:ascii="宋体" w:hAnsi="宋体" w:eastAsia="宋体" w:cs="宋体"/>
                <w:color w:val="auto"/>
                <w:highlight w:val="none"/>
              </w:rPr>
            </w:pPr>
          </w:p>
          <w:p w14:paraId="5FB7A660">
            <w:pPr>
              <w:spacing w:line="311" w:lineRule="auto"/>
              <w:jc w:val="center"/>
              <w:rPr>
                <w:rFonts w:hint="eastAsia" w:ascii="宋体" w:hAnsi="宋体" w:eastAsia="宋体" w:cs="宋体"/>
                <w:color w:val="auto"/>
                <w:highlight w:val="none"/>
              </w:rPr>
            </w:pPr>
          </w:p>
          <w:p w14:paraId="7A281673">
            <w:pPr>
              <w:pStyle w:val="124"/>
              <w:spacing w:before="80" w:line="208" w:lineRule="auto"/>
              <w:ind w:left="160"/>
              <w:jc w:val="center"/>
              <w:rPr>
                <w:rFonts w:hint="eastAsia"/>
                <w:color w:val="auto"/>
                <w:highlight w:val="none"/>
              </w:rPr>
            </w:pPr>
            <w:r>
              <w:rPr>
                <w:rFonts w:hint="eastAsia"/>
                <w:color w:val="auto"/>
                <w:spacing w:val="-1"/>
                <w:highlight w:val="none"/>
              </w:rPr>
              <w:t>单</w:t>
            </w:r>
            <w:r>
              <w:rPr>
                <w:rFonts w:hint="eastAsia"/>
                <w:color w:val="auto"/>
                <w:spacing w:val="-1"/>
                <w:highlight w:val="none"/>
                <w:lang w:eastAsia="zh-CN"/>
              </w:rPr>
              <w:t xml:space="preserve">  </w:t>
            </w:r>
            <w:r>
              <w:rPr>
                <w:rFonts w:hint="eastAsia"/>
                <w:color w:val="auto"/>
                <w:spacing w:val="-1"/>
                <w:highlight w:val="none"/>
              </w:rPr>
              <w:t>位</w:t>
            </w:r>
            <w:r>
              <w:rPr>
                <w:rFonts w:hint="eastAsia"/>
                <w:color w:val="auto"/>
                <w:spacing w:val="108"/>
                <w:highlight w:val="none"/>
              </w:rPr>
              <w:t xml:space="preserve"> </w:t>
            </w:r>
            <w:r>
              <w:rPr>
                <w:rFonts w:hint="eastAsia"/>
                <w:color w:val="auto"/>
                <w:spacing w:val="-1"/>
                <w:highlight w:val="none"/>
              </w:rPr>
              <w:t>概</w:t>
            </w:r>
            <w:r>
              <w:rPr>
                <w:rFonts w:hint="eastAsia"/>
                <w:color w:val="auto"/>
                <w:spacing w:val="108"/>
                <w:highlight w:val="none"/>
              </w:rPr>
              <w:t xml:space="preserve"> </w:t>
            </w:r>
            <w:r>
              <w:rPr>
                <w:rFonts w:hint="eastAsia"/>
                <w:color w:val="auto"/>
                <w:spacing w:val="-1"/>
                <w:highlight w:val="none"/>
              </w:rPr>
              <w:t>况</w:t>
            </w:r>
          </w:p>
        </w:tc>
        <w:tc>
          <w:tcPr>
            <w:tcW w:w="1377" w:type="dxa"/>
            <w:noWrap w:val="0"/>
            <w:vAlign w:val="center"/>
          </w:tcPr>
          <w:p w14:paraId="5B24EF69">
            <w:pPr>
              <w:pStyle w:val="124"/>
              <w:spacing w:before="85" w:line="219" w:lineRule="auto"/>
              <w:ind w:left="214"/>
              <w:jc w:val="center"/>
              <w:rPr>
                <w:rFonts w:hint="eastAsia"/>
                <w:color w:val="auto"/>
                <w:highlight w:val="none"/>
              </w:rPr>
            </w:pPr>
            <w:r>
              <w:rPr>
                <w:rFonts w:hint="eastAsia"/>
                <w:color w:val="auto"/>
                <w:spacing w:val="-3"/>
                <w:highlight w:val="none"/>
              </w:rPr>
              <w:t>注册资本</w:t>
            </w:r>
          </w:p>
        </w:tc>
        <w:tc>
          <w:tcPr>
            <w:tcW w:w="1574" w:type="dxa"/>
            <w:noWrap w:val="0"/>
            <w:vAlign w:val="center"/>
          </w:tcPr>
          <w:p w14:paraId="37ABD883">
            <w:pPr>
              <w:pStyle w:val="124"/>
              <w:spacing w:before="85" w:line="220" w:lineRule="auto"/>
              <w:ind w:left="798"/>
              <w:jc w:val="center"/>
              <w:rPr>
                <w:rFonts w:hint="eastAsia"/>
                <w:color w:val="auto"/>
                <w:highlight w:val="none"/>
              </w:rPr>
            </w:pPr>
            <w:r>
              <w:rPr>
                <w:rFonts w:hint="eastAsia"/>
                <w:color w:val="auto"/>
                <w:spacing w:val="-8"/>
                <w:highlight w:val="none"/>
              </w:rPr>
              <w:t>万元</w:t>
            </w:r>
          </w:p>
        </w:tc>
        <w:tc>
          <w:tcPr>
            <w:tcW w:w="1942" w:type="dxa"/>
            <w:gridSpan w:val="3"/>
            <w:noWrap w:val="0"/>
            <w:vAlign w:val="center"/>
          </w:tcPr>
          <w:p w14:paraId="499DCAD5">
            <w:pPr>
              <w:pStyle w:val="124"/>
              <w:spacing w:before="85" w:line="220" w:lineRule="auto"/>
              <w:ind w:left="537"/>
              <w:jc w:val="center"/>
              <w:rPr>
                <w:rFonts w:hint="eastAsia"/>
                <w:color w:val="auto"/>
                <w:highlight w:val="none"/>
              </w:rPr>
            </w:pPr>
            <w:r>
              <w:rPr>
                <w:rFonts w:hint="eastAsia"/>
                <w:color w:val="auto"/>
                <w:spacing w:val="-13"/>
                <w:highlight w:val="none"/>
              </w:rPr>
              <w:t>占地面积</w:t>
            </w:r>
          </w:p>
        </w:tc>
        <w:tc>
          <w:tcPr>
            <w:tcW w:w="2800" w:type="dxa"/>
            <w:gridSpan w:val="3"/>
            <w:noWrap w:val="0"/>
            <w:vAlign w:val="center"/>
          </w:tcPr>
          <w:p w14:paraId="49966C51">
            <w:pPr>
              <w:pStyle w:val="124"/>
              <w:spacing w:before="86" w:line="219" w:lineRule="auto"/>
              <w:ind w:left="1764"/>
              <w:jc w:val="center"/>
              <w:rPr>
                <w:rFonts w:hint="eastAsia"/>
                <w:color w:val="auto"/>
                <w:highlight w:val="none"/>
              </w:rPr>
            </w:pPr>
            <w:r>
              <w:rPr>
                <w:rFonts w:hint="eastAsia"/>
                <w:color w:val="auto"/>
                <w:spacing w:val="-3"/>
                <w:highlight w:val="none"/>
              </w:rPr>
              <w:t>平方米</w:t>
            </w:r>
          </w:p>
        </w:tc>
      </w:tr>
      <w:tr w14:paraId="52EB4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686" w:type="dxa"/>
            <w:vMerge w:val="continue"/>
            <w:tcBorders>
              <w:top w:val="nil"/>
              <w:bottom w:val="nil"/>
            </w:tcBorders>
            <w:noWrap w:val="0"/>
            <w:textDirection w:val="tbRlV"/>
            <w:vAlign w:val="center"/>
          </w:tcPr>
          <w:p w14:paraId="50DD69A8">
            <w:pPr>
              <w:jc w:val="center"/>
              <w:rPr>
                <w:rFonts w:hint="eastAsia" w:ascii="宋体" w:hAnsi="宋体" w:eastAsia="宋体" w:cs="宋体"/>
                <w:color w:val="auto"/>
                <w:highlight w:val="none"/>
              </w:rPr>
            </w:pPr>
          </w:p>
        </w:tc>
        <w:tc>
          <w:tcPr>
            <w:tcW w:w="1377" w:type="dxa"/>
            <w:noWrap w:val="0"/>
            <w:vAlign w:val="center"/>
          </w:tcPr>
          <w:p w14:paraId="372720D0">
            <w:pPr>
              <w:pStyle w:val="124"/>
              <w:spacing w:before="48" w:line="219" w:lineRule="auto"/>
              <w:ind w:left="215"/>
              <w:jc w:val="center"/>
              <w:rPr>
                <w:rFonts w:hint="eastAsia"/>
                <w:color w:val="auto"/>
                <w:highlight w:val="none"/>
              </w:rPr>
            </w:pPr>
            <w:r>
              <w:rPr>
                <w:rFonts w:hint="eastAsia"/>
                <w:color w:val="auto"/>
                <w:spacing w:val="-3"/>
                <w:highlight w:val="none"/>
              </w:rPr>
              <w:t>职工总数</w:t>
            </w:r>
          </w:p>
        </w:tc>
        <w:tc>
          <w:tcPr>
            <w:tcW w:w="1574" w:type="dxa"/>
            <w:noWrap w:val="0"/>
            <w:vAlign w:val="center"/>
          </w:tcPr>
          <w:p w14:paraId="49D4C9F9">
            <w:pPr>
              <w:pStyle w:val="124"/>
              <w:spacing w:before="48" w:line="222" w:lineRule="auto"/>
              <w:ind w:left="975"/>
              <w:jc w:val="center"/>
              <w:rPr>
                <w:rFonts w:hint="eastAsia"/>
                <w:color w:val="auto"/>
                <w:highlight w:val="none"/>
              </w:rPr>
            </w:pPr>
            <w:r>
              <w:rPr>
                <w:rFonts w:hint="eastAsia"/>
                <w:color w:val="auto"/>
                <w:highlight w:val="none"/>
              </w:rPr>
              <w:t>人</w:t>
            </w:r>
          </w:p>
        </w:tc>
        <w:tc>
          <w:tcPr>
            <w:tcW w:w="1942" w:type="dxa"/>
            <w:gridSpan w:val="3"/>
            <w:noWrap w:val="0"/>
            <w:vAlign w:val="center"/>
          </w:tcPr>
          <w:p w14:paraId="7B8139BE">
            <w:pPr>
              <w:pStyle w:val="124"/>
              <w:spacing w:before="47" w:line="220" w:lineRule="auto"/>
              <w:ind w:left="501"/>
              <w:jc w:val="center"/>
              <w:rPr>
                <w:rFonts w:hint="eastAsia"/>
                <w:color w:val="auto"/>
                <w:highlight w:val="none"/>
              </w:rPr>
            </w:pPr>
            <w:r>
              <w:rPr>
                <w:rFonts w:hint="eastAsia"/>
                <w:color w:val="auto"/>
                <w:spacing w:val="-4"/>
                <w:highlight w:val="none"/>
              </w:rPr>
              <w:t>建筑面积</w:t>
            </w:r>
          </w:p>
        </w:tc>
        <w:tc>
          <w:tcPr>
            <w:tcW w:w="2800" w:type="dxa"/>
            <w:gridSpan w:val="3"/>
            <w:noWrap w:val="0"/>
            <w:vAlign w:val="center"/>
          </w:tcPr>
          <w:p w14:paraId="6449CE66">
            <w:pPr>
              <w:pStyle w:val="124"/>
              <w:spacing w:before="48" w:line="219" w:lineRule="auto"/>
              <w:ind w:left="1831"/>
              <w:jc w:val="center"/>
              <w:rPr>
                <w:rFonts w:hint="eastAsia"/>
                <w:color w:val="auto"/>
                <w:highlight w:val="none"/>
              </w:rPr>
            </w:pPr>
            <w:r>
              <w:rPr>
                <w:rFonts w:hint="eastAsia"/>
                <w:color w:val="auto"/>
                <w:spacing w:val="-3"/>
                <w:highlight w:val="none"/>
              </w:rPr>
              <w:t>平方米</w:t>
            </w:r>
          </w:p>
        </w:tc>
      </w:tr>
      <w:tr w14:paraId="2FD0E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86" w:type="dxa"/>
            <w:vMerge w:val="continue"/>
            <w:tcBorders>
              <w:top w:val="nil"/>
              <w:bottom w:val="nil"/>
            </w:tcBorders>
            <w:noWrap w:val="0"/>
            <w:textDirection w:val="tbRlV"/>
            <w:vAlign w:val="center"/>
          </w:tcPr>
          <w:p w14:paraId="6BCF2B42">
            <w:pPr>
              <w:jc w:val="center"/>
              <w:rPr>
                <w:rFonts w:hint="eastAsia" w:ascii="宋体" w:hAnsi="宋体" w:eastAsia="宋体" w:cs="宋体"/>
                <w:color w:val="auto"/>
                <w:highlight w:val="none"/>
              </w:rPr>
            </w:pPr>
          </w:p>
        </w:tc>
        <w:tc>
          <w:tcPr>
            <w:tcW w:w="1377" w:type="dxa"/>
            <w:vMerge w:val="restart"/>
            <w:tcBorders>
              <w:bottom w:val="nil"/>
            </w:tcBorders>
            <w:noWrap w:val="0"/>
            <w:vAlign w:val="center"/>
          </w:tcPr>
          <w:p w14:paraId="02F37408">
            <w:pPr>
              <w:pStyle w:val="124"/>
              <w:spacing w:before="246" w:line="230" w:lineRule="auto"/>
              <w:ind w:left="455" w:right="447" w:firstLine="9"/>
              <w:jc w:val="center"/>
              <w:rPr>
                <w:rFonts w:hint="eastAsia"/>
                <w:color w:val="auto"/>
                <w:highlight w:val="none"/>
              </w:rPr>
            </w:pPr>
            <w:r>
              <w:rPr>
                <w:rFonts w:hint="eastAsia"/>
                <w:color w:val="auto"/>
                <w:spacing w:val="-10"/>
                <w:highlight w:val="none"/>
              </w:rPr>
              <w:t>资产</w:t>
            </w:r>
            <w:r>
              <w:rPr>
                <w:rFonts w:hint="eastAsia"/>
                <w:color w:val="auto"/>
                <w:highlight w:val="none"/>
              </w:rPr>
              <w:t xml:space="preserve"> </w:t>
            </w:r>
            <w:r>
              <w:rPr>
                <w:rFonts w:hint="eastAsia"/>
                <w:color w:val="auto"/>
                <w:spacing w:val="-6"/>
                <w:highlight w:val="none"/>
              </w:rPr>
              <w:t>情况</w:t>
            </w:r>
          </w:p>
        </w:tc>
        <w:tc>
          <w:tcPr>
            <w:tcW w:w="3516" w:type="dxa"/>
            <w:gridSpan w:val="4"/>
            <w:noWrap w:val="0"/>
            <w:vAlign w:val="center"/>
          </w:tcPr>
          <w:p w14:paraId="101F8406">
            <w:pPr>
              <w:pStyle w:val="124"/>
              <w:spacing w:before="88" w:line="219" w:lineRule="auto"/>
              <w:ind w:left="116"/>
              <w:jc w:val="center"/>
              <w:rPr>
                <w:rFonts w:hint="eastAsia"/>
                <w:color w:val="auto"/>
                <w:highlight w:val="none"/>
              </w:rPr>
            </w:pPr>
            <w:r>
              <w:rPr>
                <w:rFonts w:hint="eastAsia"/>
                <w:color w:val="auto"/>
                <w:spacing w:val="-5"/>
                <w:highlight w:val="none"/>
              </w:rPr>
              <w:t>净资产：</w:t>
            </w:r>
            <w:r>
              <w:rPr>
                <w:rFonts w:hint="eastAsia"/>
                <w:color w:val="auto"/>
                <w:spacing w:val="1"/>
                <w:highlight w:val="none"/>
              </w:rPr>
              <w:t xml:space="preserve">         </w:t>
            </w:r>
            <w:r>
              <w:rPr>
                <w:rFonts w:hint="eastAsia"/>
                <w:color w:val="auto"/>
                <w:spacing w:val="-5"/>
                <w:highlight w:val="none"/>
              </w:rPr>
              <w:t>万元</w:t>
            </w:r>
          </w:p>
        </w:tc>
        <w:tc>
          <w:tcPr>
            <w:tcW w:w="2800" w:type="dxa"/>
            <w:gridSpan w:val="3"/>
            <w:vMerge w:val="restart"/>
            <w:tcBorders>
              <w:bottom w:val="nil"/>
            </w:tcBorders>
            <w:noWrap w:val="0"/>
            <w:vAlign w:val="center"/>
          </w:tcPr>
          <w:p w14:paraId="67908563">
            <w:pPr>
              <w:pStyle w:val="124"/>
              <w:spacing w:before="93" w:line="219" w:lineRule="auto"/>
              <w:ind w:left="136"/>
              <w:jc w:val="center"/>
              <w:rPr>
                <w:rFonts w:hint="eastAsia"/>
                <w:color w:val="auto"/>
                <w:highlight w:val="none"/>
                <w:lang w:eastAsia="zh-CN"/>
              </w:rPr>
            </w:pPr>
            <w:r>
              <w:rPr>
                <w:rFonts w:hint="eastAsia"/>
                <w:color w:val="auto"/>
                <w:spacing w:val="-6"/>
                <w:highlight w:val="none"/>
                <w:lang w:eastAsia="zh-CN"/>
              </w:rPr>
              <w:t>固定资产原值：</w:t>
            </w:r>
            <w:r>
              <w:rPr>
                <w:rFonts w:hint="eastAsia"/>
                <w:color w:val="auto"/>
                <w:spacing w:val="27"/>
                <w:highlight w:val="none"/>
                <w:lang w:eastAsia="zh-CN"/>
              </w:rPr>
              <w:t xml:space="preserve">   </w:t>
            </w:r>
            <w:r>
              <w:rPr>
                <w:rFonts w:hint="eastAsia"/>
                <w:color w:val="auto"/>
                <w:spacing w:val="-6"/>
                <w:highlight w:val="none"/>
                <w:lang w:eastAsia="zh-CN"/>
              </w:rPr>
              <w:t>万元</w:t>
            </w:r>
          </w:p>
          <w:p w14:paraId="53006546">
            <w:pPr>
              <w:pStyle w:val="124"/>
              <w:spacing w:before="180" w:line="219" w:lineRule="auto"/>
              <w:ind w:left="136"/>
              <w:jc w:val="center"/>
              <w:rPr>
                <w:rFonts w:hint="eastAsia"/>
                <w:color w:val="auto"/>
                <w:highlight w:val="none"/>
                <w:lang w:eastAsia="zh-CN"/>
              </w:rPr>
            </w:pPr>
            <w:r>
              <w:rPr>
                <w:rFonts w:hint="eastAsia"/>
                <w:color w:val="auto"/>
                <w:spacing w:val="-6"/>
                <w:highlight w:val="none"/>
                <w:lang w:eastAsia="zh-CN"/>
              </w:rPr>
              <w:t>固定资产净值：</w:t>
            </w:r>
            <w:r>
              <w:rPr>
                <w:rFonts w:hint="eastAsia"/>
                <w:color w:val="auto"/>
                <w:spacing w:val="27"/>
                <w:highlight w:val="none"/>
                <w:lang w:eastAsia="zh-CN"/>
              </w:rPr>
              <w:t xml:space="preserve">   </w:t>
            </w:r>
            <w:r>
              <w:rPr>
                <w:rFonts w:hint="eastAsia"/>
                <w:color w:val="auto"/>
                <w:spacing w:val="-6"/>
                <w:highlight w:val="none"/>
                <w:lang w:eastAsia="zh-CN"/>
              </w:rPr>
              <w:t>万元</w:t>
            </w:r>
          </w:p>
        </w:tc>
      </w:tr>
      <w:tr w14:paraId="49EC0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86" w:type="dxa"/>
            <w:vMerge w:val="continue"/>
            <w:tcBorders>
              <w:top w:val="nil"/>
            </w:tcBorders>
            <w:noWrap w:val="0"/>
            <w:textDirection w:val="tbRlV"/>
            <w:vAlign w:val="center"/>
          </w:tcPr>
          <w:p w14:paraId="0061AA25">
            <w:pPr>
              <w:jc w:val="center"/>
              <w:rPr>
                <w:rFonts w:hint="eastAsia" w:ascii="宋体" w:hAnsi="宋体" w:eastAsia="宋体" w:cs="宋体"/>
                <w:color w:val="auto"/>
                <w:highlight w:val="none"/>
              </w:rPr>
            </w:pPr>
          </w:p>
        </w:tc>
        <w:tc>
          <w:tcPr>
            <w:tcW w:w="1377" w:type="dxa"/>
            <w:vMerge w:val="continue"/>
            <w:tcBorders>
              <w:top w:val="nil"/>
            </w:tcBorders>
            <w:noWrap w:val="0"/>
            <w:vAlign w:val="center"/>
          </w:tcPr>
          <w:p w14:paraId="4434C308">
            <w:pPr>
              <w:jc w:val="center"/>
              <w:rPr>
                <w:rFonts w:hint="eastAsia" w:ascii="宋体" w:hAnsi="宋体" w:eastAsia="宋体" w:cs="宋体"/>
                <w:color w:val="auto"/>
                <w:highlight w:val="none"/>
              </w:rPr>
            </w:pPr>
          </w:p>
        </w:tc>
        <w:tc>
          <w:tcPr>
            <w:tcW w:w="3516" w:type="dxa"/>
            <w:gridSpan w:val="4"/>
            <w:noWrap w:val="0"/>
            <w:vAlign w:val="center"/>
          </w:tcPr>
          <w:p w14:paraId="3438D07A">
            <w:pPr>
              <w:pStyle w:val="124"/>
              <w:spacing w:before="38" w:line="219" w:lineRule="auto"/>
              <w:ind w:left="123"/>
              <w:jc w:val="center"/>
              <w:rPr>
                <w:rFonts w:hint="eastAsia"/>
                <w:color w:val="auto"/>
                <w:highlight w:val="none"/>
              </w:rPr>
            </w:pPr>
            <w:r>
              <w:rPr>
                <w:rFonts w:hint="eastAsia"/>
                <w:color w:val="auto"/>
                <w:spacing w:val="-9"/>
                <w:highlight w:val="none"/>
              </w:rPr>
              <w:t>负</w:t>
            </w:r>
            <w:r>
              <w:rPr>
                <w:rFonts w:hint="eastAsia"/>
                <w:color w:val="auto"/>
                <w:spacing w:val="5"/>
                <w:highlight w:val="none"/>
              </w:rPr>
              <w:t xml:space="preserve">  </w:t>
            </w:r>
            <w:r>
              <w:rPr>
                <w:rFonts w:hint="eastAsia"/>
                <w:color w:val="auto"/>
                <w:spacing w:val="-9"/>
                <w:highlight w:val="none"/>
              </w:rPr>
              <w:t>债：</w:t>
            </w:r>
            <w:r>
              <w:rPr>
                <w:rFonts w:hint="eastAsia"/>
                <w:color w:val="auto"/>
                <w:spacing w:val="1"/>
                <w:highlight w:val="none"/>
              </w:rPr>
              <w:t xml:space="preserve">         </w:t>
            </w:r>
            <w:r>
              <w:rPr>
                <w:rFonts w:hint="eastAsia"/>
                <w:color w:val="auto"/>
                <w:spacing w:val="-9"/>
                <w:highlight w:val="none"/>
              </w:rPr>
              <w:t>万元</w:t>
            </w:r>
          </w:p>
        </w:tc>
        <w:tc>
          <w:tcPr>
            <w:tcW w:w="2800" w:type="dxa"/>
            <w:gridSpan w:val="3"/>
            <w:vMerge w:val="continue"/>
            <w:tcBorders>
              <w:top w:val="nil"/>
            </w:tcBorders>
            <w:noWrap w:val="0"/>
            <w:vAlign w:val="center"/>
          </w:tcPr>
          <w:p w14:paraId="2C66A6F2">
            <w:pPr>
              <w:jc w:val="center"/>
              <w:rPr>
                <w:rFonts w:hint="eastAsia" w:ascii="宋体" w:hAnsi="宋体" w:eastAsia="宋体" w:cs="宋体"/>
                <w:color w:val="auto"/>
                <w:highlight w:val="none"/>
              </w:rPr>
            </w:pPr>
          </w:p>
        </w:tc>
      </w:tr>
      <w:tr w14:paraId="7243B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686" w:type="dxa"/>
            <w:vMerge w:val="restart"/>
            <w:tcBorders>
              <w:bottom w:val="nil"/>
            </w:tcBorders>
            <w:noWrap w:val="0"/>
            <w:vAlign w:val="center"/>
          </w:tcPr>
          <w:p w14:paraId="220A0398">
            <w:pPr>
              <w:spacing w:line="285" w:lineRule="auto"/>
              <w:jc w:val="center"/>
              <w:rPr>
                <w:rFonts w:hint="eastAsia" w:ascii="宋体" w:hAnsi="宋体" w:eastAsia="宋体" w:cs="宋体"/>
                <w:color w:val="auto"/>
                <w:highlight w:val="none"/>
              </w:rPr>
            </w:pPr>
          </w:p>
          <w:p w14:paraId="7C545A75">
            <w:pPr>
              <w:spacing w:line="286" w:lineRule="auto"/>
              <w:jc w:val="center"/>
              <w:rPr>
                <w:rFonts w:hint="eastAsia" w:ascii="宋体" w:hAnsi="宋体" w:eastAsia="宋体" w:cs="宋体"/>
                <w:color w:val="auto"/>
                <w:highlight w:val="none"/>
              </w:rPr>
            </w:pPr>
          </w:p>
          <w:p w14:paraId="4B809C1E">
            <w:pPr>
              <w:pStyle w:val="124"/>
              <w:spacing w:before="78" w:line="232" w:lineRule="auto"/>
              <w:ind w:left="119" w:right="94" w:firstLine="250"/>
              <w:jc w:val="center"/>
              <w:rPr>
                <w:rFonts w:hint="eastAsia"/>
                <w:color w:val="auto"/>
                <w:highlight w:val="none"/>
                <w:lang w:eastAsia="zh-CN"/>
              </w:rPr>
            </w:pPr>
            <w:r>
              <w:rPr>
                <w:rFonts w:hint="eastAsia"/>
                <w:color w:val="auto"/>
                <w:spacing w:val="-3"/>
                <w:highlight w:val="none"/>
                <w:lang w:eastAsia="zh-CN"/>
              </w:rPr>
              <w:t>财务状况</w:t>
            </w:r>
            <w:r>
              <w:rPr>
                <w:rFonts w:hint="eastAsia"/>
                <w:color w:val="auto"/>
                <w:highlight w:val="none"/>
                <w:lang w:eastAsia="zh-CN"/>
              </w:rPr>
              <w:t xml:space="preserve">   </w:t>
            </w:r>
            <w:r>
              <w:rPr>
                <w:rFonts w:hint="eastAsia"/>
                <w:color w:val="auto"/>
                <w:spacing w:val="23"/>
                <w:highlight w:val="none"/>
                <w:lang w:eastAsia="zh-CN"/>
              </w:rPr>
              <w:t>（最近三年</w:t>
            </w:r>
            <w:r>
              <w:rPr>
                <w:rFonts w:hint="eastAsia"/>
                <w:color w:val="auto"/>
                <w:spacing w:val="1"/>
                <w:highlight w:val="none"/>
                <w:lang w:eastAsia="zh-CN"/>
              </w:rPr>
              <w:t xml:space="preserve">  </w:t>
            </w:r>
            <w:r>
              <w:rPr>
                <w:rFonts w:hint="eastAsia"/>
                <w:color w:val="auto"/>
                <w:spacing w:val="-6"/>
                <w:highlight w:val="none"/>
                <w:lang w:eastAsia="zh-CN"/>
              </w:rPr>
              <w:t>2022年至今）</w:t>
            </w:r>
          </w:p>
        </w:tc>
        <w:tc>
          <w:tcPr>
            <w:tcW w:w="1377" w:type="dxa"/>
            <w:noWrap w:val="0"/>
            <w:vAlign w:val="center"/>
          </w:tcPr>
          <w:p w14:paraId="6A8CDE4F">
            <w:pPr>
              <w:pStyle w:val="124"/>
              <w:spacing w:before="221" w:line="219" w:lineRule="auto"/>
              <w:ind w:left="455"/>
              <w:jc w:val="center"/>
              <w:rPr>
                <w:rFonts w:hint="eastAsia"/>
                <w:color w:val="auto"/>
                <w:highlight w:val="none"/>
              </w:rPr>
            </w:pPr>
            <w:r>
              <w:rPr>
                <w:rFonts w:hint="eastAsia"/>
                <w:color w:val="auto"/>
                <w:spacing w:val="-6"/>
                <w:highlight w:val="none"/>
              </w:rPr>
              <w:t>年份</w:t>
            </w:r>
          </w:p>
        </w:tc>
        <w:tc>
          <w:tcPr>
            <w:tcW w:w="1574" w:type="dxa"/>
            <w:noWrap w:val="0"/>
            <w:vAlign w:val="center"/>
          </w:tcPr>
          <w:p w14:paraId="29374D5A">
            <w:pPr>
              <w:pStyle w:val="124"/>
              <w:spacing w:before="65" w:line="230" w:lineRule="auto"/>
              <w:ind w:left="324" w:right="305" w:hanging="9"/>
              <w:jc w:val="center"/>
              <w:rPr>
                <w:rFonts w:hint="eastAsia"/>
                <w:color w:val="auto"/>
                <w:highlight w:val="none"/>
              </w:rPr>
            </w:pPr>
            <w:r>
              <w:rPr>
                <w:rFonts w:hint="eastAsia"/>
                <w:color w:val="auto"/>
                <w:spacing w:val="-3"/>
                <w:highlight w:val="none"/>
              </w:rPr>
              <w:t>主营收入</w:t>
            </w:r>
            <w:r>
              <w:rPr>
                <w:rFonts w:hint="eastAsia"/>
                <w:color w:val="auto"/>
                <w:highlight w:val="none"/>
              </w:rPr>
              <w:t xml:space="preserve"> </w:t>
            </w:r>
            <w:r>
              <w:rPr>
                <w:rFonts w:hint="eastAsia"/>
                <w:color w:val="auto"/>
                <w:spacing w:val="-6"/>
                <w:highlight w:val="none"/>
              </w:rPr>
              <w:t>（万元）</w:t>
            </w:r>
          </w:p>
        </w:tc>
        <w:tc>
          <w:tcPr>
            <w:tcW w:w="1942" w:type="dxa"/>
            <w:gridSpan w:val="3"/>
            <w:noWrap w:val="0"/>
            <w:vAlign w:val="center"/>
          </w:tcPr>
          <w:p w14:paraId="27602589">
            <w:pPr>
              <w:pStyle w:val="124"/>
              <w:spacing w:before="65" w:line="230" w:lineRule="auto"/>
              <w:ind w:left="509" w:right="488" w:hanging="3"/>
              <w:jc w:val="center"/>
              <w:rPr>
                <w:rFonts w:hint="eastAsia"/>
                <w:color w:val="auto"/>
                <w:highlight w:val="none"/>
              </w:rPr>
            </w:pPr>
            <w:r>
              <w:rPr>
                <w:rFonts w:hint="eastAsia"/>
                <w:color w:val="auto"/>
                <w:spacing w:val="-5"/>
                <w:highlight w:val="none"/>
              </w:rPr>
              <w:t>收入总额</w:t>
            </w:r>
            <w:r>
              <w:rPr>
                <w:rFonts w:hint="eastAsia"/>
                <w:color w:val="auto"/>
                <w:spacing w:val="1"/>
                <w:highlight w:val="none"/>
              </w:rPr>
              <w:t xml:space="preserve"> </w:t>
            </w:r>
            <w:r>
              <w:rPr>
                <w:rFonts w:hint="eastAsia"/>
                <w:color w:val="auto"/>
                <w:spacing w:val="-6"/>
                <w:highlight w:val="none"/>
              </w:rPr>
              <w:t>（万元）</w:t>
            </w:r>
          </w:p>
        </w:tc>
        <w:tc>
          <w:tcPr>
            <w:tcW w:w="1342" w:type="dxa"/>
            <w:gridSpan w:val="2"/>
            <w:noWrap w:val="0"/>
            <w:vAlign w:val="center"/>
          </w:tcPr>
          <w:p w14:paraId="2A70E154">
            <w:pPr>
              <w:pStyle w:val="124"/>
              <w:spacing w:before="65" w:line="230" w:lineRule="auto"/>
              <w:ind w:left="208" w:right="188" w:hanging="10"/>
              <w:jc w:val="center"/>
              <w:rPr>
                <w:rFonts w:hint="eastAsia"/>
                <w:color w:val="auto"/>
                <w:highlight w:val="none"/>
              </w:rPr>
            </w:pPr>
            <w:r>
              <w:rPr>
                <w:rFonts w:hint="eastAsia"/>
                <w:color w:val="auto"/>
                <w:spacing w:val="-3"/>
                <w:highlight w:val="none"/>
              </w:rPr>
              <w:t>利润总额</w:t>
            </w:r>
            <w:r>
              <w:rPr>
                <w:rFonts w:hint="eastAsia"/>
                <w:color w:val="auto"/>
                <w:highlight w:val="none"/>
              </w:rPr>
              <w:t xml:space="preserve"> </w:t>
            </w:r>
            <w:r>
              <w:rPr>
                <w:rFonts w:hint="eastAsia"/>
                <w:color w:val="auto"/>
                <w:spacing w:val="-6"/>
                <w:highlight w:val="none"/>
              </w:rPr>
              <w:t>（万元）</w:t>
            </w:r>
          </w:p>
        </w:tc>
        <w:tc>
          <w:tcPr>
            <w:tcW w:w="1458" w:type="dxa"/>
            <w:noWrap w:val="0"/>
            <w:vAlign w:val="center"/>
          </w:tcPr>
          <w:p w14:paraId="76A08873">
            <w:pPr>
              <w:pStyle w:val="124"/>
              <w:spacing w:before="65" w:line="230" w:lineRule="auto"/>
              <w:ind w:left="386" w:right="148" w:firstLine="111"/>
              <w:jc w:val="center"/>
              <w:rPr>
                <w:rFonts w:hint="eastAsia"/>
                <w:color w:val="auto"/>
                <w:highlight w:val="none"/>
              </w:rPr>
            </w:pPr>
            <w:r>
              <w:rPr>
                <w:rFonts w:hint="eastAsia"/>
                <w:color w:val="auto"/>
                <w:spacing w:val="-5"/>
                <w:highlight w:val="none"/>
              </w:rPr>
              <w:t>净利润</w:t>
            </w:r>
            <w:r>
              <w:rPr>
                <w:rFonts w:hint="eastAsia"/>
                <w:color w:val="auto"/>
                <w:spacing w:val="1"/>
                <w:highlight w:val="none"/>
              </w:rPr>
              <w:t xml:space="preserve"> </w:t>
            </w:r>
            <w:r>
              <w:rPr>
                <w:rFonts w:hint="eastAsia"/>
                <w:color w:val="auto"/>
                <w:spacing w:val="-11"/>
                <w:highlight w:val="none"/>
              </w:rPr>
              <w:t>（万元）</w:t>
            </w:r>
          </w:p>
        </w:tc>
      </w:tr>
      <w:tr w14:paraId="3B34E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86" w:type="dxa"/>
            <w:vMerge w:val="continue"/>
            <w:tcBorders>
              <w:top w:val="nil"/>
              <w:bottom w:val="nil"/>
            </w:tcBorders>
            <w:noWrap w:val="0"/>
            <w:vAlign w:val="center"/>
          </w:tcPr>
          <w:p w14:paraId="1E3E95F5">
            <w:pPr>
              <w:jc w:val="center"/>
              <w:rPr>
                <w:rFonts w:hint="eastAsia" w:ascii="宋体" w:hAnsi="宋体" w:eastAsia="宋体" w:cs="宋体"/>
                <w:color w:val="auto"/>
                <w:highlight w:val="none"/>
              </w:rPr>
            </w:pPr>
          </w:p>
        </w:tc>
        <w:tc>
          <w:tcPr>
            <w:tcW w:w="1377" w:type="dxa"/>
            <w:noWrap w:val="0"/>
            <w:vAlign w:val="center"/>
          </w:tcPr>
          <w:p w14:paraId="1F5BF8CB">
            <w:pPr>
              <w:jc w:val="center"/>
              <w:rPr>
                <w:rFonts w:hint="eastAsia" w:ascii="宋体" w:hAnsi="宋体" w:eastAsia="宋体" w:cs="宋体"/>
                <w:color w:val="auto"/>
                <w:highlight w:val="none"/>
              </w:rPr>
            </w:pPr>
          </w:p>
        </w:tc>
        <w:tc>
          <w:tcPr>
            <w:tcW w:w="1574" w:type="dxa"/>
            <w:noWrap w:val="0"/>
            <w:vAlign w:val="center"/>
          </w:tcPr>
          <w:p w14:paraId="161C209A">
            <w:pPr>
              <w:jc w:val="center"/>
              <w:rPr>
                <w:rFonts w:hint="eastAsia" w:ascii="宋体" w:hAnsi="宋体" w:eastAsia="宋体" w:cs="宋体"/>
                <w:color w:val="auto"/>
                <w:highlight w:val="none"/>
              </w:rPr>
            </w:pPr>
          </w:p>
        </w:tc>
        <w:tc>
          <w:tcPr>
            <w:tcW w:w="1942" w:type="dxa"/>
            <w:gridSpan w:val="3"/>
            <w:noWrap w:val="0"/>
            <w:vAlign w:val="center"/>
          </w:tcPr>
          <w:p w14:paraId="5ED24E91">
            <w:pPr>
              <w:jc w:val="center"/>
              <w:rPr>
                <w:rFonts w:hint="eastAsia" w:ascii="宋体" w:hAnsi="宋体" w:eastAsia="宋体" w:cs="宋体"/>
                <w:color w:val="auto"/>
                <w:highlight w:val="none"/>
              </w:rPr>
            </w:pPr>
          </w:p>
        </w:tc>
        <w:tc>
          <w:tcPr>
            <w:tcW w:w="1342" w:type="dxa"/>
            <w:gridSpan w:val="2"/>
            <w:noWrap w:val="0"/>
            <w:vAlign w:val="center"/>
          </w:tcPr>
          <w:p w14:paraId="2C0BC4B7">
            <w:pPr>
              <w:jc w:val="center"/>
              <w:rPr>
                <w:rFonts w:hint="eastAsia" w:ascii="宋体" w:hAnsi="宋体" w:eastAsia="宋体" w:cs="宋体"/>
                <w:color w:val="auto"/>
                <w:highlight w:val="none"/>
              </w:rPr>
            </w:pPr>
          </w:p>
        </w:tc>
        <w:tc>
          <w:tcPr>
            <w:tcW w:w="1458" w:type="dxa"/>
            <w:noWrap w:val="0"/>
            <w:vAlign w:val="center"/>
          </w:tcPr>
          <w:p w14:paraId="6405C1E4">
            <w:pPr>
              <w:jc w:val="center"/>
              <w:rPr>
                <w:rFonts w:hint="eastAsia" w:ascii="宋体" w:hAnsi="宋体" w:eastAsia="宋体" w:cs="宋体"/>
                <w:color w:val="auto"/>
                <w:highlight w:val="none"/>
              </w:rPr>
            </w:pPr>
          </w:p>
        </w:tc>
      </w:tr>
      <w:tr w14:paraId="2A9D3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686" w:type="dxa"/>
            <w:vMerge w:val="continue"/>
            <w:tcBorders>
              <w:top w:val="nil"/>
              <w:bottom w:val="nil"/>
            </w:tcBorders>
            <w:noWrap w:val="0"/>
            <w:vAlign w:val="center"/>
          </w:tcPr>
          <w:p w14:paraId="7639EE5C">
            <w:pPr>
              <w:jc w:val="center"/>
              <w:rPr>
                <w:rFonts w:hint="eastAsia" w:ascii="宋体" w:hAnsi="宋体" w:eastAsia="宋体" w:cs="宋体"/>
                <w:color w:val="auto"/>
                <w:highlight w:val="none"/>
              </w:rPr>
            </w:pPr>
          </w:p>
        </w:tc>
        <w:tc>
          <w:tcPr>
            <w:tcW w:w="1377" w:type="dxa"/>
            <w:noWrap w:val="0"/>
            <w:vAlign w:val="center"/>
          </w:tcPr>
          <w:p w14:paraId="1BCB3DFD">
            <w:pPr>
              <w:jc w:val="center"/>
              <w:rPr>
                <w:rFonts w:hint="eastAsia" w:ascii="宋体" w:hAnsi="宋体" w:eastAsia="宋体" w:cs="宋体"/>
                <w:color w:val="auto"/>
                <w:highlight w:val="none"/>
              </w:rPr>
            </w:pPr>
          </w:p>
        </w:tc>
        <w:tc>
          <w:tcPr>
            <w:tcW w:w="1574" w:type="dxa"/>
            <w:noWrap w:val="0"/>
            <w:vAlign w:val="center"/>
          </w:tcPr>
          <w:p w14:paraId="0402AA07">
            <w:pPr>
              <w:jc w:val="center"/>
              <w:rPr>
                <w:rFonts w:hint="eastAsia" w:ascii="宋体" w:hAnsi="宋体" w:eastAsia="宋体" w:cs="宋体"/>
                <w:color w:val="auto"/>
                <w:highlight w:val="none"/>
              </w:rPr>
            </w:pPr>
          </w:p>
        </w:tc>
        <w:tc>
          <w:tcPr>
            <w:tcW w:w="1942" w:type="dxa"/>
            <w:gridSpan w:val="3"/>
            <w:noWrap w:val="0"/>
            <w:vAlign w:val="center"/>
          </w:tcPr>
          <w:p w14:paraId="46174971">
            <w:pPr>
              <w:jc w:val="center"/>
              <w:rPr>
                <w:rFonts w:hint="eastAsia" w:ascii="宋体" w:hAnsi="宋体" w:eastAsia="宋体" w:cs="宋体"/>
                <w:color w:val="auto"/>
                <w:highlight w:val="none"/>
              </w:rPr>
            </w:pPr>
          </w:p>
        </w:tc>
        <w:tc>
          <w:tcPr>
            <w:tcW w:w="1342" w:type="dxa"/>
            <w:gridSpan w:val="2"/>
            <w:noWrap w:val="0"/>
            <w:vAlign w:val="center"/>
          </w:tcPr>
          <w:p w14:paraId="6AC01442">
            <w:pPr>
              <w:jc w:val="center"/>
              <w:rPr>
                <w:rFonts w:hint="eastAsia" w:ascii="宋体" w:hAnsi="宋体" w:eastAsia="宋体" w:cs="宋体"/>
                <w:color w:val="auto"/>
                <w:highlight w:val="none"/>
              </w:rPr>
            </w:pPr>
          </w:p>
        </w:tc>
        <w:tc>
          <w:tcPr>
            <w:tcW w:w="1458" w:type="dxa"/>
            <w:noWrap w:val="0"/>
            <w:vAlign w:val="center"/>
          </w:tcPr>
          <w:p w14:paraId="30CB56D3">
            <w:pPr>
              <w:jc w:val="center"/>
              <w:rPr>
                <w:rFonts w:hint="eastAsia" w:ascii="宋体" w:hAnsi="宋体" w:eastAsia="宋体" w:cs="宋体"/>
                <w:color w:val="auto"/>
                <w:highlight w:val="none"/>
              </w:rPr>
            </w:pPr>
          </w:p>
        </w:tc>
      </w:tr>
      <w:tr w14:paraId="29A99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686" w:type="dxa"/>
            <w:vMerge w:val="continue"/>
            <w:tcBorders>
              <w:top w:val="nil"/>
            </w:tcBorders>
            <w:noWrap w:val="0"/>
            <w:vAlign w:val="center"/>
          </w:tcPr>
          <w:p w14:paraId="3B38885C">
            <w:pPr>
              <w:jc w:val="center"/>
              <w:rPr>
                <w:rFonts w:hint="eastAsia" w:ascii="宋体" w:hAnsi="宋体" w:eastAsia="宋体" w:cs="宋体"/>
                <w:color w:val="auto"/>
                <w:highlight w:val="none"/>
              </w:rPr>
            </w:pPr>
          </w:p>
        </w:tc>
        <w:tc>
          <w:tcPr>
            <w:tcW w:w="1377" w:type="dxa"/>
            <w:noWrap w:val="0"/>
            <w:vAlign w:val="center"/>
          </w:tcPr>
          <w:p w14:paraId="2CA29196">
            <w:pPr>
              <w:jc w:val="center"/>
              <w:rPr>
                <w:rFonts w:hint="eastAsia" w:ascii="宋体" w:hAnsi="宋体" w:eastAsia="宋体" w:cs="宋体"/>
                <w:color w:val="auto"/>
                <w:highlight w:val="none"/>
              </w:rPr>
            </w:pPr>
          </w:p>
        </w:tc>
        <w:tc>
          <w:tcPr>
            <w:tcW w:w="1574" w:type="dxa"/>
            <w:noWrap w:val="0"/>
            <w:vAlign w:val="center"/>
          </w:tcPr>
          <w:p w14:paraId="5CC4F2CB">
            <w:pPr>
              <w:jc w:val="center"/>
              <w:rPr>
                <w:rFonts w:hint="eastAsia" w:ascii="宋体" w:hAnsi="宋体" w:eastAsia="宋体" w:cs="宋体"/>
                <w:color w:val="auto"/>
                <w:highlight w:val="none"/>
              </w:rPr>
            </w:pPr>
          </w:p>
        </w:tc>
        <w:tc>
          <w:tcPr>
            <w:tcW w:w="1942" w:type="dxa"/>
            <w:gridSpan w:val="3"/>
            <w:noWrap w:val="0"/>
            <w:vAlign w:val="center"/>
          </w:tcPr>
          <w:p w14:paraId="757289CB">
            <w:pPr>
              <w:jc w:val="center"/>
              <w:rPr>
                <w:rFonts w:hint="eastAsia" w:ascii="宋体" w:hAnsi="宋体" w:eastAsia="宋体" w:cs="宋体"/>
                <w:color w:val="auto"/>
                <w:highlight w:val="none"/>
              </w:rPr>
            </w:pPr>
          </w:p>
        </w:tc>
        <w:tc>
          <w:tcPr>
            <w:tcW w:w="1342" w:type="dxa"/>
            <w:gridSpan w:val="2"/>
            <w:noWrap w:val="0"/>
            <w:vAlign w:val="center"/>
          </w:tcPr>
          <w:p w14:paraId="55CE26E4">
            <w:pPr>
              <w:jc w:val="center"/>
              <w:rPr>
                <w:rFonts w:hint="eastAsia" w:ascii="宋体" w:hAnsi="宋体" w:eastAsia="宋体" w:cs="宋体"/>
                <w:color w:val="auto"/>
                <w:highlight w:val="none"/>
              </w:rPr>
            </w:pPr>
          </w:p>
        </w:tc>
        <w:tc>
          <w:tcPr>
            <w:tcW w:w="1458" w:type="dxa"/>
            <w:noWrap w:val="0"/>
            <w:vAlign w:val="center"/>
          </w:tcPr>
          <w:p w14:paraId="6BE8CA4C">
            <w:pPr>
              <w:jc w:val="center"/>
              <w:rPr>
                <w:rFonts w:hint="eastAsia" w:ascii="宋体" w:hAnsi="宋体" w:eastAsia="宋体" w:cs="宋体"/>
                <w:color w:val="auto"/>
                <w:highlight w:val="none"/>
              </w:rPr>
            </w:pPr>
          </w:p>
        </w:tc>
      </w:tr>
      <w:tr w14:paraId="2E5BA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686" w:type="dxa"/>
            <w:noWrap w:val="0"/>
            <w:vAlign w:val="center"/>
          </w:tcPr>
          <w:p w14:paraId="1F82980C">
            <w:pPr>
              <w:pStyle w:val="124"/>
              <w:spacing w:before="93" w:line="220" w:lineRule="auto"/>
              <w:ind w:left="370"/>
              <w:jc w:val="center"/>
              <w:rPr>
                <w:rFonts w:hint="eastAsia"/>
                <w:color w:val="auto"/>
                <w:highlight w:val="none"/>
              </w:rPr>
            </w:pPr>
            <w:r>
              <w:rPr>
                <w:rFonts w:hint="eastAsia"/>
                <w:color w:val="auto"/>
                <w:spacing w:val="-3"/>
                <w:highlight w:val="none"/>
              </w:rPr>
              <w:t>经营范围</w:t>
            </w:r>
          </w:p>
        </w:tc>
        <w:tc>
          <w:tcPr>
            <w:tcW w:w="7693" w:type="dxa"/>
            <w:gridSpan w:val="8"/>
            <w:noWrap w:val="0"/>
            <w:vAlign w:val="center"/>
          </w:tcPr>
          <w:p w14:paraId="5692E562">
            <w:pPr>
              <w:jc w:val="center"/>
              <w:rPr>
                <w:rFonts w:hint="eastAsia" w:ascii="宋体" w:hAnsi="宋体" w:eastAsia="宋体" w:cs="宋体"/>
                <w:color w:val="auto"/>
                <w:highlight w:val="none"/>
              </w:rPr>
            </w:pPr>
          </w:p>
        </w:tc>
      </w:tr>
      <w:tr w14:paraId="75408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86" w:type="dxa"/>
            <w:noWrap w:val="0"/>
            <w:vAlign w:val="center"/>
          </w:tcPr>
          <w:p w14:paraId="4BADEA5D">
            <w:pPr>
              <w:pStyle w:val="124"/>
              <w:spacing w:before="106" w:line="221" w:lineRule="auto"/>
              <w:ind w:left="611"/>
              <w:jc w:val="center"/>
              <w:rPr>
                <w:rFonts w:hint="eastAsia"/>
                <w:color w:val="auto"/>
                <w:highlight w:val="none"/>
              </w:rPr>
            </w:pPr>
            <w:r>
              <w:rPr>
                <w:rFonts w:hint="eastAsia"/>
                <w:color w:val="auto"/>
                <w:spacing w:val="-7"/>
                <w:highlight w:val="none"/>
              </w:rPr>
              <w:t>备注</w:t>
            </w:r>
          </w:p>
        </w:tc>
        <w:tc>
          <w:tcPr>
            <w:tcW w:w="7693" w:type="dxa"/>
            <w:gridSpan w:val="8"/>
            <w:noWrap w:val="0"/>
            <w:vAlign w:val="center"/>
          </w:tcPr>
          <w:p w14:paraId="6869BB10">
            <w:pPr>
              <w:jc w:val="center"/>
              <w:rPr>
                <w:rFonts w:hint="eastAsia" w:ascii="宋体" w:hAnsi="宋体" w:eastAsia="宋体" w:cs="宋体"/>
                <w:color w:val="auto"/>
                <w:highlight w:val="none"/>
              </w:rPr>
            </w:pPr>
          </w:p>
        </w:tc>
      </w:tr>
    </w:tbl>
    <w:p w14:paraId="65F73D49">
      <w:pPr>
        <w:pStyle w:val="12"/>
        <w:spacing w:line="266" w:lineRule="auto"/>
        <w:rPr>
          <w:rFonts w:hint="eastAsia" w:ascii="宋体" w:hAnsi="宋体" w:cs="宋体"/>
          <w:color w:val="auto"/>
          <w:highlight w:val="none"/>
        </w:rPr>
      </w:pPr>
    </w:p>
    <w:p w14:paraId="4B36BA91">
      <w:pPr>
        <w:spacing w:line="360" w:lineRule="auto"/>
        <w:ind w:firstLine="468" w:firstLineChars="200"/>
        <w:rPr>
          <w:rFonts w:hint="eastAsia" w:ascii="宋体" w:hAnsi="宋体" w:cs="宋体"/>
          <w:color w:val="auto"/>
          <w:sz w:val="24"/>
          <w:highlight w:val="none"/>
        </w:rPr>
      </w:pPr>
      <w:r>
        <w:rPr>
          <w:rFonts w:hint="eastAsia" w:ascii="宋体" w:hAnsi="宋体" w:cs="宋体"/>
          <w:color w:val="auto"/>
          <w:spacing w:val="-3"/>
          <w:sz w:val="24"/>
          <w:highlight w:val="none"/>
        </w:rPr>
        <w:t>我们保证上述声明中的资料和数据是真实的、正确的</w:t>
      </w:r>
      <w:r>
        <w:rPr>
          <w:rFonts w:hint="eastAsia" w:ascii="宋体" w:hAnsi="宋体" w:cs="宋体"/>
          <w:color w:val="auto"/>
          <w:spacing w:val="-4"/>
          <w:sz w:val="24"/>
          <w:highlight w:val="none"/>
        </w:rPr>
        <w:t>，我们同意如贵方要求，可以出示相</w:t>
      </w:r>
      <w:r>
        <w:rPr>
          <w:rFonts w:hint="eastAsia" w:ascii="宋体" w:hAnsi="宋体" w:cs="宋体"/>
          <w:color w:val="auto"/>
          <w:sz w:val="24"/>
          <w:highlight w:val="none"/>
        </w:rPr>
        <w:t xml:space="preserve"> </w:t>
      </w:r>
      <w:r>
        <w:rPr>
          <w:rFonts w:hint="eastAsia" w:ascii="宋体" w:hAnsi="宋体" w:cs="宋体"/>
          <w:color w:val="auto"/>
          <w:spacing w:val="-3"/>
          <w:sz w:val="24"/>
          <w:highlight w:val="none"/>
        </w:rPr>
        <w:t>关证明文件。</w:t>
      </w:r>
    </w:p>
    <w:p w14:paraId="237A5F15">
      <w:pPr>
        <w:rPr>
          <w:rFonts w:hint="eastAsia" w:ascii="宋体" w:hAnsi="宋体" w:cs="宋体"/>
          <w:color w:val="auto"/>
          <w:sz w:val="24"/>
          <w:highlight w:val="none"/>
        </w:rPr>
      </w:pPr>
    </w:p>
    <w:p w14:paraId="39929A76">
      <w:pPr>
        <w:pStyle w:val="18"/>
        <w:spacing w:line="440" w:lineRule="exact"/>
        <w:ind w:left="838" w:firstLine="2400" w:firstLineChars="1000"/>
        <w:rPr>
          <w:rFonts w:hint="eastAsia" w:ascii="宋体" w:hAnsi="宋体" w:cs="宋体"/>
          <w:b w:val="0"/>
          <w:color w:val="auto"/>
          <w:highlight w:val="none"/>
        </w:rPr>
      </w:pPr>
      <w:r>
        <w:rPr>
          <w:rFonts w:hint="eastAsia" w:ascii="宋体" w:hAnsi="宋体" w:cs="宋体"/>
          <w:b w:val="0"/>
          <w:color w:val="auto"/>
          <w:highlight w:val="none"/>
        </w:rPr>
        <w:t>供应商：（公章）</w:t>
      </w:r>
    </w:p>
    <w:p w14:paraId="644D7686">
      <w:pPr>
        <w:pStyle w:val="18"/>
        <w:spacing w:line="440" w:lineRule="exact"/>
        <w:ind w:left="958" w:leftChars="456" w:firstLine="2272" w:firstLineChars="947"/>
        <w:rPr>
          <w:rFonts w:hint="eastAsia" w:ascii="宋体" w:hAnsi="宋体" w:cs="宋体"/>
          <w:b w:val="0"/>
          <w:color w:val="auto"/>
          <w:highlight w:val="none"/>
        </w:rPr>
      </w:pPr>
      <w:r>
        <w:rPr>
          <w:rFonts w:hint="eastAsia" w:ascii="宋体" w:hAnsi="宋体" w:cs="宋体"/>
          <w:b w:val="0"/>
          <w:color w:val="auto"/>
          <w:highlight w:val="none"/>
        </w:rPr>
        <w:t>法定代表人或授权代表（签字或盖章）：</w:t>
      </w:r>
    </w:p>
    <w:p w14:paraId="44DA071A">
      <w:pPr>
        <w:pStyle w:val="18"/>
        <w:spacing w:line="440" w:lineRule="exact"/>
        <w:ind w:left="838" w:firstLine="2400" w:firstLineChars="1000"/>
        <w:rPr>
          <w:rFonts w:hint="eastAsia" w:ascii="宋体" w:hAnsi="宋体" w:cs="宋体"/>
          <w:b w:val="0"/>
          <w:color w:val="auto"/>
          <w:highlight w:val="none"/>
        </w:rPr>
      </w:pPr>
      <w:r>
        <w:rPr>
          <w:rFonts w:hint="eastAsia" w:ascii="宋体" w:hAnsi="宋体" w:cs="宋体"/>
          <w:b w:val="0"/>
          <w:color w:val="auto"/>
          <w:highlight w:val="none"/>
        </w:rPr>
        <w:t>日期：     年   月   日</w:t>
      </w:r>
    </w:p>
    <w:p w14:paraId="7EA58236">
      <w:pPr>
        <w:spacing w:before="91" w:line="220" w:lineRule="auto"/>
        <w:jc w:val="center"/>
        <w:rPr>
          <w:rFonts w:hint="eastAsia" w:ascii="宋体" w:hAnsi="宋体" w:eastAsia="宋体" w:cs="宋体"/>
          <w:color w:val="auto"/>
          <w:sz w:val="28"/>
          <w:szCs w:val="28"/>
          <w:highlight w:val="none"/>
          <w:lang w:eastAsia="zh-CN"/>
        </w:rPr>
      </w:pPr>
      <w:r>
        <w:rPr>
          <w:rFonts w:hint="eastAsia" w:ascii="宋体" w:hAnsi="宋体" w:cs="宋体"/>
          <w:b/>
          <w:bCs/>
          <w:color w:val="auto"/>
          <w:sz w:val="28"/>
          <w:szCs w:val="28"/>
          <w:highlight w:val="none"/>
          <w:lang w:bidi="ar"/>
        </w:rPr>
        <w:br w:type="page"/>
      </w:r>
      <w:r>
        <w:rPr>
          <w:rFonts w:hint="eastAsia" w:ascii="宋体" w:hAnsi="宋体" w:cs="宋体"/>
          <w:b/>
          <w:bCs/>
          <w:color w:val="auto"/>
          <w:spacing w:val="-5"/>
          <w:sz w:val="28"/>
          <w:szCs w:val="28"/>
          <w:highlight w:val="none"/>
        </w:rPr>
        <w:t>格式5</w:t>
      </w:r>
      <w:r>
        <w:rPr>
          <w:rFonts w:hint="eastAsia" w:ascii="宋体" w:hAnsi="宋体" w:cs="宋体"/>
          <w:color w:val="auto"/>
          <w:spacing w:val="-5"/>
          <w:sz w:val="28"/>
          <w:szCs w:val="28"/>
          <w:highlight w:val="none"/>
        </w:rPr>
        <w:t xml:space="preserve">  </w:t>
      </w:r>
      <w:r>
        <w:rPr>
          <w:rFonts w:hint="eastAsia" w:ascii="宋体" w:hAnsi="宋体" w:eastAsia="宋体" w:cs="宋体"/>
          <w:b/>
          <w:bCs/>
          <w:color w:val="auto"/>
          <w:spacing w:val="-5"/>
          <w:sz w:val="28"/>
          <w:szCs w:val="28"/>
          <w:highlight w:val="none"/>
          <w:lang w:val="en-US" w:eastAsia="zh-CN"/>
        </w:rPr>
        <w:t>2024年</w:t>
      </w:r>
      <w:r>
        <w:rPr>
          <w:rFonts w:hint="eastAsia" w:ascii="宋体" w:hAnsi="宋体" w:eastAsia="宋体" w:cs="宋体"/>
          <w:b/>
          <w:bCs/>
          <w:color w:val="auto"/>
          <w:spacing w:val="-5"/>
          <w:sz w:val="28"/>
          <w:szCs w:val="28"/>
          <w:highlight w:val="none"/>
        </w:rPr>
        <w:t>度财务审计报告</w:t>
      </w:r>
      <w:r>
        <w:rPr>
          <w:rFonts w:hint="eastAsia" w:ascii="宋体" w:hAnsi="宋体" w:cs="宋体"/>
          <w:b/>
          <w:bCs/>
          <w:color w:val="auto"/>
          <w:spacing w:val="-5"/>
          <w:sz w:val="28"/>
          <w:szCs w:val="28"/>
          <w:highlight w:val="none"/>
          <w:lang w:eastAsia="zh-CN"/>
        </w:rPr>
        <w:t>或财务报表</w:t>
      </w:r>
    </w:p>
    <w:p w14:paraId="50A7AA21">
      <w:pPr>
        <w:pStyle w:val="12"/>
        <w:spacing w:line="295" w:lineRule="auto"/>
        <w:rPr>
          <w:rFonts w:hint="eastAsia" w:ascii="宋体" w:hAnsi="宋体" w:cs="宋体"/>
          <w:color w:val="auto"/>
          <w:highlight w:val="none"/>
        </w:rPr>
      </w:pPr>
    </w:p>
    <w:p w14:paraId="354B2AE8">
      <w:pPr>
        <w:pStyle w:val="12"/>
        <w:spacing w:line="295" w:lineRule="auto"/>
        <w:jc w:val="center"/>
        <w:rPr>
          <w:rFonts w:hint="eastAsia" w:ascii="宋体" w:hAnsi="宋体" w:cs="宋体"/>
          <w:color w:val="auto"/>
          <w:highlight w:val="none"/>
        </w:rPr>
      </w:pPr>
    </w:p>
    <w:p w14:paraId="0E8C26D2">
      <w:pPr>
        <w:pStyle w:val="12"/>
        <w:spacing w:line="295" w:lineRule="auto"/>
        <w:jc w:val="center"/>
        <w:rPr>
          <w:rFonts w:hint="eastAsia" w:ascii="宋体" w:hAnsi="宋体" w:cs="宋体"/>
          <w:color w:val="auto"/>
          <w:highlight w:val="none"/>
        </w:rPr>
      </w:pPr>
    </w:p>
    <w:tbl>
      <w:tblPr>
        <w:tblStyle w:val="36"/>
        <w:tblW w:w="0" w:type="auto"/>
        <w:tblInd w:w="148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40"/>
      </w:tblGrid>
      <w:tr w14:paraId="112A1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7" w:hRule="atLeast"/>
        </w:trPr>
        <w:tc>
          <w:tcPr>
            <w:tcW w:w="6040" w:type="dxa"/>
            <w:noWrap w:val="0"/>
            <w:vAlign w:val="center"/>
          </w:tcPr>
          <w:p w14:paraId="6EB57530">
            <w:pPr>
              <w:pStyle w:val="5"/>
              <w:jc w:val="center"/>
              <w:outlineLvl w:val="3"/>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2024</w:t>
            </w:r>
            <w:r>
              <w:rPr>
                <w:rFonts w:hint="eastAsia" w:ascii="宋体" w:hAnsi="宋体" w:eastAsia="宋体" w:cs="宋体"/>
                <w:color w:val="auto"/>
                <w:spacing w:val="-5"/>
                <w:highlight w:val="none"/>
              </w:rPr>
              <w:t>年</w:t>
            </w:r>
            <w:r>
              <w:rPr>
                <w:rFonts w:hint="eastAsia" w:ascii="宋体" w:hAnsi="宋体" w:eastAsia="宋体" w:cs="宋体"/>
                <w:color w:val="auto"/>
                <w:highlight w:val="none"/>
              </w:rPr>
              <w:t>度财务审计报告</w:t>
            </w:r>
            <w:r>
              <w:rPr>
                <w:rFonts w:hint="eastAsia" w:ascii="宋体" w:hAnsi="宋体" w:eastAsia="宋体" w:cs="宋体"/>
                <w:color w:val="auto"/>
                <w:highlight w:val="none"/>
                <w:lang w:eastAsia="zh-CN"/>
              </w:rPr>
              <w:t>或财务报表</w:t>
            </w:r>
          </w:p>
        </w:tc>
      </w:tr>
    </w:tbl>
    <w:p w14:paraId="23F4E27F">
      <w:pPr>
        <w:pStyle w:val="12"/>
        <w:spacing w:line="295" w:lineRule="auto"/>
        <w:rPr>
          <w:rFonts w:hint="eastAsia" w:ascii="宋体" w:hAnsi="宋体" w:cs="宋体"/>
          <w:color w:val="auto"/>
          <w:highlight w:val="none"/>
        </w:rPr>
      </w:pPr>
    </w:p>
    <w:p w14:paraId="6A586D38">
      <w:pPr>
        <w:pStyle w:val="12"/>
        <w:spacing w:line="295" w:lineRule="auto"/>
        <w:rPr>
          <w:rFonts w:hint="eastAsia" w:ascii="宋体" w:hAnsi="宋体" w:cs="宋体"/>
          <w:color w:val="auto"/>
          <w:highlight w:val="none"/>
        </w:rPr>
      </w:pPr>
    </w:p>
    <w:p w14:paraId="4925E96A">
      <w:pPr>
        <w:spacing w:line="360" w:lineRule="auto"/>
        <w:jc w:val="left"/>
        <w:rPr>
          <w:rFonts w:hint="eastAsia" w:ascii="宋体" w:hAnsi="宋体" w:eastAsia="宋体" w:cs="宋体"/>
          <w:b w:val="0"/>
          <w:bCs w:val="0"/>
          <w:color w:val="auto"/>
          <w:sz w:val="28"/>
          <w:szCs w:val="28"/>
          <w:highlight w:val="none"/>
          <w:u w:val="none"/>
          <w:lang w:val="en-US" w:eastAsia="zh-CN"/>
        </w:rPr>
      </w:pPr>
      <w:r>
        <w:rPr>
          <w:rFonts w:hint="eastAsia" w:ascii="宋体" w:hAnsi="宋体" w:cs="宋体"/>
          <w:color w:val="auto"/>
          <w:sz w:val="24"/>
          <w:highlight w:val="none"/>
        </w:rPr>
        <w:t>注：</w:t>
      </w:r>
      <w:r>
        <w:rPr>
          <w:rFonts w:hint="eastAsia" w:ascii="宋体" w:hAnsi="宋体" w:eastAsia="宋体" w:cs="宋体"/>
          <w:b w:val="0"/>
          <w:bCs w:val="0"/>
          <w:color w:val="auto"/>
          <w:sz w:val="24"/>
          <w:szCs w:val="24"/>
          <w:highlight w:val="none"/>
          <w:u w:val="none"/>
          <w:lang w:val="en-US" w:eastAsia="zh-CN"/>
        </w:rPr>
        <w:t>提供2024年度财务审计报告或财务报表，包括资产负债表、利润表、现金流量表及财务报表附注。</w:t>
      </w:r>
      <w:r>
        <w:rPr>
          <w:rFonts w:hint="eastAsia" w:ascii="宋体" w:hAnsi="宋体" w:eastAsia="宋体" w:cs="宋体"/>
          <w:b w:val="0"/>
          <w:bCs w:val="0"/>
          <w:color w:val="auto"/>
          <w:sz w:val="24"/>
          <w:szCs w:val="24"/>
          <w:highlight w:val="none"/>
          <w:u w:val="none"/>
          <w:lang w:val="zh-CN" w:eastAsia="zh-CN"/>
        </w:rPr>
        <w:t>注册时间截至响应文件递交截止日不足一年的，也可提供在相关主管部门备案的公司章程复印件</w:t>
      </w:r>
      <w:r>
        <w:rPr>
          <w:rFonts w:hint="eastAsia" w:ascii="宋体" w:hAnsi="宋体" w:eastAsia="宋体" w:cs="宋体"/>
          <w:b w:val="0"/>
          <w:bCs w:val="0"/>
          <w:color w:val="auto"/>
          <w:sz w:val="24"/>
          <w:szCs w:val="24"/>
          <w:highlight w:val="none"/>
          <w:u w:val="none"/>
          <w:lang w:val="en-US" w:eastAsia="zh-CN"/>
        </w:rPr>
        <w:t>或银行出具的资信证明。</w:t>
      </w:r>
    </w:p>
    <w:p w14:paraId="719A2AA6">
      <w:pPr>
        <w:spacing w:before="91" w:line="360" w:lineRule="auto"/>
        <w:rPr>
          <w:rFonts w:hint="eastAsia" w:ascii="宋体" w:hAnsi="宋体" w:cs="宋体"/>
          <w:b/>
          <w:bCs/>
          <w:color w:val="auto"/>
          <w:sz w:val="28"/>
          <w:szCs w:val="28"/>
          <w:highlight w:val="none"/>
          <w:lang w:bidi="ar"/>
        </w:rPr>
      </w:pPr>
      <w:r>
        <w:rPr>
          <w:rFonts w:hint="eastAsia" w:ascii="宋体" w:hAnsi="宋体" w:cs="宋体"/>
          <w:b/>
          <w:bCs/>
          <w:color w:val="auto"/>
          <w:sz w:val="24"/>
          <w:highlight w:val="none"/>
          <w:lang w:bidi="ar"/>
        </w:rPr>
        <w:br w:type="page"/>
      </w:r>
    </w:p>
    <w:p w14:paraId="3F019141">
      <w:pPr>
        <w:spacing w:before="91" w:line="220" w:lineRule="auto"/>
        <w:ind w:left="1152"/>
        <w:rPr>
          <w:rFonts w:hint="eastAsia" w:ascii="宋体" w:hAnsi="宋体" w:cs="宋体"/>
          <w:color w:val="auto"/>
          <w:sz w:val="28"/>
          <w:szCs w:val="28"/>
          <w:highlight w:val="none"/>
        </w:rPr>
      </w:pPr>
      <w:r>
        <w:rPr>
          <w:rFonts w:hint="eastAsia" w:ascii="宋体" w:hAnsi="宋体" w:cs="宋体"/>
          <w:b/>
          <w:bCs/>
          <w:color w:val="auto"/>
          <w:spacing w:val="-3"/>
          <w:sz w:val="28"/>
          <w:szCs w:val="28"/>
          <w:highlight w:val="none"/>
        </w:rPr>
        <w:t>格式6</w:t>
      </w:r>
      <w:r>
        <w:rPr>
          <w:rFonts w:hint="eastAsia" w:ascii="宋体" w:hAnsi="宋体" w:cs="宋体"/>
          <w:color w:val="auto"/>
          <w:spacing w:val="-3"/>
          <w:sz w:val="28"/>
          <w:szCs w:val="28"/>
          <w:highlight w:val="none"/>
        </w:rPr>
        <w:t xml:space="preserve">  </w:t>
      </w:r>
      <w:r>
        <w:rPr>
          <w:rFonts w:hint="eastAsia" w:ascii="宋体" w:hAnsi="宋体" w:cs="宋体"/>
          <w:b/>
          <w:bCs/>
          <w:color w:val="auto"/>
          <w:spacing w:val="-3"/>
          <w:sz w:val="28"/>
          <w:szCs w:val="28"/>
          <w:highlight w:val="none"/>
        </w:rPr>
        <w:t>具有履行合同所必需的设备和专业技术能力声明</w:t>
      </w:r>
    </w:p>
    <w:p w14:paraId="38B37A0F">
      <w:pPr>
        <w:pStyle w:val="12"/>
        <w:rPr>
          <w:rFonts w:hint="eastAsia" w:ascii="宋体" w:hAnsi="宋体" w:cs="宋体"/>
          <w:color w:val="auto"/>
          <w:highlight w:val="none"/>
        </w:rPr>
      </w:pPr>
    </w:p>
    <w:p w14:paraId="693E072B">
      <w:pPr>
        <w:pStyle w:val="12"/>
        <w:rPr>
          <w:rFonts w:hint="eastAsia" w:ascii="宋体" w:hAnsi="宋体" w:cs="宋体"/>
          <w:color w:val="auto"/>
          <w:highlight w:val="none"/>
        </w:rPr>
      </w:pPr>
    </w:p>
    <w:p w14:paraId="003C0CA2">
      <w:pPr>
        <w:spacing w:before="78" w:line="219" w:lineRule="auto"/>
        <w:ind w:left="3609"/>
        <w:rPr>
          <w:rFonts w:hint="eastAsia" w:ascii="宋体" w:hAnsi="宋体" w:cs="宋体"/>
          <w:color w:val="auto"/>
          <w:spacing w:val="-2"/>
          <w:sz w:val="28"/>
          <w:szCs w:val="28"/>
          <w:highlight w:val="none"/>
        </w:rPr>
      </w:pPr>
      <w:r>
        <w:rPr>
          <w:rFonts w:hint="eastAsia" w:ascii="宋体" w:hAnsi="宋体" w:cs="宋体"/>
          <w:color w:val="auto"/>
          <w:spacing w:val="-2"/>
          <w:sz w:val="28"/>
          <w:szCs w:val="28"/>
          <w:highlight w:val="none"/>
        </w:rPr>
        <w:t>本投标人郑重声明</w:t>
      </w:r>
    </w:p>
    <w:p w14:paraId="2075E57A">
      <w:pPr>
        <w:pStyle w:val="35"/>
        <w:ind w:left="0" w:leftChars="0" w:firstLine="0" w:firstLineChars="0"/>
        <w:rPr>
          <w:rFonts w:hint="eastAsia"/>
          <w:color w:val="auto"/>
          <w:sz w:val="28"/>
          <w:szCs w:val="28"/>
          <w:highlight w:val="none"/>
        </w:rPr>
      </w:pPr>
    </w:p>
    <w:p w14:paraId="7193C8A2">
      <w:pPr>
        <w:spacing w:before="180" w:line="219"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本公</w:t>
      </w:r>
      <w:r>
        <w:rPr>
          <w:rFonts w:hint="eastAsia" w:ascii="宋体" w:hAnsi="宋体" w:cs="宋体"/>
          <w:color w:val="auto"/>
          <w:spacing w:val="-1"/>
          <w:sz w:val="28"/>
          <w:szCs w:val="28"/>
          <w:highlight w:val="none"/>
        </w:rPr>
        <w:t>司具备本项目履行合同所必需的设备和专业技术能力，特此承诺。</w:t>
      </w:r>
    </w:p>
    <w:p w14:paraId="397962EF">
      <w:pPr>
        <w:pStyle w:val="12"/>
        <w:spacing w:line="339" w:lineRule="auto"/>
        <w:rPr>
          <w:rFonts w:hint="eastAsia" w:ascii="宋体" w:hAnsi="宋体" w:cs="宋体"/>
          <w:color w:val="auto"/>
          <w:sz w:val="28"/>
          <w:szCs w:val="28"/>
          <w:highlight w:val="none"/>
        </w:rPr>
      </w:pPr>
    </w:p>
    <w:p w14:paraId="3F8A9303">
      <w:pPr>
        <w:pStyle w:val="12"/>
        <w:spacing w:line="340" w:lineRule="auto"/>
        <w:rPr>
          <w:rFonts w:hint="eastAsia" w:ascii="宋体" w:hAnsi="宋体" w:cs="宋体"/>
          <w:color w:val="auto"/>
          <w:highlight w:val="none"/>
        </w:rPr>
      </w:pPr>
    </w:p>
    <w:p w14:paraId="161D27B1">
      <w:pPr>
        <w:rPr>
          <w:rFonts w:hint="eastAsia" w:ascii="宋体" w:hAnsi="宋体" w:cs="宋体"/>
          <w:color w:val="auto"/>
          <w:highlight w:val="none"/>
        </w:rPr>
      </w:pPr>
    </w:p>
    <w:p w14:paraId="4197150B">
      <w:pPr>
        <w:pStyle w:val="3"/>
        <w:rPr>
          <w:rFonts w:hint="eastAsia"/>
          <w:color w:val="auto"/>
          <w:highlight w:val="none"/>
        </w:rPr>
      </w:pPr>
    </w:p>
    <w:p w14:paraId="0C0C8F5D">
      <w:pPr>
        <w:spacing w:before="78" w:line="360" w:lineRule="auto"/>
        <w:ind w:left="3248"/>
        <w:rPr>
          <w:rFonts w:hint="eastAsia" w:ascii="宋体" w:hAnsi="宋体" w:cs="宋体"/>
          <w:color w:val="auto"/>
          <w:sz w:val="24"/>
          <w:highlight w:val="none"/>
        </w:rPr>
      </w:pPr>
      <w:r>
        <w:rPr>
          <w:rFonts w:hint="eastAsia" w:ascii="宋体" w:hAnsi="宋体" w:cs="宋体"/>
          <w:color w:val="auto"/>
          <w:spacing w:val="4"/>
          <w:sz w:val="24"/>
          <w:highlight w:val="none"/>
        </w:rPr>
        <w:t>供应商</w:t>
      </w:r>
      <w:r>
        <w:rPr>
          <w:rFonts w:hint="eastAsia" w:ascii="宋体" w:hAnsi="宋体" w:cs="宋体"/>
          <w:color w:val="auto"/>
          <w:spacing w:val="-18"/>
          <w:sz w:val="24"/>
          <w:highlight w:val="none"/>
        </w:rPr>
        <w:t>：（</w:t>
      </w:r>
      <w:r>
        <w:rPr>
          <w:rFonts w:hint="eastAsia" w:ascii="宋体" w:hAnsi="宋体" w:cs="宋体"/>
          <w:color w:val="auto"/>
          <w:spacing w:val="4"/>
          <w:sz w:val="24"/>
          <w:highlight w:val="none"/>
        </w:rPr>
        <w:t>公章）</w:t>
      </w:r>
    </w:p>
    <w:p w14:paraId="2BAE6B52">
      <w:pPr>
        <w:spacing w:before="78" w:line="360" w:lineRule="auto"/>
        <w:ind w:left="3248"/>
        <w:rPr>
          <w:rFonts w:hint="eastAsia" w:ascii="宋体" w:hAnsi="宋体" w:cs="宋体"/>
          <w:color w:val="auto"/>
          <w:spacing w:val="4"/>
          <w:sz w:val="24"/>
          <w:highlight w:val="none"/>
        </w:rPr>
      </w:pPr>
      <w:r>
        <w:rPr>
          <w:rFonts w:hint="eastAsia" w:ascii="宋体" w:hAnsi="宋体" w:cs="宋体"/>
          <w:color w:val="auto"/>
          <w:spacing w:val="-1"/>
          <w:sz w:val="24"/>
          <w:highlight w:val="none"/>
        </w:rPr>
        <w:t>法定代表人或授权代</w:t>
      </w:r>
      <w:r>
        <w:rPr>
          <w:rFonts w:hint="eastAsia" w:ascii="宋体" w:hAnsi="宋体" w:cs="宋体"/>
          <w:color w:val="auto"/>
          <w:spacing w:val="4"/>
          <w:sz w:val="24"/>
          <w:highlight w:val="none"/>
        </w:rPr>
        <w:t>表（签字或盖章）：</w:t>
      </w:r>
    </w:p>
    <w:p w14:paraId="1EE2F180">
      <w:pPr>
        <w:spacing w:before="78" w:line="360" w:lineRule="auto"/>
        <w:ind w:left="3248"/>
        <w:rPr>
          <w:rFonts w:hint="eastAsia" w:ascii="宋体" w:hAnsi="宋体" w:cs="宋体"/>
          <w:color w:val="auto"/>
          <w:spacing w:val="4"/>
          <w:sz w:val="24"/>
          <w:highlight w:val="none"/>
        </w:rPr>
      </w:pPr>
      <w:r>
        <w:rPr>
          <w:rFonts w:hint="eastAsia" w:ascii="宋体" w:hAnsi="宋体" w:cs="宋体"/>
          <w:color w:val="auto"/>
          <w:spacing w:val="4"/>
          <w:sz w:val="24"/>
          <w:highlight w:val="none"/>
        </w:rPr>
        <w:t>日期：     年   月   日</w:t>
      </w:r>
    </w:p>
    <w:p w14:paraId="114E2F30">
      <w:pPr>
        <w:tabs>
          <w:tab w:val="left" w:pos="360"/>
          <w:tab w:val="left" w:pos="1800"/>
        </w:tabs>
        <w:spacing w:line="360" w:lineRule="auto"/>
        <w:ind w:firstLine="2782" w:firstLineChars="1300"/>
        <w:jc w:val="left"/>
        <w:rPr>
          <w:rFonts w:hint="eastAsia" w:ascii="宋体" w:hAnsi="宋体" w:cs="宋体"/>
          <w:color w:val="auto"/>
          <w:spacing w:val="-13"/>
          <w:sz w:val="24"/>
          <w:highlight w:val="none"/>
        </w:rPr>
      </w:pPr>
    </w:p>
    <w:p w14:paraId="355741D4">
      <w:pPr>
        <w:spacing w:before="91" w:line="219" w:lineRule="auto"/>
        <w:ind w:left="729"/>
        <w:outlineLvl w:val="1"/>
        <w:rPr>
          <w:rFonts w:hint="eastAsia" w:ascii="宋体" w:hAnsi="宋体" w:cs="宋体"/>
          <w:color w:val="auto"/>
          <w:sz w:val="28"/>
          <w:szCs w:val="28"/>
          <w:highlight w:val="none"/>
        </w:rPr>
      </w:pPr>
      <w:r>
        <w:rPr>
          <w:rFonts w:hint="eastAsia" w:ascii="宋体" w:hAnsi="宋体" w:cs="宋体"/>
          <w:b/>
          <w:bCs/>
          <w:color w:val="auto"/>
          <w:sz w:val="28"/>
          <w:szCs w:val="28"/>
          <w:highlight w:val="none"/>
          <w:lang w:bidi="ar"/>
        </w:rPr>
        <w:br w:type="page"/>
      </w:r>
      <w:r>
        <w:rPr>
          <w:rFonts w:hint="eastAsia" w:ascii="宋体" w:hAnsi="宋体" w:cs="宋体"/>
          <w:b/>
          <w:bCs/>
          <w:color w:val="auto"/>
          <w:spacing w:val="-3"/>
          <w:sz w:val="28"/>
          <w:szCs w:val="28"/>
          <w:highlight w:val="none"/>
        </w:rPr>
        <w:t>格式</w:t>
      </w:r>
      <w:r>
        <w:rPr>
          <w:rFonts w:hint="eastAsia" w:ascii="宋体" w:hAnsi="宋体" w:cs="宋体"/>
          <w:color w:val="auto"/>
          <w:spacing w:val="-45"/>
          <w:sz w:val="28"/>
          <w:szCs w:val="28"/>
          <w:highlight w:val="none"/>
        </w:rPr>
        <w:t xml:space="preserve"> 7</w:t>
      </w:r>
      <w:r>
        <w:rPr>
          <w:rFonts w:hint="eastAsia" w:ascii="宋体" w:hAnsi="宋体" w:cs="宋体"/>
          <w:color w:val="auto"/>
          <w:spacing w:val="-3"/>
          <w:sz w:val="28"/>
          <w:szCs w:val="28"/>
          <w:highlight w:val="none"/>
        </w:rPr>
        <w:t xml:space="preserve">  </w:t>
      </w:r>
      <w:r>
        <w:rPr>
          <w:rFonts w:hint="eastAsia" w:ascii="宋体" w:hAnsi="宋体" w:cs="宋体"/>
          <w:b/>
          <w:bCs/>
          <w:color w:val="auto"/>
          <w:spacing w:val="-3"/>
          <w:sz w:val="28"/>
          <w:szCs w:val="28"/>
          <w:highlight w:val="none"/>
        </w:rPr>
        <w:t>企业近六个月依法缴纳税收和社会保障资金的良好记录</w:t>
      </w:r>
    </w:p>
    <w:p w14:paraId="3F791737">
      <w:pPr>
        <w:pStyle w:val="12"/>
        <w:spacing w:line="408" w:lineRule="auto"/>
        <w:rPr>
          <w:rFonts w:hint="eastAsia" w:ascii="宋体" w:hAnsi="宋体" w:cs="宋体"/>
          <w:color w:val="auto"/>
          <w:highlight w:val="none"/>
        </w:rPr>
      </w:pPr>
    </w:p>
    <w:p w14:paraId="55F4F804">
      <w:pPr>
        <w:spacing w:before="78" w:line="345" w:lineRule="auto"/>
        <w:ind w:left="13" w:right="7" w:firstLine="486"/>
        <w:rPr>
          <w:rFonts w:hint="eastAsia" w:ascii="宋体" w:hAnsi="宋体" w:cs="宋体"/>
          <w:color w:val="auto"/>
          <w:spacing w:val="-1"/>
          <w:sz w:val="24"/>
          <w:highlight w:val="none"/>
        </w:rPr>
      </w:pPr>
      <w:r>
        <w:rPr>
          <w:rFonts w:hint="eastAsia" w:ascii="宋体" w:hAnsi="宋体" w:cs="宋体"/>
          <w:color w:val="auto"/>
          <w:spacing w:val="-1"/>
          <w:sz w:val="24"/>
          <w:highlight w:val="none"/>
        </w:rPr>
        <w:t>（1）供应商依法缴纳税收的证明材料：本项目投标截止时间前</w:t>
      </w:r>
      <w:r>
        <w:rPr>
          <w:rFonts w:hint="eastAsia" w:ascii="宋体" w:hAnsi="宋体" w:cs="宋体"/>
          <w:color w:val="auto"/>
          <w:spacing w:val="-49"/>
          <w:sz w:val="24"/>
          <w:highlight w:val="none"/>
        </w:rPr>
        <w:t xml:space="preserve"> </w:t>
      </w:r>
      <w:r>
        <w:rPr>
          <w:rFonts w:hint="eastAsia" w:ascii="宋体" w:hAnsi="宋体" w:cs="宋体"/>
          <w:color w:val="auto"/>
          <w:spacing w:val="-1"/>
          <w:sz w:val="24"/>
          <w:highlight w:val="none"/>
        </w:rPr>
        <w:t>6</w:t>
      </w:r>
      <w:r>
        <w:rPr>
          <w:rFonts w:hint="eastAsia" w:ascii="宋体" w:hAnsi="宋体" w:cs="宋体"/>
          <w:color w:val="auto"/>
          <w:spacing w:val="-50"/>
          <w:sz w:val="24"/>
          <w:highlight w:val="none"/>
        </w:rPr>
        <w:t xml:space="preserve"> </w:t>
      </w:r>
      <w:r>
        <w:rPr>
          <w:rFonts w:hint="eastAsia" w:ascii="宋体" w:hAnsi="宋体" w:cs="宋体"/>
          <w:color w:val="auto"/>
          <w:spacing w:val="-1"/>
          <w:sz w:val="24"/>
          <w:highlight w:val="none"/>
        </w:rPr>
        <w:t>个月</w:t>
      </w:r>
      <w:r>
        <w:rPr>
          <w:rFonts w:hint="eastAsia" w:ascii="宋体" w:hAnsi="宋体" w:cs="宋体"/>
          <w:color w:val="auto"/>
          <w:spacing w:val="-2"/>
          <w:sz w:val="24"/>
          <w:highlight w:val="none"/>
        </w:rPr>
        <w:t>内缴纳税收的</w:t>
      </w:r>
      <w:r>
        <w:rPr>
          <w:rFonts w:hint="eastAsia" w:ascii="宋体" w:hAnsi="宋体" w:cs="宋体"/>
          <w:color w:val="auto"/>
          <w:sz w:val="24"/>
          <w:highlight w:val="none"/>
        </w:rPr>
        <w:t xml:space="preserve"> </w:t>
      </w:r>
      <w:r>
        <w:rPr>
          <w:rFonts w:hint="eastAsia" w:ascii="宋体" w:hAnsi="宋体" w:cs="宋体"/>
          <w:color w:val="auto"/>
          <w:spacing w:val="-5"/>
          <w:sz w:val="24"/>
          <w:highlight w:val="none"/>
        </w:rPr>
        <w:t>凭</w:t>
      </w:r>
      <w:r>
        <w:rPr>
          <w:rFonts w:hint="eastAsia" w:ascii="宋体" w:hAnsi="宋体" w:cs="宋体"/>
          <w:color w:val="auto"/>
          <w:spacing w:val="-1"/>
          <w:sz w:val="24"/>
          <w:highlight w:val="none"/>
        </w:rPr>
        <w:t>据；</w:t>
      </w:r>
    </w:p>
    <w:p w14:paraId="572A1610">
      <w:pPr>
        <w:spacing w:before="78" w:line="345" w:lineRule="auto"/>
        <w:ind w:left="13" w:right="7" w:firstLine="486"/>
        <w:rPr>
          <w:rFonts w:hint="eastAsia" w:ascii="宋体" w:hAnsi="宋体" w:cs="宋体"/>
          <w:color w:val="auto"/>
          <w:spacing w:val="-1"/>
          <w:sz w:val="24"/>
          <w:highlight w:val="none"/>
        </w:rPr>
      </w:pPr>
      <w:r>
        <w:rPr>
          <w:rFonts w:hint="eastAsia" w:ascii="宋体" w:hAnsi="宋体" w:cs="宋体"/>
          <w:color w:val="auto"/>
          <w:spacing w:val="-1"/>
          <w:sz w:val="24"/>
          <w:highlight w:val="none"/>
        </w:rPr>
        <w:t>（2）依法免税的供应商，须提供相应文件证明其依法免税。</w:t>
      </w:r>
    </w:p>
    <w:p w14:paraId="4837F4A0">
      <w:pPr>
        <w:spacing w:before="78" w:line="345" w:lineRule="auto"/>
        <w:ind w:left="13" w:right="7" w:firstLine="486"/>
        <w:rPr>
          <w:rFonts w:hint="eastAsia" w:ascii="宋体" w:hAnsi="宋体" w:cs="宋体"/>
          <w:color w:val="auto"/>
          <w:spacing w:val="-1"/>
          <w:sz w:val="24"/>
          <w:highlight w:val="none"/>
        </w:rPr>
      </w:pPr>
      <w:r>
        <w:rPr>
          <w:rFonts w:hint="eastAsia" w:ascii="宋体" w:hAnsi="宋体" w:cs="宋体"/>
          <w:color w:val="auto"/>
          <w:spacing w:val="-1"/>
          <w:sz w:val="24"/>
          <w:highlight w:val="none"/>
        </w:rPr>
        <w:t>（3）供应商依法缴纳社会保障资金的证明材料：本项目投标截止时间前6个月内缴纳社会保险的凭据（专用收据或社会保险缴纳清单）；</w:t>
      </w:r>
    </w:p>
    <w:p w14:paraId="30D6DAD7">
      <w:pPr>
        <w:tabs>
          <w:tab w:val="left" w:pos="360"/>
          <w:tab w:val="left" w:pos="1800"/>
        </w:tabs>
        <w:spacing w:line="360" w:lineRule="auto"/>
        <w:ind w:firstLine="3654" w:firstLineChars="1300"/>
        <w:jc w:val="left"/>
        <w:rPr>
          <w:rFonts w:hint="eastAsia" w:ascii="宋体" w:hAnsi="宋体" w:cs="宋体"/>
          <w:b/>
          <w:bCs/>
          <w:color w:val="auto"/>
          <w:sz w:val="28"/>
          <w:szCs w:val="28"/>
          <w:highlight w:val="none"/>
          <w:lang w:bidi="ar"/>
        </w:rPr>
      </w:pPr>
    </w:p>
    <w:p w14:paraId="589291B1">
      <w:pPr>
        <w:tabs>
          <w:tab w:val="left" w:pos="360"/>
          <w:tab w:val="left" w:pos="1800"/>
        </w:tabs>
        <w:spacing w:line="360" w:lineRule="auto"/>
        <w:ind w:firstLine="3654" w:firstLineChars="1300"/>
        <w:jc w:val="left"/>
        <w:rPr>
          <w:rFonts w:hint="eastAsia" w:ascii="宋体" w:hAnsi="宋体" w:cs="宋体"/>
          <w:b/>
          <w:bCs/>
          <w:color w:val="auto"/>
          <w:sz w:val="28"/>
          <w:szCs w:val="28"/>
          <w:highlight w:val="none"/>
          <w:lang w:bidi="ar"/>
        </w:rPr>
      </w:pPr>
    </w:p>
    <w:p w14:paraId="5B09AEA0">
      <w:pPr>
        <w:tabs>
          <w:tab w:val="left" w:pos="360"/>
          <w:tab w:val="left" w:pos="1800"/>
        </w:tabs>
        <w:spacing w:line="360" w:lineRule="auto"/>
        <w:ind w:firstLine="3654" w:firstLineChars="1300"/>
        <w:jc w:val="left"/>
        <w:rPr>
          <w:rFonts w:hint="eastAsia" w:ascii="宋体" w:hAnsi="宋体" w:cs="宋体"/>
          <w:b/>
          <w:bCs/>
          <w:color w:val="auto"/>
          <w:sz w:val="28"/>
          <w:szCs w:val="28"/>
          <w:highlight w:val="none"/>
          <w:lang w:bidi="ar"/>
        </w:rPr>
      </w:pPr>
    </w:p>
    <w:p w14:paraId="08AE4D64">
      <w:pPr>
        <w:spacing w:before="91" w:line="219" w:lineRule="auto"/>
        <w:ind w:left="871"/>
        <w:rPr>
          <w:rFonts w:hint="eastAsia" w:ascii="宋体" w:hAnsi="宋体" w:cs="宋体"/>
          <w:color w:val="auto"/>
          <w:sz w:val="28"/>
          <w:szCs w:val="28"/>
          <w:highlight w:val="none"/>
        </w:rPr>
      </w:pPr>
      <w:r>
        <w:rPr>
          <w:rFonts w:hint="eastAsia" w:ascii="宋体" w:hAnsi="宋体" w:cs="宋体"/>
          <w:b/>
          <w:bCs/>
          <w:color w:val="auto"/>
          <w:sz w:val="28"/>
          <w:szCs w:val="28"/>
          <w:highlight w:val="none"/>
          <w:lang w:bidi="ar"/>
        </w:rPr>
        <w:br w:type="page"/>
      </w:r>
      <w:r>
        <w:rPr>
          <w:rFonts w:hint="eastAsia" w:ascii="宋体" w:hAnsi="宋体" w:cs="宋体"/>
          <w:b/>
          <w:bCs/>
          <w:color w:val="auto"/>
          <w:spacing w:val="-3"/>
          <w:sz w:val="28"/>
          <w:szCs w:val="28"/>
          <w:highlight w:val="none"/>
        </w:rPr>
        <w:t xml:space="preserve">格式8 </w:t>
      </w:r>
      <w:r>
        <w:rPr>
          <w:rFonts w:hint="eastAsia" w:ascii="宋体" w:hAnsi="宋体" w:cs="宋体"/>
          <w:color w:val="auto"/>
          <w:spacing w:val="-3"/>
          <w:sz w:val="28"/>
          <w:szCs w:val="28"/>
          <w:highlight w:val="none"/>
        </w:rPr>
        <w:t xml:space="preserve">  </w:t>
      </w:r>
      <w:r>
        <w:rPr>
          <w:rFonts w:hint="eastAsia" w:ascii="宋体" w:hAnsi="宋体" w:cs="宋体"/>
          <w:b/>
          <w:bCs/>
          <w:color w:val="auto"/>
          <w:spacing w:val="-3"/>
          <w:sz w:val="28"/>
          <w:szCs w:val="28"/>
          <w:highlight w:val="none"/>
        </w:rPr>
        <w:t>近三年内在经营活动中没有重大违法记录的书面声明</w:t>
      </w:r>
    </w:p>
    <w:p w14:paraId="2807D4F5">
      <w:pPr>
        <w:pStyle w:val="12"/>
        <w:spacing w:line="342" w:lineRule="auto"/>
        <w:rPr>
          <w:rFonts w:hint="eastAsia" w:ascii="宋体" w:hAnsi="宋体" w:cs="宋体"/>
          <w:color w:val="auto"/>
          <w:highlight w:val="none"/>
        </w:rPr>
      </w:pPr>
    </w:p>
    <w:p w14:paraId="66F27246">
      <w:pPr>
        <w:spacing w:before="182" w:line="360" w:lineRule="auto"/>
        <w:ind w:left="9" w:right="2" w:firstLine="480"/>
        <w:rPr>
          <w:rFonts w:hint="eastAsia" w:ascii="宋体" w:hAnsi="宋体" w:cs="宋体"/>
          <w:color w:val="auto"/>
          <w:sz w:val="24"/>
          <w:highlight w:val="none"/>
        </w:rPr>
      </w:pPr>
      <w:r>
        <w:rPr>
          <w:rFonts w:hint="eastAsia" w:ascii="宋体" w:hAnsi="宋体" w:cs="宋体"/>
          <w:color w:val="auto"/>
          <w:spacing w:val="-3"/>
          <w:sz w:val="24"/>
          <w:highlight w:val="none"/>
        </w:rPr>
        <w:t>我单位参与</w:t>
      </w:r>
      <w:r>
        <w:rPr>
          <w:rFonts w:hint="eastAsia" w:ascii="宋体" w:hAnsi="宋体" w:cs="宋体"/>
          <w:color w:val="auto"/>
          <w:spacing w:val="-3"/>
          <w:sz w:val="24"/>
          <w:highlight w:val="none"/>
          <w:u w:val="single"/>
        </w:rPr>
        <w:t xml:space="preserve">                          （</w:t>
      </w:r>
      <w:r>
        <w:rPr>
          <w:rFonts w:hint="eastAsia" w:ascii="宋体" w:hAnsi="宋体" w:cs="宋体"/>
          <w:color w:val="auto"/>
          <w:spacing w:val="-3"/>
          <w:sz w:val="24"/>
          <w:highlight w:val="none"/>
        </w:rPr>
        <w:t>项目名称、编号）投标，并郑重声明，我</w:t>
      </w:r>
      <w:r>
        <w:rPr>
          <w:rFonts w:hint="eastAsia" w:ascii="宋体" w:hAnsi="宋体" w:cs="宋体"/>
          <w:color w:val="auto"/>
          <w:spacing w:val="17"/>
          <w:sz w:val="24"/>
          <w:highlight w:val="none"/>
        </w:rPr>
        <w:t xml:space="preserve"> </w:t>
      </w:r>
      <w:r>
        <w:rPr>
          <w:rFonts w:hint="eastAsia" w:ascii="宋体" w:hAnsi="宋体" w:cs="宋体"/>
          <w:color w:val="auto"/>
          <w:spacing w:val="-3"/>
          <w:sz w:val="24"/>
          <w:highlight w:val="none"/>
        </w:rPr>
        <w:t>方参加本项目招投标活动前三年内，在经营活动中无重</w:t>
      </w:r>
      <w:r>
        <w:rPr>
          <w:rFonts w:hint="eastAsia" w:ascii="宋体" w:hAnsi="宋体" w:cs="宋体"/>
          <w:color w:val="auto"/>
          <w:spacing w:val="-4"/>
          <w:sz w:val="24"/>
          <w:highlight w:val="none"/>
        </w:rPr>
        <w:t>大违法记录，符合招标投标法及招</w:t>
      </w:r>
      <w:r>
        <w:rPr>
          <w:rFonts w:hint="eastAsia" w:ascii="宋体" w:hAnsi="宋体" w:cs="宋体"/>
          <w:color w:val="auto"/>
          <w:sz w:val="24"/>
          <w:highlight w:val="none"/>
        </w:rPr>
        <w:t xml:space="preserve"> 标文件规定的供应商条件。若贵方在本项目招投标过程中发</w:t>
      </w:r>
      <w:r>
        <w:rPr>
          <w:rFonts w:hint="eastAsia" w:ascii="宋体" w:hAnsi="宋体" w:cs="宋体"/>
          <w:color w:val="auto"/>
          <w:spacing w:val="-1"/>
          <w:sz w:val="24"/>
          <w:highlight w:val="none"/>
        </w:rPr>
        <w:t>现我方参加投标活动前三年</w:t>
      </w:r>
      <w:r>
        <w:rPr>
          <w:rFonts w:hint="eastAsia" w:ascii="宋体" w:hAnsi="宋体" w:cs="宋体"/>
          <w:color w:val="auto"/>
          <w:sz w:val="24"/>
          <w:highlight w:val="none"/>
        </w:rPr>
        <w:t xml:space="preserve">  </w:t>
      </w:r>
      <w:r>
        <w:rPr>
          <w:rFonts w:hint="eastAsia" w:ascii="宋体" w:hAnsi="宋体" w:cs="宋体"/>
          <w:color w:val="auto"/>
          <w:spacing w:val="-3"/>
          <w:sz w:val="24"/>
          <w:highlight w:val="none"/>
        </w:rPr>
        <w:t>内，在经营活动中有重大违法记录，我方承担因此引起</w:t>
      </w:r>
      <w:r>
        <w:rPr>
          <w:rFonts w:hint="eastAsia" w:ascii="宋体" w:hAnsi="宋体" w:cs="宋体"/>
          <w:color w:val="auto"/>
          <w:spacing w:val="-4"/>
          <w:sz w:val="24"/>
          <w:highlight w:val="none"/>
        </w:rPr>
        <w:t>的一切后果。我方对此声明负全部</w:t>
      </w:r>
      <w:r>
        <w:rPr>
          <w:rFonts w:hint="eastAsia" w:ascii="宋体" w:hAnsi="宋体" w:cs="宋体"/>
          <w:color w:val="auto"/>
          <w:sz w:val="24"/>
          <w:highlight w:val="none"/>
        </w:rPr>
        <w:t xml:space="preserve"> </w:t>
      </w:r>
      <w:r>
        <w:rPr>
          <w:rFonts w:hint="eastAsia" w:ascii="宋体" w:hAnsi="宋体" w:cs="宋体"/>
          <w:color w:val="auto"/>
          <w:spacing w:val="-3"/>
          <w:sz w:val="24"/>
          <w:highlight w:val="none"/>
        </w:rPr>
        <w:t>法律责任。</w:t>
      </w:r>
    </w:p>
    <w:p w14:paraId="4BDDC607">
      <w:pPr>
        <w:pStyle w:val="12"/>
        <w:spacing w:line="360" w:lineRule="auto"/>
        <w:rPr>
          <w:rFonts w:hint="eastAsia" w:ascii="宋体" w:hAnsi="宋体" w:cs="宋体"/>
          <w:color w:val="auto"/>
          <w:highlight w:val="none"/>
        </w:rPr>
      </w:pPr>
    </w:p>
    <w:p w14:paraId="764D307C">
      <w:pPr>
        <w:spacing w:before="78" w:line="360" w:lineRule="auto"/>
        <w:ind w:left="488"/>
        <w:rPr>
          <w:rFonts w:hint="eastAsia" w:ascii="宋体" w:hAnsi="宋体" w:cs="宋体"/>
          <w:color w:val="auto"/>
          <w:sz w:val="24"/>
          <w:highlight w:val="none"/>
        </w:rPr>
      </w:pPr>
      <w:r>
        <w:rPr>
          <w:rFonts w:hint="eastAsia" w:ascii="宋体" w:hAnsi="宋体" w:cs="宋体"/>
          <w:color w:val="auto"/>
          <w:spacing w:val="-3"/>
          <w:sz w:val="24"/>
          <w:highlight w:val="none"/>
        </w:rPr>
        <w:t>特此声明。</w:t>
      </w:r>
    </w:p>
    <w:p w14:paraId="2CF53603">
      <w:pPr>
        <w:pStyle w:val="12"/>
        <w:spacing w:line="360" w:lineRule="auto"/>
        <w:rPr>
          <w:rFonts w:hint="eastAsia" w:ascii="宋体" w:hAnsi="宋体" w:cs="宋体"/>
          <w:color w:val="auto"/>
          <w:highlight w:val="none"/>
        </w:rPr>
      </w:pPr>
    </w:p>
    <w:p w14:paraId="682BC639">
      <w:pPr>
        <w:pStyle w:val="12"/>
        <w:spacing w:line="338" w:lineRule="auto"/>
        <w:rPr>
          <w:rFonts w:hint="eastAsia" w:ascii="宋体" w:hAnsi="宋体" w:cs="宋体"/>
          <w:color w:val="auto"/>
          <w:highlight w:val="none"/>
        </w:rPr>
      </w:pPr>
    </w:p>
    <w:p w14:paraId="3F930BB8">
      <w:pPr>
        <w:spacing w:before="78" w:line="360" w:lineRule="auto"/>
        <w:ind w:left="3248"/>
        <w:rPr>
          <w:rFonts w:hint="eastAsia" w:ascii="宋体" w:hAnsi="宋体" w:cs="宋体"/>
          <w:color w:val="auto"/>
          <w:sz w:val="24"/>
          <w:highlight w:val="none"/>
        </w:rPr>
      </w:pPr>
      <w:r>
        <w:rPr>
          <w:rFonts w:hint="eastAsia" w:ascii="宋体" w:hAnsi="宋体" w:cs="宋体"/>
          <w:color w:val="auto"/>
          <w:spacing w:val="4"/>
          <w:sz w:val="24"/>
          <w:highlight w:val="none"/>
        </w:rPr>
        <w:t>供应商</w:t>
      </w:r>
      <w:r>
        <w:rPr>
          <w:rFonts w:hint="eastAsia" w:ascii="宋体" w:hAnsi="宋体" w:cs="宋体"/>
          <w:color w:val="auto"/>
          <w:spacing w:val="-18"/>
          <w:sz w:val="24"/>
          <w:highlight w:val="none"/>
        </w:rPr>
        <w:t>：（</w:t>
      </w:r>
      <w:r>
        <w:rPr>
          <w:rFonts w:hint="eastAsia" w:ascii="宋体" w:hAnsi="宋体" w:cs="宋体"/>
          <w:color w:val="auto"/>
          <w:spacing w:val="4"/>
          <w:sz w:val="24"/>
          <w:highlight w:val="none"/>
        </w:rPr>
        <w:t>公章）</w:t>
      </w:r>
    </w:p>
    <w:p w14:paraId="40BFC6B5">
      <w:pPr>
        <w:spacing w:before="78" w:line="360" w:lineRule="auto"/>
        <w:ind w:left="3248"/>
        <w:rPr>
          <w:rFonts w:hint="eastAsia" w:ascii="宋体" w:hAnsi="宋体" w:cs="宋体"/>
          <w:color w:val="auto"/>
          <w:spacing w:val="4"/>
          <w:sz w:val="24"/>
          <w:highlight w:val="none"/>
        </w:rPr>
      </w:pPr>
      <w:r>
        <w:rPr>
          <w:rFonts w:hint="eastAsia" w:ascii="宋体" w:hAnsi="宋体" w:cs="宋体"/>
          <w:color w:val="auto"/>
          <w:spacing w:val="-1"/>
          <w:sz w:val="24"/>
          <w:highlight w:val="none"/>
        </w:rPr>
        <w:t>法定代表人或授权代</w:t>
      </w:r>
      <w:r>
        <w:rPr>
          <w:rFonts w:hint="eastAsia" w:ascii="宋体" w:hAnsi="宋体" w:cs="宋体"/>
          <w:color w:val="auto"/>
          <w:spacing w:val="4"/>
          <w:sz w:val="24"/>
          <w:highlight w:val="none"/>
        </w:rPr>
        <w:t>表（签字或盖章）：</w:t>
      </w:r>
    </w:p>
    <w:p w14:paraId="677BC812">
      <w:pPr>
        <w:spacing w:before="78" w:line="360" w:lineRule="auto"/>
        <w:ind w:left="3248"/>
        <w:rPr>
          <w:rFonts w:hint="eastAsia" w:ascii="宋体" w:hAnsi="宋体" w:cs="宋体"/>
          <w:color w:val="auto"/>
          <w:spacing w:val="4"/>
          <w:sz w:val="24"/>
          <w:highlight w:val="none"/>
        </w:rPr>
      </w:pPr>
      <w:r>
        <w:rPr>
          <w:rFonts w:hint="eastAsia" w:ascii="宋体" w:hAnsi="宋体" w:cs="宋体"/>
          <w:color w:val="auto"/>
          <w:spacing w:val="4"/>
          <w:sz w:val="24"/>
          <w:highlight w:val="none"/>
        </w:rPr>
        <w:t>日期：     年   月   日</w:t>
      </w:r>
    </w:p>
    <w:p w14:paraId="3265EABC">
      <w:pPr>
        <w:tabs>
          <w:tab w:val="left" w:pos="360"/>
          <w:tab w:val="left" w:pos="1800"/>
        </w:tabs>
        <w:spacing w:line="360" w:lineRule="auto"/>
        <w:ind w:firstLine="3654" w:firstLineChars="1300"/>
        <w:jc w:val="left"/>
        <w:rPr>
          <w:rFonts w:hint="eastAsia" w:ascii="宋体" w:hAnsi="宋体" w:cs="宋体"/>
          <w:b/>
          <w:bCs/>
          <w:color w:val="auto"/>
          <w:sz w:val="28"/>
          <w:szCs w:val="28"/>
          <w:highlight w:val="none"/>
          <w:lang w:bidi="ar"/>
        </w:rPr>
      </w:pPr>
    </w:p>
    <w:p w14:paraId="3F842B8B">
      <w:pPr>
        <w:tabs>
          <w:tab w:val="left" w:pos="360"/>
          <w:tab w:val="left" w:pos="1800"/>
        </w:tabs>
        <w:spacing w:line="360" w:lineRule="auto"/>
        <w:ind w:firstLine="3654" w:firstLineChars="1300"/>
        <w:jc w:val="left"/>
        <w:rPr>
          <w:rFonts w:hint="eastAsia" w:ascii="宋体" w:hAnsi="宋体" w:cs="宋体"/>
          <w:b/>
          <w:bCs/>
          <w:color w:val="auto"/>
          <w:sz w:val="28"/>
          <w:szCs w:val="28"/>
          <w:highlight w:val="none"/>
          <w:lang w:bidi="ar"/>
        </w:rPr>
      </w:pPr>
    </w:p>
    <w:p w14:paraId="7F512040">
      <w:pPr>
        <w:spacing w:before="91" w:line="219" w:lineRule="auto"/>
        <w:ind w:left="518"/>
        <w:jc w:val="center"/>
        <w:rPr>
          <w:rFonts w:hint="eastAsia" w:ascii="宋体" w:hAnsi="宋体" w:cs="宋体"/>
          <w:color w:val="auto"/>
          <w:sz w:val="28"/>
          <w:szCs w:val="28"/>
          <w:highlight w:val="none"/>
        </w:rPr>
      </w:pPr>
      <w:r>
        <w:rPr>
          <w:rFonts w:hint="eastAsia" w:ascii="宋体" w:hAnsi="宋体" w:cs="宋体"/>
          <w:b/>
          <w:bCs/>
          <w:color w:val="auto"/>
          <w:sz w:val="28"/>
          <w:szCs w:val="28"/>
          <w:highlight w:val="none"/>
          <w:lang w:bidi="ar"/>
        </w:rPr>
        <w:br w:type="page"/>
      </w:r>
      <w:r>
        <w:rPr>
          <w:rFonts w:hint="eastAsia" w:ascii="宋体" w:hAnsi="宋体" w:cs="宋体"/>
          <w:b/>
          <w:bCs/>
          <w:color w:val="auto"/>
          <w:spacing w:val="-7"/>
          <w:sz w:val="28"/>
          <w:szCs w:val="28"/>
          <w:highlight w:val="none"/>
        </w:rPr>
        <w:t>格式</w:t>
      </w:r>
      <w:r>
        <w:rPr>
          <w:rFonts w:hint="eastAsia" w:ascii="宋体" w:hAnsi="宋体" w:cs="宋体"/>
          <w:color w:val="auto"/>
          <w:spacing w:val="-34"/>
          <w:sz w:val="28"/>
          <w:szCs w:val="28"/>
          <w:highlight w:val="none"/>
        </w:rPr>
        <w:t xml:space="preserve"> 9</w:t>
      </w:r>
      <w:r>
        <w:rPr>
          <w:rFonts w:hint="eastAsia" w:ascii="宋体" w:hAnsi="宋体" w:cs="宋体"/>
          <w:color w:val="auto"/>
          <w:spacing w:val="-7"/>
          <w:sz w:val="28"/>
          <w:szCs w:val="28"/>
          <w:highlight w:val="none"/>
        </w:rPr>
        <w:t xml:space="preserve">  </w:t>
      </w:r>
      <w:r>
        <w:rPr>
          <w:rFonts w:hint="eastAsia" w:ascii="宋体" w:hAnsi="宋体" w:cs="宋体"/>
          <w:b/>
          <w:bCs/>
          <w:color w:val="auto"/>
          <w:spacing w:val="-7"/>
          <w:sz w:val="28"/>
          <w:szCs w:val="28"/>
          <w:highlight w:val="none"/>
        </w:rPr>
        <w:t>信用查询及截图</w:t>
      </w:r>
    </w:p>
    <w:p w14:paraId="71F62678">
      <w:pPr>
        <w:spacing w:before="19"/>
        <w:rPr>
          <w:rFonts w:hint="eastAsia" w:ascii="宋体" w:hAnsi="宋体" w:cs="宋体"/>
          <w:color w:val="auto"/>
          <w:highlight w:val="none"/>
        </w:rPr>
      </w:pPr>
    </w:p>
    <w:p w14:paraId="7A8C619A">
      <w:pPr>
        <w:spacing w:before="19"/>
        <w:rPr>
          <w:rFonts w:hint="eastAsia" w:ascii="宋体" w:hAnsi="宋体" w:cs="宋体"/>
          <w:color w:val="auto"/>
          <w:highlight w:val="none"/>
        </w:rPr>
      </w:pPr>
    </w:p>
    <w:p w14:paraId="44A271FE">
      <w:pPr>
        <w:spacing w:before="19"/>
        <w:rPr>
          <w:rFonts w:hint="eastAsia" w:ascii="宋体" w:hAnsi="宋体" w:cs="宋体"/>
          <w:color w:val="auto"/>
          <w:highlight w:val="none"/>
        </w:rPr>
      </w:pPr>
    </w:p>
    <w:p w14:paraId="30C79AF9">
      <w:pPr>
        <w:spacing w:before="19"/>
        <w:rPr>
          <w:rFonts w:hint="eastAsia" w:ascii="宋体" w:hAnsi="宋体" w:cs="宋体"/>
          <w:color w:val="auto"/>
          <w:highlight w:val="none"/>
        </w:rPr>
      </w:pPr>
    </w:p>
    <w:tbl>
      <w:tblPr>
        <w:tblStyle w:val="36"/>
        <w:tblW w:w="6890" w:type="dxa"/>
        <w:tblInd w:w="99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890"/>
      </w:tblGrid>
      <w:tr w14:paraId="4AD1D6E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10" w:hRule="atLeast"/>
        </w:trPr>
        <w:tc>
          <w:tcPr>
            <w:tcW w:w="6890" w:type="dxa"/>
            <w:noWrap w:val="0"/>
            <w:vAlign w:val="top"/>
          </w:tcPr>
          <w:p w14:paraId="4F4F03A9">
            <w:pPr>
              <w:spacing w:line="422" w:lineRule="auto"/>
              <w:rPr>
                <w:rFonts w:hint="eastAsia" w:ascii="宋体" w:hAnsi="宋体" w:eastAsia="宋体" w:cs="宋体"/>
                <w:color w:val="auto"/>
                <w:highlight w:val="none"/>
              </w:rPr>
            </w:pPr>
          </w:p>
          <w:p w14:paraId="41069FCE">
            <w:pPr>
              <w:pStyle w:val="124"/>
              <w:spacing w:before="78" w:line="353" w:lineRule="auto"/>
              <w:ind w:left="115" w:right="106" w:firstLine="480"/>
              <w:rPr>
                <w:rFonts w:hint="eastAsia"/>
                <w:color w:val="auto"/>
                <w:highlight w:val="none"/>
                <w:lang w:eastAsia="zh-CN"/>
              </w:rPr>
            </w:pPr>
            <w:r>
              <w:rPr>
                <w:rFonts w:hint="eastAsia"/>
                <w:color w:val="auto"/>
                <w:spacing w:val="-2"/>
                <w:highlight w:val="none"/>
                <w:lang w:eastAsia="zh-CN"/>
              </w:rPr>
              <w:t>未被“信用中国</w:t>
            </w:r>
            <w:r>
              <w:rPr>
                <w:rFonts w:hint="eastAsia"/>
                <w:color w:val="auto"/>
                <w:spacing w:val="-88"/>
                <w:highlight w:val="none"/>
                <w:lang w:eastAsia="zh-CN"/>
              </w:rPr>
              <w:t xml:space="preserve"> </w:t>
            </w:r>
            <w:r>
              <w:rPr>
                <w:rFonts w:hint="eastAsia"/>
                <w:color w:val="auto"/>
                <w:spacing w:val="-2"/>
                <w:highlight w:val="none"/>
                <w:lang w:eastAsia="zh-CN"/>
              </w:rPr>
              <w:t>”（www.credi</w:t>
            </w:r>
            <w:r>
              <w:rPr>
                <w:rFonts w:hint="eastAsia"/>
                <w:color w:val="auto"/>
                <w:spacing w:val="-3"/>
                <w:highlight w:val="none"/>
                <w:lang w:eastAsia="zh-CN"/>
              </w:rPr>
              <w:t>tchina.gov.cn）、列入</w:t>
            </w:r>
            <w:r>
              <w:rPr>
                <w:rFonts w:hint="eastAsia"/>
                <w:color w:val="auto"/>
                <w:spacing w:val="-2"/>
                <w:highlight w:val="none"/>
                <w:lang w:eastAsia="zh-CN"/>
              </w:rPr>
              <w:t>失信被执行人、重大税收违法失信主体、政府采购严重违法</w:t>
            </w:r>
            <w:r>
              <w:rPr>
                <w:rFonts w:hint="eastAsia"/>
                <w:color w:val="auto"/>
                <w:spacing w:val="-3"/>
                <w:highlight w:val="none"/>
                <w:lang w:eastAsia="zh-CN"/>
              </w:rPr>
              <w:t>失信</w:t>
            </w:r>
            <w:r>
              <w:rPr>
                <w:rFonts w:hint="eastAsia"/>
                <w:color w:val="auto"/>
                <w:spacing w:val="-2"/>
                <w:highlight w:val="none"/>
                <w:lang w:eastAsia="zh-CN"/>
              </w:rPr>
              <w:t>行为记录名单；“</w:t>
            </w:r>
            <w:r>
              <w:rPr>
                <w:rFonts w:hint="eastAsia"/>
                <w:color w:val="auto"/>
                <w:spacing w:val="-88"/>
                <w:highlight w:val="none"/>
                <w:lang w:eastAsia="zh-CN"/>
              </w:rPr>
              <w:t xml:space="preserve"> </w:t>
            </w:r>
            <w:r>
              <w:rPr>
                <w:rFonts w:hint="eastAsia"/>
                <w:color w:val="auto"/>
                <w:spacing w:val="-2"/>
                <w:highlight w:val="none"/>
                <w:lang w:eastAsia="zh-CN"/>
              </w:rPr>
              <w:t>中国政府采购网</w:t>
            </w:r>
            <w:r>
              <w:rPr>
                <w:rFonts w:hint="eastAsia"/>
                <w:color w:val="auto"/>
                <w:spacing w:val="-88"/>
                <w:highlight w:val="none"/>
                <w:lang w:eastAsia="zh-CN"/>
              </w:rPr>
              <w:t xml:space="preserve"> </w:t>
            </w:r>
            <w:r>
              <w:rPr>
                <w:rFonts w:hint="eastAsia"/>
                <w:color w:val="auto"/>
                <w:spacing w:val="-2"/>
                <w:highlight w:val="none"/>
                <w:lang w:eastAsia="zh-CN"/>
              </w:rPr>
              <w:t>”（www.ccgp.gov.c</w:t>
            </w:r>
            <w:r>
              <w:rPr>
                <w:rFonts w:hint="eastAsia"/>
                <w:color w:val="auto"/>
                <w:spacing w:val="-3"/>
                <w:highlight w:val="none"/>
                <w:lang w:eastAsia="zh-CN"/>
              </w:rPr>
              <w:t>n）政府</w:t>
            </w:r>
            <w:r>
              <w:rPr>
                <w:rFonts w:hint="eastAsia"/>
                <w:color w:val="auto"/>
                <w:spacing w:val="-1"/>
                <w:highlight w:val="none"/>
                <w:lang w:eastAsia="zh-CN"/>
              </w:rPr>
              <w:t>采购严重违法失信行为记录名单；</w:t>
            </w:r>
          </w:p>
        </w:tc>
      </w:tr>
    </w:tbl>
    <w:p w14:paraId="6FADB713">
      <w:pPr>
        <w:pStyle w:val="12"/>
        <w:spacing w:line="244" w:lineRule="auto"/>
        <w:rPr>
          <w:rFonts w:hint="eastAsia" w:ascii="宋体" w:hAnsi="宋体" w:cs="宋体"/>
          <w:color w:val="auto"/>
          <w:highlight w:val="none"/>
        </w:rPr>
      </w:pPr>
    </w:p>
    <w:p w14:paraId="5DEE3971">
      <w:pPr>
        <w:pStyle w:val="12"/>
        <w:spacing w:line="244" w:lineRule="auto"/>
        <w:rPr>
          <w:rFonts w:hint="eastAsia" w:ascii="宋体" w:hAnsi="宋体" w:cs="宋体"/>
          <w:color w:val="auto"/>
          <w:highlight w:val="none"/>
        </w:rPr>
      </w:pPr>
    </w:p>
    <w:p w14:paraId="649CBC63">
      <w:pPr>
        <w:pStyle w:val="12"/>
        <w:spacing w:line="244" w:lineRule="auto"/>
        <w:rPr>
          <w:rFonts w:hint="eastAsia" w:ascii="宋体" w:hAnsi="宋体" w:cs="宋体"/>
          <w:color w:val="auto"/>
          <w:highlight w:val="none"/>
        </w:rPr>
      </w:pPr>
    </w:p>
    <w:p w14:paraId="61938CE7">
      <w:pPr>
        <w:pStyle w:val="12"/>
        <w:spacing w:line="244" w:lineRule="auto"/>
        <w:rPr>
          <w:rFonts w:hint="eastAsia" w:ascii="宋体" w:hAnsi="宋体" w:cs="宋体"/>
          <w:color w:val="auto"/>
          <w:highlight w:val="none"/>
        </w:rPr>
      </w:pPr>
    </w:p>
    <w:p w14:paraId="748A8A25">
      <w:pPr>
        <w:pStyle w:val="12"/>
        <w:spacing w:line="244" w:lineRule="auto"/>
        <w:rPr>
          <w:rFonts w:hint="eastAsia" w:ascii="宋体" w:hAnsi="宋体" w:cs="宋体"/>
          <w:color w:val="auto"/>
          <w:highlight w:val="none"/>
        </w:rPr>
      </w:pPr>
    </w:p>
    <w:p w14:paraId="57CA2E2D">
      <w:pPr>
        <w:pStyle w:val="12"/>
        <w:spacing w:line="244" w:lineRule="auto"/>
        <w:rPr>
          <w:rFonts w:hint="eastAsia" w:ascii="宋体" w:hAnsi="宋体" w:cs="宋体"/>
          <w:color w:val="auto"/>
          <w:highlight w:val="none"/>
        </w:rPr>
      </w:pPr>
    </w:p>
    <w:p w14:paraId="602ABAB8">
      <w:pPr>
        <w:pStyle w:val="12"/>
        <w:spacing w:line="244" w:lineRule="auto"/>
        <w:rPr>
          <w:rFonts w:hint="eastAsia" w:ascii="宋体" w:hAnsi="宋体" w:cs="宋体"/>
          <w:color w:val="auto"/>
          <w:highlight w:val="none"/>
        </w:rPr>
      </w:pPr>
    </w:p>
    <w:p w14:paraId="442A067C">
      <w:pPr>
        <w:spacing w:before="91" w:line="220" w:lineRule="auto"/>
        <w:ind w:left="2628"/>
        <w:rPr>
          <w:rFonts w:hint="eastAsia" w:ascii="宋体" w:hAnsi="宋体" w:cs="宋体"/>
          <w:color w:val="auto"/>
          <w:sz w:val="28"/>
          <w:szCs w:val="28"/>
          <w:highlight w:val="none"/>
        </w:rPr>
      </w:pPr>
      <w:r>
        <w:rPr>
          <w:rFonts w:hint="eastAsia" w:ascii="宋体" w:hAnsi="宋体" w:cs="宋体"/>
          <w:b/>
          <w:bCs/>
          <w:color w:val="auto"/>
          <w:sz w:val="28"/>
          <w:szCs w:val="28"/>
          <w:highlight w:val="none"/>
          <w:lang w:bidi="ar"/>
        </w:rPr>
        <w:br w:type="page"/>
      </w:r>
      <w:r>
        <w:rPr>
          <w:rFonts w:hint="eastAsia" w:ascii="宋体" w:hAnsi="宋体" w:cs="宋体"/>
          <w:b/>
          <w:bCs/>
          <w:color w:val="auto"/>
          <w:spacing w:val="-5"/>
          <w:sz w:val="28"/>
          <w:szCs w:val="28"/>
          <w:highlight w:val="none"/>
        </w:rPr>
        <w:t>格式</w:t>
      </w:r>
      <w:r>
        <w:rPr>
          <w:rFonts w:hint="eastAsia" w:ascii="宋体" w:hAnsi="宋体" w:cs="宋体"/>
          <w:color w:val="auto"/>
          <w:spacing w:val="-28"/>
          <w:sz w:val="28"/>
          <w:szCs w:val="28"/>
          <w:highlight w:val="none"/>
        </w:rPr>
        <w:t xml:space="preserve"> </w:t>
      </w:r>
      <w:r>
        <w:rPr>
          <w:rFonts w:hint="eastAsia" w:ascii="宋体" w:hAnsi="宋体" w:cs="宋体"/>
          <w:b/>
          <w:bCs/>
          <w:color w:val="auto"/>
          <w:spacing w:val="-5"/>
          <w:sz w:val="28"/>
          <w:szCs w:val="28"/>
          <w:highlight w:val="none"/>
        </w:rPr>
        <w:t>10</w:t>
      </w:r>
      <w:r>
        <w:rPr>
          <w:rFonts w:hint="eastAsia" w:ascii="宋体" w:hAnsi="宋体" w:cs="宋体"/>
          <w:color w:val="auto"/>
          <w:spacing w:val="-5"/>
          <w:sz w:val="28"/>
          <w:szCs w:val="28"/>
          <w:highlight w:val="none"/>
        </w:rPr>
        <w:t xml:space="preserve">  </w:t>
      </w:r>
      <w:r>
        <w:rPr>
          <w:rFonts w:hint="eastAsia" w:ascii="宋体" w:hAnsi="宋体" w:cs="宋体"/>
          <w:b/>
          <w:bCs/>
          <w:color w:val="auto"/>
          <w:spacing w:val="-5"/>
          <w:sz w:val="28"/>
          <w:szCs w:val="28"/>
          <w:highlight w:val="none"/>
        </w:rPr>
        <w:t>具有相应履约能力声明</w:t>
      </w:r>
    </w:p>
    <w:p w14:paraId="5588D4A0">
      <w:pPr>
        <w:pStyle w:val="12"/>
        <w:spacing w:line="266" w:lineRule="auto"/>
        <w:rPr>
          <w:rFonts w:hint="eastAsia" w:ascii="宋体" w:hAnsi="宋体" w:cs="宋体"/>
          <w:color w:val="auto"/>
          <w:highlight w:val="none"/>
        </w:rPr>
      </w:pPr>
    </w:p>
    <w:p w14:paraId="771A12BE">
      <w:pPr>
        <w:pStyle w:val="12"/>
        <w:spacing w:line="266" w:lineRule="auto"/>
        <w:rPr>
          <w:rFonts w:hint="eastAsia" w:ascii="宋体" w:hAnsi="宋体" w:cs="宋体"/>
          <w:color w:val="auto"/>
          <w:highlight w:val="none"/>
        </w:rPr>
      </w:pPr>
    </w:p>
    <w:p w14:paraId="33527E6F">
      <w:pPr>
        <w:pStyle w:val="12"/>
        <w:spacing w:line="266" w:lineRule="auto"/>
        <w:rPr>
          <w:rFonts w:hint="eastAsia" w:ascii="宋体" w:hAnsi="宋体" w:cs="宋体"/>
          <w:color w:val="auto"/>
          <w:highlight w:val="none"/>
        </w:rPr>
      </w:pPr>
    </w:p>
    <w:p w14:paraId="781E3514">
      <w:pPr>
        <w:pStyle w:val="12"/>
        <w:spacing w:line="267" w:lineRule="auto"/>
        <w:rPr>
          <w:rFonts w:hint="eastAsia" w:ascii="宋体" w:hAnsi="宋体" w:cs="宋体"/>
          <w:color w:val="auto"/>
          <w:highlight w:val="none"/>
        </w:rPr>
      </w:pPr>
    </w:p>
    <w:p w14:paraId="1556751E">
      <w:pPr>
        <w:spacing w:before="91" w:line="219" w:lineRule="auto"/>
        <w:ind w:left="3443"/>
        <w:rPr>
          <w:rFonts w:hint="eastAsia" w:ascii="宋体" w:hAnsi="宋体" w:cs="宋体"/>
          <w:color w:val="auto"/>
          <w:sz w:val="28"/>
          <w:szCs w:val="28"/>
          <w:highlight w:val="none"/>
        </w:rPr>
      </w:pPr>
      <w:r>
        <w:rPr>
          <w:rFonts w:hint="eastAsia" w:ascii="宋体" w:hAnsi="宋体" w:cs="宋体"/>
          <w:color w:val="auto"/>
          <w:spacing w:val="-2"/>
          <w:sz w:val="28"/>
          <w:szCs w:val="28"/>
          <w:highlight w:val="none"/>
        </w:rPr>
        <w:t>本投标人郑重声明：</w:t>
      </w:r>
    </w:p>
    <w:p w14:paraId="33C92FBB">
      <w:pPr>
        <w:pStyle w:val="12"/>
        <w:spacing w:line="296" w:lineRule="auto"/>
        <w:rPr>
          <w:rFonts w:hint="eastAsia" w:ascii="宋体" w:hAnsi="宋体" w:cs="宋体"/>
          <w:color w:val="auto"/>
          <w:highlight w:val="none"/>
        </w:rPr>
      </w:pPr>
    </w:p>
    <w:p w14:paraId="3FB95012">
      <w:pPr>
        <w:pStyle w:val="12"/>
        <w:spacing w:line="297" w:lineRule="auto"/>
        <w:rPr>
          <w:rFonts w:hint="eastAsia" w:ascii="宋体" w:hAnsi="宋体" w:cs="宋体"/>
          <w:color w:val="auto"/>
          <w:highlight w:val="none"/>
        </w:rPr>
      </w:pPr>
    </w:p>
    <w:p w14:paraId="4AE8686A">
      <w:pPr>
        <w:spacing w:before="78" w:line="350" w:lineRule="auto"/>
        <w:ind w:left="7" w:right="2" w:firstLine="500" w:firstLineChars="214"/>
        <w:rPr>
          <w:rFonts w:hint="eastAsia" w:ascii="宋体" w:hAnsi="宋体" w:cs="宋体"/>
          <w:color w:val="auto"/>
          <w:sz w:val="24"/>
          <w:highlight w:val="none"/>
        </w:rPr>
      </w:pPr>
      <w:r>
        <w:rPr>
          <w:rFonts w:hint="eastAsia" w:ascii="宋体" w:hAnsi="宋体" w:cs="宋体"/>
          <w:color w:val="auto"/>
          <w:spacing w:val="-3"/>
          <w:sz w:val="24"/>
          <w:highlight w:val="none"/>
        </w:rPr>
        <w:t>本公司（或单位）在人员、设备、资金等方面</w:t>
      </w:r>
      <w:r>
        <w:rPr>
          <w:rFonts w:hint="eastAsia" w:ascii="宋体" w:hAnsi="宋体" w:cs="宋体"/>
          <w:color w:val="auto"/>
          <w:spacing w:val="-4"/>
          <w:sz w:val="24"/>
          <w:highlight w:val="none"/>
        </w:rPr>
        <w:t>具备相应的履约能力，没有处于被责令停</w:t>
      </w:r>
      <w:r>
        <w:rPr>
          <w:rFonts w:hint="eastAsia" w:ascii="宋体" w:hAnsi="宋体" w:cs="宋体"/>
          <w:color w:val="auto"/>
          <w:spacing w:val="-3"/>
          <w:sz w:val="24"/>
          <w:highlight w:val="none"/>
        </w:rPr>
        <w:t>业、投标资格被取消或暂停、财产被接管、冻结、破产状态</w:t>
      </w:r>
      <w:r>
        <w:rPr>
          <w:rFonts w:hint="eastAsia" w:ascii="宋体" w:hAnsi="宋体" w:cs="宋体"/>
          <w:color w:val="auto"/>
          <w:spacing w:val="-4"/>
          <w:sz w:val="24"/>
          <w:highlight w:val="none"/>
        </w:rPr>
        <w:t>，具备相应的履约能力，特此</w:t>
      </w:r>
      <w:r>
        <w:rPr>
          <w:rFonts w:hint="eastAsia" w:ascii="宋体" w:hAnsi="宋体" w:cs="宋体"/>
          <w:color w:val="auto"/>
          <w:sz w:val="24"/>
          <w:highlight w:val="none"/>
        </w:rPr>
        <w:t xml:space="preserve"> </w:t>
      </w:r>
      <w:r>
        <w:rPr>
          <w:rFonts w:hint="eastAsia" w:ascii="宋体" w:hAnsi="宋体" w:cs="宋体"/>
          <w:color w:val="auto"/>
          <w:spacing w:val="-3"/>
          <w:sz w:val="24"/>
          <w:highlight w:val="none"/>
        </w:rPr>
        <w:t>承诺。</w:t>
      </w:r>
    </w:p>
    <w:p w14:paraId="2FE8134F">
      <w:pPr>
        <w:pStyle w:val="12"/>
        <w:spacing w:line="264" w:lineRule="auto"/>
        <w:rPr>
          <w:rFonts w:hint="eastAsia" w:ascii="宋体" w:hAnsi="宋体" w:cs="宋体"/>
          <w:color w:val="auto"/>
          <w:highlight w:val="none"/>
        </w:rPr>
      </w:pPr>
    </w:p>
    <w:p w14:paraId="545735CC">
      <w:pPr>
        <w:pStyle w:val="12"/>
        <w:spacing w:line="265" w:lineRule="auto"/>
        <w:rPr>
          <w:rFonts w:hint="eastAsia" w:ascii="宋体" w:hAnsi="宋体" w:cs="宋体"/>
          <w:color w:val="auto"/>
          <w:highlight w:val="none"/>
        </w:rPr>
      </w:pPr>
    </w:p>
    <w:p w14:paraId="56EAE80B">
      <w:pPr>
        <w:spacing w:before="78" w:line="360" w:lineRule="auto"/>
        <w:ind w:left="3248"/>
        <w:rPr>
          <w:rFonts w:hint="eastAsia" w:ascii="宋体" w:hAnsi="宋体" w:cs="宋体"/>
          <w:color w:val="auto"/>
          <w:sz w:val="24"/>
          <w:highlight w:val="none"/>
        </w:rPr>
      </w:pPr>
      <w:r>
        <w:rPr>
          <w:rFonts w:hint="eastAsia" w:ascii="宋体" w:hAnsi="宋体" w:cs="宋体"/>
          <w:color w:val="auto"/>
          <w:spacing w:val="4"/>
          <w:sz w:val="24"/>
          <w:highlight w:val="none"/>
        </w:rPr>
        <w:t>供应商</w:t>
      </w:r>
      <w:r>
        <w:rPr>
          <w:rFonts w:hint="eastAsia" w:ascii="宋体" w:hAnsi="宋体" w:cs="宋体"/>
          <w:color w:val="auto"/>
          <w:spacing w:val="-18"/>
          <w:sz w:val="24"/>
          <w:highlight w:val="none"/>
        </w:rPr>
        <w:t>：（</w:t>
      </w:r>
      <w:r>
        <w:rPr>
          <w:rFonts w:hint="eastAsia" w:ascii="宋体" w:hAnsi="宋体" w:cs="宋体"/>
          <w:color w:val="auto"/>
          <w:spacing w:val="4"/>
          <w:sz w:val="24"/>
          <w:highlight w:val="none"/>
        </w:rPr>
        <w:t>公章）</w:t>
      </w:r>
    </w:p>
    <w:p w14:paraId="7F612A86">
      <w:pPr>
        <w:spacing w:before="78" w:line="360" w:lineRule="auto"/>
        <w:ind w:left="3248"/>
        <w:rPr>
          <w:rFonts w:hint="eastAsia" w:ascii="宋体" w:hAnsi="宋体" w:cs="宋体"/>
          <w:color w:val="auto"/>
          <w:spacing w:val="4"/>
          <w:sz w:val="24"/>
          <w:highlight w:val="none"/>
        </w:rPr>
      </w:pPr>
      <w:r>
        <w:rPr>
          <w:rFonts w:hint="eastAsia" w:ascii="宋体" w:hAnsi="宋体" w:cs="宋体"/>
          <w:color w:val="auto"/>
          <w:spacing w:val="-1"/>
          <w:sz w:val="24"/>
          <w:highlight w:val="none"/>
        </w:rPr>
        <w:t>法定代表人或授权代</w:t>
      </w:r>
      <w:r>
        <w:rPr>
          <w:rFonts w:hint="eastAsia" w:ascii="宋体" w:hAnsi="宋体" w:cs="宋体"/>
          <w:color w:val="auto"/>
          <w:spacing w:val="4"/>
          <w:sz w:val="24"/>
          <w:highlight w:val="none"/>
        </w:rPr>
        <w:t>表（签字或盖章）：</w:t>
      </w:r>
    </w:p>
    <w:p w14:paraId="3B1338CE">
      <w:pPr>
        <w:spacing w:before="78" w:line="360" w:lineRule="auto"/>
        <w:ind w:left="3248"/>
        <w:rPr>
          <w:rFonts w:hint="eastAsia" w:ascii="宋体" w:hAnsi="宋体" w:cs="宋体"/>
          <w:color w:val="auto"/>
          <w:spacing w:val="4"/>
          <w:sz w:val="24"/>
          <w:highlight w:val="none"/>
        </w:rPr>
      </w:pPr>
      <w:r>
        <w:rPr>
          <w:rFonts w:hint="eastAsia" w:ascii="宋体" w:hAnsi="宋体" w:cs="宋体"/>
          <w:color w:val="auto"/>
          <w:spacing w:val="4"/>
          <w:sz w:val="24"/>
          <w:highlight w:val="none"/>
        </w:rPr>
        <w:t>日期：     年   月   日</w:t>
      </w:r>
    </w:p>
    <w:p w14:paraId="5583097A">
      <w:pPr>
        <w:tabs>
          <w:tab w:val="left" w:pos="360"/>
          <w:tab w:val="left" w:pos="1800"/>
        </w:tabs>
        <w:spacing w:line="360" w:lineRule="auto"/>
        <w:ind w:firstLine="3654" w:firstLineChars="1300"/>
        <w:jc w:val="left"/>
        <w:rPr>
          <w:rFonts w:hint="eastAsia" w:ascii="宋体" w:hAnsi="宋体" w:cs="宋体"/>
          <w:b/>
          <w:bCs/>
          <w:color w:val="auto"/>
          <w:sz w:val="28"/>
          <w:szCs w:val="28"/>
          <w:highlight w:val="none"/>
          <w:lang w:bidi="ar"/>
        </w:rPr>
      </w:pPr>
    </w:p>
    <w:p w14:paraId="4D695D77">
      <w:pPr>
        <w:spacing w:before="91" w:line="219" w:lineRule="auto"/>
        <w:ind w:left="3470"/>
        <w:rPr>
          <w:rFonts w:hint="eastAsia" w:ascii="宋体" w:hAnsi="宋体" w:cs="宋体"/>
          <w:color w:val="auto"/>
          <w:sz w:val="28"/>
          <w:szCs w:val="28"/>
          <w:highlight w:val="none"/>
        </w:rPr>
      </w:pPr>
      <w:r>
        <w:rPr>
          <w:rFonts w:hint="eastAsia" w:ascii="宋体" w:hAnsi="宋体" w:cs="宋体"/>
          <w:b/>
          <w:bCs/>
          <w:color w:val="auto"/>
          <w:sz w:val="28"/>
          <w:szCs w:val="28"/>
          <w:highlight w:val="none"/>
          <w:lang w:bidi="ar"/>
        </w:rPr>
        <w:br w:type="page"/>
      </w:r>
      <w:r>
        <w:rPr>
          <w:rFonts w:hint="eastAsia" w:ascii="宋体" w:hAnsi="宋体" w:cs="宋体"/>
          <w:b/>
          <w:bCs/>
          <w:color w:val="auto"/>
          <w:spacing w:val="-10"/>
          <w:sz w:val="28"/>
          <w:szCs w:val="28"/>
          <w:highlight w:val="none"/>
        </w:rPr>
        <w:t>格式</w:t>
      </w:r>
      <w:r>
        <w:rPr>
          <w:rFonts w:hint="eastAsia" w:ascii="宋体" w:hAnsi="宋体" w:cs="宋体"/>
          <w:color w:val="auto"/>
          <w:spacing w:val="-36"/>
          <w:sz w:val="28"/>
          <w:szCs w:val="28"/>
          <w:highlight w:val="none"/>
        </w:rPr>
        <w:t xml:space="preserve"> </w:t>
      </w:r>
      <w:r>
        <w:rPr>
          <w:rFonts w:hint="eastAsia" w:ascii="宋体" w:hAnsi="宋体" w:cs="宋体"/>
          <w:b/>
          <w:bCs/>
          <w:color w:val="auto"/>
          <w:spacing w:val="-10"/>
          <w:sz w:val="28"/>
          <w:szCs w:val="28"/>
          <w:highlight w:val="none"/>
        </w:rPr>
        <w:t>11</w:t>
      </w:r>
      <w:r>
        <w:rPr>
          <w:rFonts w:hint="eastAsia" w:ascii="宋体" w:hAnsi="宋体" w:cs="宋体"/>
          <w:color w:val="auto"/>
          <w:spacing w:val="9"/>
          <w:sz w:val="28"/>
          <w:szCs w:val="28"/>
          <w:highlight w:val="none"/>
        </w:rPr>
        <w:t xml:space="preserve">  </w:t>
      </w:r>
      <w:r>
        <w:rPr>
          <w:rFonts w:hint="eastAsia" w:ascii="宋体" w:hAnsi="宋体" w:cs="宋体"/>
          <w:b/>
          <w:bCs/>
          <w:color w:val="auto"/>
          <w:spacing w:val="-10"/>
          <w:sz w:val="28"/>
          <w:szCs w:val="28"/>
          <w:highlight w:val="none"/>
        </w:rPr>
        <w:t>书面声明</w:t>
      </w:r>
    </w:p>
    <w:p w14:paraId="719E9072">
      <w:pPr>
        <w:pStyle w:val="12"/>
        <w:spacing w:line="330" w:lineRule="auto"/>
        <w:rPr>
          <w:rFonts w:hint="eastAsia" w:ascii="宋体" w:hAnsi="宋体" w:cs="宋体"/>
          <w:color w:val="auto"/>
          <w:highlight w:val="none"/>
        </w:rPr>
      </w:pPr>
    </w:p>
    <w:p w14:paraId="5C9B3D7F">
      <w:pPr>
        <w:pStyle w:val="12"/>
        <w:spacing w:line="331" w:lineRule="auto"/>
        <w:rPr>
          <w:rFonts w:hint="eastAsia" w:ascii="宋体" w:hAnsi="宋体" w:cs="宋体"/>
          <w:color w:val="auto"/>
          <w:highlight w:val="none"/>
        </w:rPr>
      </w:pPr>
    </w:p>
    <w:p w14:paraId="5F335A2E">
      <w:pPr>
        <w:tabs>
          <w:tab w:val="left" w:pos="2398"/>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ab/>
      </w:r>
      <w:r>
        <w:rPr>
          <w:rFonts w:hint="eastAsia" w:ascii="宋体" w:hAnsi="宋体" w:cs="宋体"/>
          <w:color w:val="auto"/>
          <w:spacing w:val="-4"/>
          <w:sz w:val="24"/>
          <w:highlight w:val="none"/>
        </w:rPr>
        <w:t>（供应商名称）郑重声明，我公司具有良好的商业信誉</w:t>
      </w:r>
      <w:r>
        <w:rPr>
          <w:rFonts w:hint="eastAsia" w:ascii="宋体" w:hAnsi="宋体" w:cs="宋体"/>
          <w:color w:val="auto"/>
          <w:spacing w:val="-5"/>
          <w:sz w:val="24"/>
          <w:highlight w:val="none"/>
        </w:rPr>
        <w:t>和健全的财</w:t>
      </w:r>
      <w:r>
        <w:rPr>
          <w:rFonts w:hint="eastAsia" w:ascii="宋体" w:hAnsi="宋体" w:cs="宋体"/>
          <w:color w:val="auto"/>
          <w:spacing w:val="-3"/>
          <w:sz w:val="24"/>
          <w:highlight w:val="none"/>
        </w:rPr>
        <w:t>务会计制度，具有履行合同所必需的设备和专业技术</w:t>
      </w:r>
      <w:r>
        <w:rPr>
          <w:rFonts w:hint="eastAsia" w:ascii="宋体" w:hAnsi="宋体" w:cs="宋体"/>
          <w:color w:val="auto"/>
          <w:spacing w:val="-4"/>
          <w:sz w:val="24"/>
          <w:highlight w:val="none"/>
        </w:rPr>
        <w:t>能力，具有依法缴纳税收和社会保障资</w:t>
      </w:r>
      <w:r>
        <w:rPr>
          <w:rFonts w:hint="eastAsia" w:ascii="宋体" w:hAnsi="宋体" w:cs="宋体"/>
          <w:color w:val="auto"/>
          <w:sz w:val="24"/>
          <w:highlight w:val="none"/>
        </w:rPr>
        <w:t xml:space="preserve"> </w:t>
      </w:r>
      <w:r>
        <w:rPr>
          <w:rFonts w:hint="eastAsia" w:ascii="宋体" w:hAnsi="宋体" w:cs="宋体"/>
          <w:color w:val="auto"/>
          <w:spacing w:val="-3"/>
          <w:sz w:val="24"/>
          <w:highlight w:val="none"/>
        </w:rPr>
        <w:t>金的良好记录，在合同签订前后随时愿意提供相关证明</w:t>
      </w:r>
      <w:r>
        <w:rPr>
          <w:rFonts w:hint="eastAsia" w:ascii="宋体" w:hAnsi="宋体" w:cs="宋体"/>
          <w:color w:val="auto"/>
          <w:spacing w:val="-4"/>
          <w:sz w:val="24"/>
          <w:highlight w:val="none"/>
        </w:rPr>
        <w:t>材料；我公司还同时声明参加本项</w:t>
      </w:r>
      <w:r>
        <w:rPr>
          <w:rFonts w:hint="eastAsia" w:ascii="宋体" w:hAnsi="宋体" w:cs="宋体"/>
          <w:color w:val="auto"/>
          <w:spacing w:val="-3"/>
          <w:sz w:val="24"/>
          <w:highlight w:val="none"/>
        </w:rPr>
        <w:t>目采购活动前三年内无重大违法活动记录，符合《中华</w:t>
      </w:r>
      <w:r>
        <w:rPr>
          <w:rFonts w:hint="eastAsia" w:ascii="宋体" w:hAnsi="宋体" w:cs="宋体"/>
          <w:color w:val="auto"/>
          <w:spacing w:val="-4"/>
          <w:sz w:val="24"/>
          <w:highlight w:val="none"/>
        </w:rPr>
        <w:t>人民共和国政府采购法》第二十二条</w:t>
      </w:r>
      <w:r>
        <w:rPr>
          <w:rFonts w:hint="eastAsia" w:ascii="宋体" w:hAnsi="宋体" w:cs="宋体"/>
          <w:color w:val="auto"/>
          <w:spacing w:val="-1"/>
          <w:sz w:val="24"/>
          <w:highlight w:val="none"/>
        </w:rPr>
        <w:t>规定的供应商资格条件。我方对以上声明负全部法律责任。</w:t>
      </w:r>
    </w:p>
    <w:p w14:paraId="18F78554">
      <w:pPr>
        <w:spacing w:before="36" w:line="360" w:lineRule="auto"/>
        <w:ind w:left="488"/>
        <w:outlineLvl w:val="0"/>
        <w:rPr>
          <w:rFonts w:hint="eastAsia" w:ascii="宋体" w:hAnsi="宋体" w:cs="宋体"/>
          <w:color w:val="auto"/>
          <w:sz w:val="24"/>
          <w:highlight w:val="none"/>
        </w:rPr>
      </w:pPr>
      <w:r>
        <w:rPr>
          <w:rFonts w:hint="eastAsia" w:ascii="宋体" w:hAnsi="宋体" w:cs="宋体"/>
          <w:color w:val="auto"/>
          <w:spacing w:val="-2"/>
          <w:sz w:val="24"/>
          <w:highlight w:val="none"/>
        </w:rPr>
        <w:t>特此声明。</w:t>
      </w:r>
    </w:p>
    <w:p w14:paraId="78AE1D0B">
      <w:pPr>
        <w:pStyle w:val="12"/>
        <w:spacing w:line="360" w:lineRule="auto"/>
        <w:rPr>
          <w:rFonts w:hint="eastAsia" w:ascii="宋体" w:hAnsi="宋体" w:cs="宋体"/>
          <w:color w:val="auto"/>
          <w:highlight w:val="none"/>
        </w:rPr>
      </w:pPr>
    </w:p>
    <w:p w14:paraId="6480AF0E">
      <w:pPr>
        <w:pStyle w:val="12"/>
        <w:spacing w:line="285" w:lineRule="auto"/>
        <w:rPr>
          <w:rFonts w:hint="eastAsia" w:ascii="宋体" w:hAnsi="宋体" w:cs="宋体"/>
          <w:color w:val="auto"/>
          <w:highlight w:val="none"/>
        </w:rPr>
      </w:pPr>
    </w:p>
    <w:p w14:paraId="79A51CF9">
      <w:pPr>
        <w:pStyle w:val="12"/>
        <w:spacing w:line="285" w:lineRule="auto"/>
        <w:rPr>
          <w:rFonts w:hint="eastAsia" w:ascii="宋体" w:hAnsi="宋体" w:cs="宋体"/>
          <w:color w:val="auto"/>
          <w:highlight w:val="none"/>
        </w:rPr>
      </w:pPr>
    </w:p>
    <w:p w14:paraId="302133E7">
      <w:pPr>
        <w:pStyle w:val="12"/>
        <w:spacing w:line="286" w:lineRule="auto"/>
        <w:rPr>
          <w:rFonts w:hint="eastAsia" w:ascii="宋体" w:hAnsi="宋体" w:cs="宋体"/>
          <w:color w:val="auto"/>
          <w:highlight w:val="none"/>
        </w:rPr>
      </w:pPr>
    </w:p>
    <w:p w14:paraId="32DD745A">
      <w:pPr>
        <w:spacing w:before="78" w:line="360" w:lineRule="auto"/>
        <w:ind w:left="3248"/>
        <w:rPr>
          <w:rFonts w:hint="eastAsia" w:ascii="宋体" w:hAnsi="宋体" w:cs="宋体"/>
          <w:color w:val="auto"/>
          <w:sz w:val="24"/>
          <w:highlight w:val="none"/>
        </w:rPr>
      </w:pPr>
      <w:r>
        <w:rPr>
          <w:rFonts w:hint="eastAsia" w:ascii="宋体" w:hAnsi="宋体" w:cs="宋体"/>
          <w:color w:val="auto"/>
          <w:spacing w:val="4"/>
          <w:sz w:val="24"/>
          <w:highlight w:val="none"/>
        </w:rPr>
        <w:t>供应商</w:t>
      </w:r>
      <w:r>
        <w:rPr>
          <w:rFonts w:hint="eastAsia" w:ascii="宋体" w:hAnsi="宋体" w:cs="宋体"/>
          <w:color w:val="auto"/>
          <w:spacing w:val="-18"/>
          <w:sz w:val="24"/>
          <w:highlight w:val="none"/>
        </w:rPr>
        <w:t>：（</w:t>
      </w:r>
      <w:r>
        <w:rPr>
          <w:rFonts w:hint="eastAsia" w:ascii="宋体" w:hAnsi="宋体" w:cs="宋体"/>
          <w:color w:val="auto"/>
          <w:spacing w:val="4"/>
          <w:sz w:val="24"/>
          <w:highlight w:val="none"/>
        </w:rPr>
        <w:t>公章）</w:t>
      </w:r>
    </w:p>
    <w:p w14:paraId="279ACBB5">
      <w:pPr>
        <w:spacing w:before="78" w:line="360" w:lineRule="auto"/>
        <w:ind w:left="3248"/>
        <w:rPr>
          <w:rFonts w:hint="eastAsia" w:ascii="宋体" w:hAnsi="宋体" w:cs="宋体"/>
          <w:color w:val="auto"/>
          <w:spacing w:val="4"/>
          <w:sz w:val="24"/>
          <w:highlight w:val="none"/>
        </w:rPr>
      </w:pPr>
      <w:r>
        <w:rPr>
          <w:rFonts w:hint="eastAsia" w:ascii="宋体" w:hAnsi="宋体" w:cs="宋体"/>
          <w:color w:val="auto"/>
          <w:spacing w:val="-1"/>
          <w:sz w:val="24"/>
          <w:highlight w:val="none"/>
        </w:rPr>
        <w:t>法定代表人或授权代</w:t>
      </w:r>
      <w:r>
        <w:rPr>
          <w:rFonts w:hint="eastAsia" w:ascii="宋体" w:hAnsi="宋体" w:cs="宋体"/>
          <w:color w:val="auto"/>
          <w:spacing w:val="4"/>
          <w:sz w:val="24"/>
          <w:highlight w:val="none"/>
        </w:rPr>
        <w:t>表（签字或盖章）：</w:t>
      </w:r>
    </w:p>
    <w:p w14:paraId="5C738891">
      <w:pPr>
        <w:spacing w:before="78" w:line="360" w:lineRule="auto"/>
        <w:ind w:left="3248"/>
        <w:rPr>
          <w:rFonts w:hint="eastAsia" w:ascii="宋体" w:hAnsi="宋体" w:cs="宋体"/>
          <w:color w:val="auto"/>
          <w:spacing w:val="4"/>
          <w:sz w:val="24"/>
          <w:highlight w:val="none"/>
        </w:rPr>
      </w:pPr>
      <w:r>
        <w:rPr>
          <w:rFonts w:hint="eastAsia" w:ascii="宋体" w:hAnsi="宋体" w:cs="宋体"/>
          <w:color w:val="auto"/>
          <w:spacing w:val="4"/>
          <w:sz w:val="24"/>
          <w:highlight w:val="none"/>
        </w:rPr>
        <w:t>日期：     年   月   日</w:t>
      </w:r>
    </w:p>
    <w:p w14:paraId="296932D3">
      <w:pPr>
        <w:tabs>
          <w:tab w:val="left" w:pos="360"/>
          <w:tab w:val="left" w:pos="1800"/>
        </w:tabs>
        <w:ind w:firstLine="3654" w:firstLineChars="1300"/>
        <w:jc w:val="left"/>
        <w:rPr>
          <w:rFonts w:hint="eastAsia" w:ascii="宋体" w:hAnsi="宋体" w:cs="宋体"/>
          <w:b/>
          <w:bCs/>
          <w:color w:val="auto"/>
          <w:sz w:val="28"/>
          <w:szCs w:val="28"/>
          <w:highlight w:val="none"/>
          <w:lang w:bidi="ar"/>
        </w:rPr>
      </w:pPr>
    </w:p>
    <w:p w14:paraId="68B64769">
      <w:pPr>
        <w:spacing w:before="91" w:line="219" w:lineRule="auto"/>
        <w:jc w:val="center"/>
        <w:rPr>
          <w:rFonts w:hint="eastAsia" w:ascii="宋体" w:hAnsi="宋体" w:cs="宋体"/>
          <w:color w:val="auto"/>
          <w:sz w:val="28"/>
          <w:szCs w:val="28"/>
          <w:highlight w:val="none"/>
        </w:rPr>
      </w:pPr>
      <w:r>
        <w:rPr>
          <w:rFonts w:hint="eastAsia" w:ascii="宋体" w:hAnsi="宋体" w:cs="宋体"/>
          <w:b/>
          <w:bCs/>
          <w:color w:val="auto"/>
          <w:sz w:val="28"/>
          <w:szCs w:val="28"/>
          <w:highlight w:val="none"/>
          <w:lang w:bidi="ar"/>
        </w:rPr>
        <w:br w:type="page"/>
      </w:r>
      <w:r>
        <w:rPr>
          <w:rFonts w:hint="eastAsia" w:ascii="宋体" w:hAnsi="宋体" w:cs="宋体"/>
          <w:b/>
          <w:bCs/>
          <w:color w:val="auto"/>
          <w:spacing w:val="-6"/>
          <w:sz w:val="28"/>
          <w:szCs w:val="28"/>
          <w:highlight w:val="none"/>
        </w:rPr>
        <w:t>格式</w:t>
      </w:r>
      <w:r>
        <w:rPr>
          <w:rFonts w:hint="eastAsia" w:ascii="宋体" w:hAnsi="宋体" w:cs="宋体"/>
          <w:color w:val="auto"/>
          <w:spacing w:val="-34"/>
          <w:sz w:val="28"/>
          <w:szCs w:val="28"/>
          <w:highlight w:val="none"/>
        </w:rPr>
        <w:t xml:space="preserve"> </w:t>
      </w:r>
      <w:r>
        <w:rPr>
          <w:rFonts w:hint="eastAsia" w:ascii="宋体" w:hAnsi="宋体" w:cs="宋体"/>
          <w:b/>
          <w:bCs/>
          <w:color w:val="auto"/>
          <w:spacing w:val="-6"/>
          <w:sz w:val="28"/>
          <w:szCs w:val="28"/>
          <w:highlight w:val="none"/>
        </w:rPr>
        <w:t>12</w:t>
      </w:r>
      <w:r>
        <w:rPr>
          <w:rFonts w:hint="eastAsia" w:ascii="宋体" w:hAnsi="宋体" w:cs="宋体"/>
          <w:color w:val="auto"/>
          <w:spacing w:val="-6"/>
          <w:sz w:val="28"/>
          <w:szCs w:val="28"/>
          <w:highlight w:val="none"/>
        </w:rPr>
        <w:t xml:space="preserve">  </w:t>
      </w:r>
      <w:r>
        <w:rPr>
          <w:rFonts w:hint="eastAsia" w:ascii="宋体" w:hAnsi="宋体" w:cs="宋体"/>
          <w:b/>
          <w:bCs/>
          <w:color w:val="auto"/>
          <w:spacing w:val="-6"/>
          <w:sz w:val="28"/>
          <w:szCs w:val="28"/>
          <w:highlight w:val="none"/>
        </w:rPr>
        <w:t>诚信承诺书</w:t>
      </w:r>
    </w:p>
    <w:p w14:paraId="5559A1D2">
      <w:pPr>
        <w:pStyle w:val="12"/>
        <w:spacing w:line="260" w:lineRule="auto"/>
        <w:rPr>
          <w:rFonts w:hint="eastAsia" w:ascii="宋体" w:hAnsi="宋体" w:cs="宋体"/>
          <w:color w:val="auto"/>
          <w:highlight w:val="none"/>
        </w:rPr>
      </w:pPr>
    </w:p>
    <w:p w14:paraId="2DC34B22">
      <w:pPr>
        <w:tabs>
          <w:tab w:val="left" w:pos="3112"/>
        </w:tabs>
        <w:spacing w:before="78" w:line="376" w:lineRule="auto"/>
        <w:ind w:right="1" w:firstLine="460" w:firstLineChars="200"/>
        <w:rPr>
          <w:rFonts w:hint="eastAsia" w:ascii="宋体" w:hAnsi="宋体" w:cs="宋体"/>
          <w:color w:val="auto"/>
          <w:sz w:val="24"/>
          <w:highlight w:val="none"/>
        </w:rPr>
      </w:pPr>
      <w:r>
        <w:rPr>
          <w:rFonts w:hint="eastAsia" w:ascii="宋体" w:hAnsi="宋体" w:cs="宋体"/>
          <w:color w:val="auto"/>
          <w:spacing w:val="-5"/>
          <w:sz w:val="24"/>
          <w:highlight w:val="none"/>
          <w:u w:val="single"/>
        </w:rPr>
        <w:t xml:space="preserve">                             </w:t>
      </w:r>
      <w:r>
        <w:rPr>
          <w:rFonts w:hint="eastAsia" w:ascii="宋体" w:hAnsi="宋体" w:cs="宋体"/>
          <w:color w:val="auto"/>
          <w:spacing w:val="-5"/>
          <w:sz w:val="24"/>
          <w:highlight w:val="none"/>
        </w:rPr>
        <w:t>（单位名称或个人姓名）</w:t>
      </w:r>
      <w:r>
        <w:rPr>
          <w:rFonts w:hint="eastAsia" w:ascii="宋体" w:hAnsi="宋体" w:cs="宋体"/>
          <w:color w:val="auto"/>
          <w:sz w:val="24"/>
          <w:highlight w:val="none"/>
          <w:u w:val="single"/>
        </w:rPr>
        <w:t xml:space="preserve">                  </w:t>
      </w:r>
      <w:r>
        <w:rPr>
          <w:rFonts w:hint="eastAsia" w:ascii="宋体" w:hAnsi="宋体" w:cs="宋体"/>
          <w:color w:val="auto"/>
          <w:spacing w:val="-5"/>
          <w:sz w:val="24"/>
          <w:highlight w:val="none"/>
        </w:rPr>
        <w:t>统一</w:t>
      </w:r>
      <w:r>
        <w:rPr>
          <w:rFonts w:hint="eastAsia" w:ascii="宋体" w:hAnsi="宋体" w:cs="宋体"/>
          <w:color w:val="auto"/>
          <w:spacing w:val="-2"/>
          <w:sz w:val="24"/>
          <w:highlight w:val="none"/>
        </w:rPr>
        <w:t>社会信用代码（个人身份证号）是具备《中华人民共和国政府采购法》第二十二条条件的</w:t>
      </w:r>
      <w:r>
        <w:rPr>
          <w:rFonts w:hint="eastAsia" w:ascii="宋体" w:hAnsi="宋体" w:cs="宋体"/>
          <w:color w:val="auto"/>
          <w:spacing w:val="-1"/>
          <w:sz w:val="24"/>
          <w:highlight w:val="none"/>
        </w:rPr>
        <w:t>供应商，本单位在参加克拉玛依地区政府采购活动时，承诺如下：</w:t>
      </w:r>
    </w:p>
    <w:p w14:paraId="7D9BD773">
      <w:pPr>
        <w:spacing w:before="33" w:line="219" w:lineRule="auto"/>
        <w:ind w:left="493"/>
        <w:rPr>
          <w:rFonts w:hint="eastAsia" w:ascii="宋体" w:hAnsi="宋体" w:cs="宋体"/>
          <w:color w:val="auto"/>
          <w:sz w:val="24"/>
          <w:highlight w:val="none"/>
        </w:rPr>
      </w:pPr>
      <w:r>
        <w:rPr>
          <w:rFonts w:hint="eastAsia" w:ascii="宋体" w:hAnsi="宋体" w:cs="宋体"/>
          <w:color w:val="auto"/>
          <w:spacing w:val="-1"/>
          <w:sz w:val="24"/>
          <w:highlight w:val="none"/>
        </w:rPr>
        <w:t>（一）严格遵守国家法律法规和规章，全面履行应尽的责任和义务。</w:t>
      </w:r>
    </w:p>
    <w:p w14:paraId="6EEEACEE">
      <w:pPr>
        <w:spacing w:before="214" w:line="330" w:lineRule="auto"/>
        <w:ind w:right="1" w:firstLine="493"/>
        <w:rPr>
          <w:rFonts w:hint="eastAsia" w:ascii="宋体" w:hAnsi="宋体" w:cs="宋体"/>
          <w:color w:val="auto"/>
          <w:sz w:val="24"/>
          <w:highlight w:val="none"/>
        </w:rPr>
      </w:pPr>
      <w:r>
        <w:rPr>
          <w:rFonts w:hint="eastAsia" w:ascii="宋体" w:hAnsi="宋体" w:cs="宋体"/>
          <w:color w:val="auto"/>
          <w:spacing w:val="-2"/>
          <w:sz w:val="24"/>
          <w:highlight w:val="none"/>
        </w:rPr>
        <w:t>（二）保证参加政府采购活动时所提供资料均合法、真实、有效，并对所提供资料</w:t>
      </w:r>
      <w:r>
        <w:rPr>
          <w:rFonts w:hint="eastAsia" w:ascii="宋体" w:hAnsi="宋体" w:cs="宋体"/>
          <w:color w:val="auto"/>
          <w:spacing w:val="2"/>
          <w:sz w:val="24"/>
          <w:highlight w:val="none"/>
        </w:rPr>
        <w:t xml:space="preserve"> </w:t>
      </w:r>
      <w:r>
        <w:rPr>
          <w:rFonts w:hint="eastAsia" w:ascii="宋体" w:hAnsi="宋体" w:cs="宋体"/>
          <w:color w:val="auto"/>
          <w:spacing w:val="-1"/>
          <w:sz w:val="24"/>
          <w:highlight w:val="none"/>
        </w:rPr>
        <w:t>的真实性负责；我单位（个人）在参加政府</w:t>
      </w:r>
      <w:r>
        <w:rPr>
          <w:rFonts w:hint="eastAsia" w:ascii="宋体" w:hAnsi="宋体" w:cs="宋体"/>
          <w:color w:val="auto"/>
          <w:spacing w:val="-2"/>
          <w:sz w:val="24"/>
          <w:highlight w:val="none"/>
        </w:rPr>
        <w:t>采购活动前三年在经营活动中没有《中华人民共和国政府采购法</w:t>
      </w:r>
      <w:r>
        <w:rPr>
          <w:rFonts w:hint="eastAsia" w:ascii="宋体" w:hAnsi="宋体" w:cs="宋体"/>
          <w:color w:val="auto"/>
          <w:spacing w:val="-1"/>
          <w:sz w:val="24"/>
          <w:highlight w:val="none"/>
        </w:rPr>
        <w:t>》第二十二条第一款第（五项）所称重大违法记录。</w:t>
      </w:r>
    </w:p>
    <w:p w14:paraId="7AE33F73">
      <w:pPr>
        <w:spacing w:before="214" w:line="303" w:lineRule="auto"/>
        <w:ind w:left="3" w:right="1" w:firstLine="489"/>
        <w:rPr>
          <w:rFonts w:hint="eastAsia" w:ascii="宋体" w:hAnsi="宋体" w:cs="宋体"/>
          <w:color w:val="auto"/>
          <w:sz w:val="24"/>
          <w:highlight w:val="none"/>
        </w:rPr>
      </w:pPr>
      <w:r>
        <w:rPr>
          <w:rFonts w:hint="eastAsia" w:ascii="宋体" w:hAnsi="宋体" w:cs="宋体"/>
          <w:color w:val="auto"/>
          <w:spacing w:val="-2"/>
          <w:sz w:val="24"/>
          <w:highlight w:val="none"/>
        </w:rPr>
        <w:t>（三）承诺本单位（个人）自觉接受行政管理部门、行业组织、社会公众、新闻舆</w:t>
      </w:r>
      <w:r>
        <w:rPr>
          <w:rFonts w:hint="eastAsia" w:ascii="宋体" w:hAnsi="宋体" w:cs="宋体"/>
          <w:color w:val="auto"/>
          <w:spacing w:val="2"/>
          <w:sz w:val="24"/>
          <w:highlight w:val="none"/>
        </w:rPr>
        <w:t xml:space="preserve"> </w:t>
      </w:r>
      <w:r>
        <w:rPr>
          <w:rFonts w:hint="eastAsia" w:ascii="宋体" w:hAnsi="宋体" w:cs="宋体"/>
          <w:color w:val="auto"/>
          <w:spacing w:val="-3"/>
          <w:sz w:val="24"/>
          <w:highlight w:val="none"/>
        </w:rPr>
        <w:t>论的监督。</w:t>
      </w:r>
    </w:p>
    <w:p w14:paraId="0E7204C4">
      <w:pPr>
        <w:spacing w:before="213" w:line="301" w:lineRule="auto"/>
        <w:ind w:left="3" w:right="1" w:firstLine="489"/>
        <w:rPr>
          <w:rFonts w:hint="eastAsia" w:ascii="宋体" w:hAnsi="宋体" w:cs="宋体"/>
          <w:color w:val="auto"/>
          <w:sz w:val="24"/>
          <w:highlight w:val="none"/>
        </w:rPr>
      </w:pPr>
      <w:r>
        <w:rPr>
          <w:rFonts w:hint="eastAsia" w:ascii="宋体" w:hAnsi="宋体" w:cs="宋体"/>
          <w:color w:val="auto"/>
          <w:spacing w:val="-2"/>
          <w:sz w:val="24"/>
          <w:highlight w:val="none"/>
        </w:rPr>
        <w:t>（四）承诺本单位（个人）将按照信用管理要求，按照规定通过克拉玛依诚信网向</w:t>
      </w:r>
      <w:r>
        <w:rPr>
          <w:rFonts w:hint="eastAsia" w:ascii="宋体" w:hAnsi="宋体" w:cs="宋体"/>
          <w:color w:val="auto"/>
          <w:spacing w:val="2"/>
          <w:sz w:val="24"/>
          <w:highlight w:val="none"/>
        </w:rPr>
        <w:t xml:space="preserve"> </w:t>
      </w:r>
      <w:r>
        <w:rPr>
          <w:rFonts w:hint="eastAsia" w:ascii="宋体" w:hAnsi="宋体" w:cs="宋体"/>
          <w:color w:val="auto"/>
          <w:spacing w:val="-2"/>
          <w:sz w:val="24"/>
          <w:highlight w:val="none"/>
        </w:rPr>
        <w:t>社会公示信用信息。</w:t>
      </w:r>
    </w:p>
    <w:p w14:paraId="416D4F75">
      <w:pPr>
        <w:spacing w:before="217" w:line="302" w:lineRule="auto"/>
        <w:ind w:left="4" w:right="1" w:firstLine="488"/>
        <w:rPr>
          <w:rFonts w:hint="eastAsia" w:ascii="宋体" w:hAnsi="宋体" w:cs="宋体"/>
          <w:color w:val="auto"/>
          <w:sz w:val="24"/>
          <w:highlight w:val="none"/>
        </w:rPr>
      </w:pPr>
      <w:r>
        <w:rPr>
          <w:rFonts w:hint="eastAsia" w:ascii="宋体" w:hAnsi="宋体" w:cs="宋体"/>
          <w:color w:val="auto"/>
          <w:spacing w:val="-2"/>
          <w:sz w:val="24"/>
          <w:highlight w:val="none"/>
        </w:rPr>
        <w:t>（五）承诺本单位（个人）不制假售假、商标侵权、虚假宣传、违约毁约、价格欺</w:t>
      </w:r>
      <w:r>
        <w:rPr>
          <w:rFonts w:hint="eastAsia" w:ascii="宋体" w:hAnsi="宋体" w:cs="宋体"/>
          <w:color w:val="auto"/>
          <w:spacing w:val="2"/>
          <w:sz w:val="24"/>
          <w:highlight w:val="none"/>
        </w:rPr>
        <w:t xml:space="preserve"> </w:t>
      </w:r>
      <w:r>
        <w:rPr>
          <w:rFonts w:hint="eastAsia" w:ascii="宋体" w:hAnsi="宋体" w:cs="宋体"/>
          <w:color w:val="auto"/>
          <w:sz w:val="24"/>
          <w:highlight w:val="none"/>
        </w:rPr>
        <w:t>诈、垄断和不正当竞争，守合同、重信用，维</w:t>
      </w:r>
      <w:r>
        <w:rPr>
          <w:rFonts w:hint="eastAsia" w:ascii="宋体" w:hAnsi="宋体" w:cs="宋体"/>
          <w:color w:val="auto"/>
          <w:spacing w:val="-1"/>
          <w:sz w:val="24"/>
          <w:highlight w:val="none"/>
        </w:rPr>
        <w:t>护经营者、消费者的合法权益。</w:t>
      </w:r>
    </w:p>
    <w:p w14:paraId="44499C8C">
      <w:pPr>
        <w:spacing w:before="213" w:line="303" w:lineRule="auto"/>
        <w:ind w:left="1" w:right="1" w:firstLine="491"/>
        <w:rPr>
          <w:rFonts w:hint="eastAsia" w:ascii="宋体" w:hAnsi="宋体" w:cs="宋体"/>
          <w:color w:val="auto"/>
          <w:sz w:val="24"/>
          <w:highlight w:val="none"/>
        </w:rPr>
      </w:pPr>
      <w:r>
        <w:rPr>
          <w:rFonts w:hint="eastAsia" w:ascii="宋体" w:hAnsi="宋体" w:cs="宋体"/>
          <w:color w:val="auto"/>
          <w:spacing w:val="-2"/>
          <w:sz w:val="24"/>
          <w:highlight w:val="none"/>
        </w:rPr>
        <w:t>（六）失信主体承诺本单位（个人）依法依规接受处罚、主动积极整改、不再触犯</w:t>
      </w:r>
      <w:r>
        <w:rPr>
          <w:rFonts w:hint="eastAsia" w:ascii="宋体" w:hAnsi="宋体" w:cs="宋体"/>
          <w:color w:val="auto"/>
          <w:spacing w:val="2"/>
          <w:sz w:val="24"/>
          <w:highlight w:val="none"/>
        </w:rPr>
        <w:t xml:space="preserve"> </w:t>
      </w:r>
      <w:r>
        <w:rPr>
          <w:rFonts w:hint="eastAsia" w:ascii="宋体" w:hAnsi="宋体" w:cs="宋体"/>
          <w:color w:val="auto"/>
          <w:spacing w:val="-1"/>
          <w:sz w:val="24"/>
          <w:highlight w:val="none"/>
        </w:rPr>
        <w:t>相关法律法规、今后全面做到履约守信等。</w:t>
      </w:r>
    </w:p>
    <w:p w14:paraId="7B4AC44A">
      <w:pPr>
        <w:spacing w:before="216" w:line="343" w:lineRule="auto"/>
        <w:ind w:left="1" w:right="1" w:firstLine="491"/>
        <w:rPr>
          <w:rFonts w:hint="eastAsia" w:ascii="宋体" w:hAnsi="宋体" w:cs="宋体"/>
          <w:color w:val="auto"/>
          <w:sz w:val="24"/>
          <w:highlight w:val="none"/>
        </w:rPr>
      </w:pPr>
      <w:r>
        <w:rPr>
          <w:rFonts w:hint="eastAsia" w:ascii="宋体" w:hAnsi="宋体" w:cs="宋体"/>
          <w:color w:val="auto"/>
          <w:spacing w:val="-2"/>
          <w:sz w:val="24"/>
          <w:highlight w:val="none"/>
        </w:rPr>
        <w:t>（七）承诺本单位（个人）同意将以上承诺上网公示。若违背承诺约定，经查实，</w:t>
      </w:r>
      <w:r>
        <w:rPr>
          <w:rFonts w:hint="eastAsia" w:ascii="宋体" w:hAnsi="宋体" w:cs="宋体"/>
          <w:color w:val="auto"/>
          <w:spacing w:val="2"/>
          <w:sz w:val="24"/>
          <w:highlight w:val="none"/>
        </w:rPr>
        <w:t xml:space="preserve"> </w:t>
      </w:r>
      <w:r>
        <w:rPr>
          <w:rFonts w:hint="eastAsia" w:ascii="宋体" w:hAnsi="宋体" w:cs="宋体"/>
          <w:color w:val="auto"/>
          <w:spacing w:val="-2"/>
          <w:sz w:val="24"/>
          <w:highlight w:val="none"/>
        </w:rPr>
        <w:t>愿意接受行业主管部门和信用管理部门相应的规定处罚，承担违约责任，并依法承担相</w:t>
      </w:r>
      <w:r>
        <w:rPr>
          <w:rFonts w:hint="eastAsia" w:ascii="宋体" w:hAnsi="宋体" w:cs="宋体"/>
          <w:color w:val="auto"/>
          <w:spacing w:val="17"/>
          <w:sz w:val="24"/>
          <w:highlight w:val="none"/>
        </w:rPr>
        <w:t xml:space="preserve"> </w:t>
      </w:r>
      <w:r>
        <w:rPr>
          <w:rFonts w:hint="eastAsia" w:ascii="宋体" w:hAnsi="宋体" w:cs="宋体"/>
          <w:color w:val="auto"/>
          <w:spacing w:val="-2"/>
          <w:sz w:val="24"/>
          <w:highlight w:val="none"/>
        </w:rPr>
        <w:t>应的法律责任。自愿按照信用管理相关规定，违背承诺约定行为作为失信信息，记录到</w:t>
      </w:r>
      <w:r>
        <w:rPr>
          <w:rFonts w:hint="eastAsia" w:ascii="宋体" w:hAnsi="宋体" w:cs="宋体"/>
          <w:color w:val="auto"/>
          <w:spacing w:val="17"/>
          <w:sz w:val="24"/>
          <w:highlight w:val="none"/>
        </w:rPr>
        <w:t xml:space="preserve"> </w:t>
      </w:r>
      <w:r>
        <w:rPr>
          <w:rFonts w:hint="eastAsia" w:ascii="宋体" w:hAnsi="宋体" w:cs="宋体"/>
          <w:color w:val="auto"/>
          <w:spacing w:val="-1"/>
          <w:sz w:val="24"/>
          <w:highlight w:val="none"/>
        </w:rPr>
        <w:t>市公共信用信息管理系统平台，并予以公开。</w:t>
      </w:r>
    </w:p>
    <w:p w14:paraId="2BC242FF">
      <w:pPr>
        <w:pStyle w:val="12"/>
        <w:spacing w:line="242" w:lineRule="auto"/>
        <w:rPr>
          <w:rFonts w:hint="eastAsia" w:ascii="宋体" w:hAnsi="宋体" w:cs="宋体"/>
          <w:color w:val="auto"/>
          <w:highlight w:val="none"/>
        </w:rPr>
      </w:pPr>
    </w:p>
    <w:p w14:paraId="44586C25">
      <w:pPr>
        <w:pStyle w:val="12"/>
        <w:spacing w:line="243" w:lineRule="auto"/>
        <w:rPr>
          <w:rFonts w:hint="eastAsia" w:ascii="宋体" w:hAnsi="宋体" w:cs="宋体"/>
          <w:color w:val="auto"/>
          <w:highlight w:val="none"/>
        </w:rPr>
      </w:pPr>
    </w:p>
    <w:p w14:paraId="6D1711F1">
      <w:pPr>
        <w:pStyle w:val="12"/>
        <w:spacing w:line="243" w:lineRule="auto"/>
        <w:rPr>
          <w:rFonts w:hint="eastAsia" w:ascii="宋体" w:hAnsi="宋体" w:cs="宋体"/>
          <w:color w:val="auto"/>
          <w:highlight w:val="none"/>
        </w:rPr>
      </w:pPr>
    </w:p>
    <w:p w14:paraId="62B8798C">
      <w:pPr>
        <w:spacing w:before="78" w:line="360" w:lineRule="auto"/>
        <w:ind w:left="3248"/>
        <w:rPr>
          <w:rFonts w:hint="eastAsia" w:ascii="宋体" w:hAnsi="宋体" w:cs="宋体"/>
          <w:color w:val="auto"/>
          <w:sz w:val="24"/>
          <w:highlight w:val="none"/>
        </w:rPr>
      </w:pPr>
      <w:r>
        <w:rPr>
          <w:rFonts w:hint="eastAsia" w:ascii="宋体" w:hAnsi="宋体" w:cs="宋体"/>
          <w:color w:val="auto"/>
          <w:spacing w:val="4"/>
          <w:sz w:val="24"/>
          <w:highlight w:val="none"/>
        </w:rPr>
        <w:t>供应商</w:t>
      </w:r>
      <w:r>
        <w:rPr>
          <w:rFonts w:hint="eastAsia" w:ascii="宋体" w:hAnsi="宋体" w:cs="宋体"/>
          <w:color w:val="auto"/>
          <w:spacing w:val="-18"/>
          <w:sz w:val="24"/>
          <w:highlight w:val="none"/>
        </w:rPr>
        <w:t>：（</w:t>
      </w:r>
      <w:r>
        <w:rPr>
          <w:rFonts w:hint="eastAsia" w:ascii="宋体" w:hAnsi="宋体" w:cs="宋体"/>
          <w:color w:val="auto"/>
          <w:spacing w:val="4"/>
          <w:sz w:val="24"/>
          <w:highlight w:val="none"/>
        </w:rPr>
        <w:t>公章）</w:t>
      </w:r>
    </w:p>
    <w:p w14:paraId="2F4537A5">
      <w:pPr>
        <w:spacing w:before="78" w:line="360" w:lineRule="auto"/>
        <w:ind w:left="3248"/>
        <w:rPr>
          <w:rFonts w:hint="eastAsia" w:ascii="宋体" w:hAnsi="宋体" w:cs="宋体"/>
          <w:color w:val="auto"/>
          <w:spacing w:val="4"/>
          <w:sz w:val="24"/>
          <w:highlight w:val="none"/>
        </w:rPr>
      </w:pPr>
      <w:r>
        <w:rPr>
          <w:rFonts w:hint="eastAsia" w:ascii="宋体" w:hAnsi="宋体" w:cs="宋体"/>
          <w:color w:val="auto"/>
          <w:spacing w:val="-1"/>
          <w:sz w:val="24"/>
          <w:highlight w:val="none"/>
        </w:rPr>
        <w:t>法定代表人或授权代</w:t>
      </w:r>
      <w:r>
        <w:rPr>
          <w:rFonts w:hint="eastAsia" w:ascii="宋体" w:hAnsi="宋体" w:cs="宋体"/>
          <w:color w:val="auto"/>
          <w:spacing w:val="4"/>
          <w:sz w:val="24"/>
          <w:highlight w:val="none"/>
        </w:rPr>
        <w:t>表（签字或盖章）：</w:t>
      </w:r>
    </w:p>
    <w:p w14:paraId="55247AB6">
      <w:pPr>
        <w:spacing w:before="78" w:line="360" w:lineRule="auto"/>
        <w:ind w:left="3248"/>
        <w:rPr>
          <w:rFonts w:hint="eastAsia" w:ascii="宋体" w:hAnsi="宋体" w:cs="宋体"/>
          <w:color w:val="auto"/>
          <w:spacing w:val="4"/>
          <w:sz w:val="24"/>
          <w:highlight w:val="none"/>
        </w:rPr>
      </w:pPr>
      <w:r>
        <w:rPr>
          <w:rFonts w:hint="eastAsia" w:ascii="宋体" w:hAnsi="宋体" w:cs="宋体"/>
          <w:color w:val="auto"/>
          <w:spacing w:val="4"/>
          <w:sz w:val="24"/>
          <w:highlight w:val="none"/>
        </w:rPr>
        <w:t>日期：     年   月   日</w:t>
      </w:r>
    </w:p>
    <w:p w14:paraId="097CDFA3">
      <w:pPr>
        <w:tabs>
          <w:tab w:val="left" w:pos="360"/>
          <w:tab w:val="left" w:pos="1800"/>
        </w:tabs>
        <w:spacing w:line="360" w:lineRule="auto"/>
        <w:ind w:firstLine="3654" w:firstLineChars="1300"/>
        <w:jc w:val="left"/>
        <w:rPr>
          <w:rFonts w:hint="eastAsia" w:ascii="宋体" w:hAnsi="宋体" w:cs="宋体"/>
          <w:b/>
          <w:bCs/>
          <w:color w:val="auto"/>
          <w:sz w:val="28"/>
          <w:szCs w:val="28"/>
          <w:highlight w:val="none"/>
          <w:lang w:bidi="ar"/>
        </w:rPr>
      </w:pPr>
    </w:p>
    <w:p w14:paraId="37916207">
      <w:pPr>
        <w:tabs>
          <w:tab w:val="left" w:pos="360"/>
          <w:tab w:val="left" w:pos="1800"/>
        </w:tabs>
        <w:spacing w:line="360" w:lineRule="auto"/>
        <w:ind w:firstLine="3654" w:firstLineChars="1300"/>
        <w:jc w:val="left"/>
        <w:rPr>
          <w:rFonts w:hint="eastAsia" w:ascii="宋体" w:hAnsi="宋体" w:cs="宋体"/>
          <w:b/>
          <w:bCs/>
          <w:color w:val="auto"/>
          <w:sz w:val="28"/>
          <w:szCs w:val="28"/>
          <w:highlight w:val="none"/>
          <w:lang w:bidi="ar"/>
        </w:rPr>
      </w:pPr>
    </w:p>
    <w:p w14:paraId="33062E9A">
      <w:pPr>
        <w:spacing w:before="91" w:line="220" w:lineRule="auto"/>
        <w:ind w:left="3526"/>
        <w:rPr>
          <w:rFonts w:hint="eastAsia" w:ascii="宋体" w:hAnsi="宋体" w:cs="宋体"/>
          <w:color w:val="auto"/>
          <w:sz w:val="28"/>
          <w:szCs w:val="28"/>
          <w:highlight w:val="none"/>
        </w:rPr>
      </w:pPr>
      <w:r>
        <w:rPr>
          <w:rFonts w:hint="eastAsia" w:ascii="宋体" w:hAnsi="宋体" w:cs="宋体"/>
          <w:b/>
          <w:bCs/>
          <w:color w:val="auto"/>
          <w:spacing w:val="-12"/>
          <w:sz w:val="28"/>
          <w:szCs w:val="28"/>
          <w:highlight w:val="none"/>
        </w:rPr>
        <w:t>格式</w:t>
      </w:r>
      <w:r>
        <w:rPr>
          <w:rFonts w:hint="eastAsia" w:ascii="宋体" w:hAnsi="宋体" w:cs="宋体"/>
          <w:color w:val="auto"/>
          <w:spacing w:val="-36"/>
          <w:sz w:val="28"/>
          <w:szCs w:val="28"/>
          <w:highlight w:val="none"/>
        </w:rPr>
        <w:t xml:space="preserve"> </w:t>
      </w:r>
      <w:r>
        <w:rPr>
          <w:rFonts w:hint="eastAsia" w:ascii="宋体" w:hAnsi="宋体" w:cs="宋体"/>
          <w:b/>
          <w:bCs/>
          <w:color w:val="auto"/>
          <w:spacing w:val="-12"/>
          <w:sz w:val="28"/>
          <w:szCs w:val="28"/>
          <w:highlight w:val="none"/>
        </w:rPr>
        <w:t>13</w:t>
      </w:r>
      <w:r>
        <w:rPr>
          <w:rFonts w:hint="eastAsia" w:ascii="宋体" w:hAnsi="宋体" w:cs="宋体"/>
          <w:color w:val="auto"/>
          <w:spacing w:val="12"/>
          <w:sz w:val="28"/>
          <w:szCs w:val="28"/>
          <w:highlight w:val="none"/>
        </w:rPr>
        <w:t xml:space="preserve">  </w:t>
      </w:r>
      <w:r>
        <w:rPr>
          <w:rFonts w:hint="eastAsia" w:ascii="宋体" w:hAnsi="宋体" w:cs="宋体"/>
          <w:b/>
          <w:bCs/>
          <w:color w:val="auto"/>
          <w:spacing w:val="-12"/>
          <w:sz w:val="28"/>
          <w:szCs w:val="28"/>
          <w:highlight w:val="none"/>
        </w:rPr>
        <w:t>响 应 函</w:t>
      </w:r>
    </w:p>
    <w:p w14:paraId="1737301F">
      <w:pPr>
        <w:pStyle w:val="12"/>
        <w:spacing w:line="255" w:lineRule="auto"/>
        <w:rPr>
          <w:rFonts w:hint="eastAsia" w:ascii="宋体" w:hAnsi="宋体" w:cs="宋体"/>
          <w:color w:val="auto"/>
          <w:highlight w:val="none"/>
        </w:rPr>
      </w:pPr>
    </w:p>
    <w:p w14:paraId="33B93B14">
      <w:pPr>
        <w:tabs>
          <w:tab w:val="left" w:pos="3015"/>
        </w:tabs>
        <w:spacing w:before="78" w:line="219" w:lineRule="auto"/>
        <w:rPr>
          <w:rFonts w:hint="eastAsia" w:ascii="宋体" w:hAnsi="宋体" w:cs="宋体"/>
          <w:color w:val="auto"/>
          <w:sz w:val="24"/>
          <w:highlight w:val="none"/>
        </w:rPr>
      </w:pPr>
      <w:r>
        <w:rPr>
          <w:rFonts w:hint="eastAsia" w:ascii="宋体" w:hAnsi="宋体" w:cs="宋体"/>
          <w:color w:val="auto"/>
          <w:sz w:val="24"/>
          <w:highlight w:val="none"/>
          <w:u w:val="single"/>
        </w:rPr>
        <w:tab/>
      </w:r>
      <w:r>
        <w:rPr>
          <w:rFonts w:hint="eastAsia" w:ascii="宋体" w:hAnsi="宋体" w:cs="宋体"/>
          <w:color w:val="auto"/>
          <w:spacing w:val="3"/>
          <w:sz w:val="24"/>
          <w:highlight w:val="none"/>
        </w:rPr>
        <w:t>（采购人）：</w:t>
      </w:r>
    </w:p>
    <w:p w14:paraId="30A41ED8">
      <w:pPr>
        <w:spacing w:before="181" w:line="350" w:lineRule="auto"/>
        <w:ind w:left="8" w:right="129" w:firstLine="482"/>
        <w:rPr>
          <w:rFonts w:hint="eastAsia" w:ascii="宋体" w:hAnsi="宋体" w:cs="宋体"/>
          <w:color w:val="auto"/>
          <w:sz w:val="24"/>
          <w:highlight w:val="none"/>
        </w:rPr>
      </w:pPr>
      <w:r>
        <w:rPr>
          <w:rFonts w:hint="eastAsia" w:ascii="宋体" w:hAnsi="宋体" w:cs="宋体"/>
          <w:color w:val="auto"/>
          <w:spacing w:val="2"/>
          <w:sz w:val="24"/>
          <w:highlight w:val="none"/>
        </w:rPr>
        <w:t>我方全面研究了</w:t>
      </w:r>
      <w:r>
        <w:rPr>
          <w:rFonts w:hint="eastAsia" w:ascii="宋体" w:hAnsi="宋体" w:cs="宋体"/>
          <w:color w:val="auto"/>
          <w:spacing w:val="2"/>
          <w:sz w:val="24"/>
          <w:highlight w:val="none"/>
          <w:u w:val="single"/>
        </w:rPr>
        <w:t xml:space="preserve">         （项目名称、</w:t>
      </w:r>
      <w:r>
        <w:rPr>
          <w:rFonts w:hint="eastAsia" w:ascii="宋体" w:hAnsi="宋体" w:cs="宋体"/>
          <w:color w:val="auto"/>
          <w:spacing w:val="1"/>
          <w:sz w:val="24"/>
          <w:highlight w:val="none"/>
          <w:u w:val="single"/>
        </w:rPr>
        <w:t>项目编号）</w:t>
      </w:r>
      <w:r>
        <w:rPr>
          <w:rFonts w:hint="eastAsia" w:ascii="宋体" w:hAnsi="宋体" w:cs="宋体"/>
          <w:color w:val="auto"/>
          <w:spacing w:val="1"/>
          <w:sz w:val="24"/>
          <w:highlight w:val="none"/>
        </w:rPr>
        <w:t>的磋商文件全部内容，包括修</w:t>
      </w:r>
      <w:r>
        <w:rPr>
          <w:rFonts w:hint="eastAsia" w:ascii="宋体" w:hAnsi="宋体" w:cs="宋体"/>
          <w:color w:val="auto"/>
          <w:spacing w:val="-2"/>
          <w:sz w:val="24"/>
          <w:highlight w:val="none"/>
        </w:rPr>
        <w:t>改补充答疑文件（如有</w:t>
      </w:r>
      <w:r>
        <w:rPr>
          <w:rFonts w:hint="eastAsia" w:ascii="宋体" w:hAnsi="宋体" w:cs="宋体"/>
          <w:color w:val="auto"/>
          <w:spacing w:val="7"/>
          <w:sz w:val="24"/>
          <w:highlight w:val="none"/>
        </w:rPr>
        <w:t>），</w:t>
      </w:r>
      <w:r>
        <w:rPr>
          <w:rFonts w:hint="eastAsia" w:ascii="宋体" w:hAnsi="宋体" w:cs="宋体"/>
          <w:color w:val="auto"/>
          <w:spacing w:val="-2"/>
          <w:sz w:val="24"/>
          <w:highlight w:val="none"/>
        </w:rPr>
        <w:t>并决定参加本项目响应。我方授权</w:t>
      </w:r>
      <w:r>
        <w:rPr>
          <w:rFonts w:hint="eastAsia" w:ascii="宋体" w:hAnsi="宋体" w:cs="宋体"/>
          <w:color w:val="auto"/>
          <w:spacing w:val="22"/>
          <w:sz w:val="24"/>
          <w:highlight w:val="none"/>
          <w:u w:val="single"/>
        </w:rPr>
        <w:t xml:space="preserve">     </w:t>
      </w:r>
      <w:r>
        <w:rPr>
          <w:rFonts w:hint="eastAsia" w:ascii="宋体" w:hAnsi="宋体" w:cs="宋体"/>
          <w:color w:val="auto"/>
          <w:spacing w:val="-2"/>
          <w:sz w:val="24"/>
          <w:highlight w:val="none"/>
          <w:u w:val="single"/>
        </w:rPr>
        <w:t>（姓名、职务）</w:t>
      </w:r>
      <w:r>
        <w:rPr>
          <w:rFonts w:hint="eastAsia" w:ascii="宋体" w:hAnsi="宋体" w:cs="宋体"/>
          <w:color w:val="auto"/>
          <w:spacing w:val="-2"/>
          <w:sz w:val="24"/>
          <w:highlight w:val="none"/>
        </w:rPr>
        <w:t>代</w:t>
      </w:r>
      <w:r>
        <w:rPr>
          <w:rFonts w:hint="eastAsia" w:ascii="宋体" w:hAnsi="宋体" w:cs="宋体"/>
          <w:color w:val="auto"/>
          <w:sz w:val="24"/>
          <w:highlight w:val="none"/>
        </w:rPr>
        <w:t>表我方</w:t>
      </w:r>
      <w:r>
        <w:rPr>
          <w:rFonts w:hint="eastAsia" w:ascii="宋体" w:hAnsi="宋体" w:cs="宋体"/>
          <w:color w:val="auto"/>
          <w:sz w:val="24"/>
          <w:highlight w:val="none"/>
          <w:u w:val="single"/>
        </w:rPr>
        <w:t xml:space="preserve">         （供应商名称）</w:t>
      </w:r>
      <w:r>
        <w:rPr>
          <w:rFonts w:hint="eastAsia" w:ascii="宋体" w:hAnsi="宋体" w:cs="宋体"/>
          <w:color w:val="auto"/>
          <w:sz w:val="24"/>
          <w:highlight w:val="none"/>
        </w:rPr>
        <w:t>全权处理本</w:t>
      </w:r>
      <w:r>
        <w:rPr>
          <w:rFonts w:hint="eastAsia" w:ascii="宋体" w:hAnsi="宋体" w:cs="宋体"/>
          <w:color w:val="auto"/>
          <w:spacing w:val="-1"/>
          <w:sz w:val="24"/>
          <w:highlight w:val="none"/>
        </w:rPr>
        <w:t>项目响应的有关事宜。</w:t>
      </w:r>
    </w:p>
    <w:p w14:paraId="02E88287">
      <w:pPr>
        <w:spacing w:before="36" w:line="288" w:lineRule="auto"/>
        <w:ind w:left="12" w:right="51" w:firstLine="494"/>
        <w:rPr>
          <w:rFonts w:hint="eastAsia" w:ascii="宋体" w:hAnsi="宋体" w:cs="宋体"/>
          <w:color w:val="auto"/>
          <w:sz w:val="24"/>
          <w:highlight w:val="none"/>
        </w:rPr>
      </w:pPr>
      <w:r>
        <w:rPr>
          <w:rFonts w:hint="eastAsia" w:ascii="宋体" w:hAnsi="宋体" w:cs="宋体"/>
          <w:color w:val="auto"/>
          <w:spacing w:val="3"/>
          <w:sz w:val="24"/>
          <w:highlight w:val="none"/>
        </w:rPr>
        <w:t>1、我方自愿按照磋商文件规定的各项要求完成本次的招标项目</w:t>
      </w:r>
      <w:r>
        <w:rPr>
          <w:rFonts w:hint="eastAsia" w:ascii="宋体" w:hAnsi="宋体" w:cs="宋体"/>
          <w:color w:val="auto"/>
          <w:spacing w:val="-32"/>
          <w:sz w:val="24"/>
          <w:highlight w:val="none"/>
        </w:rPr>
        <w:t>，</w:t>
      </w:r>
      <w:r>
        <w:rPr>
          <w:rFonts w:hint="eastAsia" w:ascii="宋体" w:hAnsi="宋体" w:cs="宋体"/>
          <w:color w:val="auto"/>
          <w:spacing w:val="5"/>
          <w:sz w:val="24"/>
          <w:highlight w:val="none"/>
        </w:rPr>
        <w:t xml:space="preserve"> </w:t>
      </w:r>
      <w:r>
        <w:rPr>
          <w:rFonts w:hint="eastAsia" w:ascii="宋体" w:hAnsi="宋体" w:cs="宋体"/>
          <w:color w:val="auto"/>
          <w:spacing w:val="2"/>
          <w:sz w:val="24"/>
          <w:highlight w:val="none"/>
          <w:u w:val="single"/>
        </w:rPr>
        <w:t xml:space="preserve">       </w:t>
      </w:r>
      <w:r>
        <w:rPr>
          <w:rFonts w:hint="eastAsia" w:ascii="宋体" w:hAnsi="宋体" w:cs="宋体"/>
          <w:color w:val="auto"/>
          <w:spacing w:val="-32"/>
          <w:sz w:val="24"/>
          <w:highlight w:val="none"/>
          <w:u w:val="single"/>
        </w:rPr>
        <w:t>（</w:t>
      </w:r>
      <w:r>
        <w:rPr>
          <w:rFonts w:hint="eastAsia" w:ascii="宋体" w:hAnsi="宋体" w:cs="宋体"/>
          <w:color w:val="auto"/>
          <w:spacing w:val="3"/>
          <w:sz w:val="24"/>
          <w:highlight w:val="none"/>
          <w:u w:val="single"/>
        </w:rPr>
        <w:t>项目</w:t>
      </w:r>
      <w:r>
        <w:rPr>
          <w:rFonts w:hint="eastAsia" w:ascii="宋体" w:hAnsi="宋体" w:cs="宋体"/>
          <w:color w:val="auto"/>
          <w:spacing w:val="-3"/>
          <w:sz w:val="24"/>
          <w:highlight w:val="none"/>
          <w:u w:val="single"/>
        </w:rPr>
        <w:t>名称）</w:t>
      </w:r>
      <w:r>
        <w:rPr>
          <w:rFonts w:hint="eastAsia" w:ascii="宋体" w:hAnsi="宋体" w:cs="宋体"/>
          <w:color w:val="auto"/>
          <w:spacing w:val="-3"/>
          <w:sz w:val="24"/>
          <w:highlight w:val="none"/>
        </w:rPr>
        <w:t>投标报价为￥</w:t>
      </w:r>
      <w:r>
        <w:rPr>
          <w:rFonts w:hint="eastAsia" w:ascii="宋体" w:hAnsi="宋体" w:cs="宋体"/>
          <w:color w:val="auto"/>
          <w:spacing w:val="-96"/>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pacing w:val="-108"/>
          <w:sz w:val="24"/>
          <w:highlight w:val="none"/>
        </w:rPr>
        <w:t xml:space="preserve"> </w:t>
      </w:r>
      <w:r>
        <w:rPr>
          <w:rFonts w:hint="eastAsia" w:ascii="宋体" w:hAnsi="宋体" w:cs="宋体"/>
          <w:color w:val="auto"/>
          <w:spacing w:val="-3"/>
          <w:sz w:val="24"/>
          <w:highlight w:val="none"/>
        </w:rPr>
        <w:t>元（大写：人民币</w:t>
      </w:r>
      <w:r>
        <w:rPr>
          <w:rFonts w:hint="eastAsia" w:ascii="宋体" w:hAnsi="宋体" w:cs="宋体"/>
          <w:color w:val="auto"/>
          <w:spacing w:val="-3"/>
          <w:sz w:val="24"/>
          <w:highlight w:val="none"/>
          <w:u w:val="single"/>
        </w:rPr>
        <w:t xml:space="preserve">        </w:t>
      </w:r>
      <w:r>
        <w:rPr>
          <w:rFonts w:hint="eastAsia" w:ascii="宋体" w:hAnsi="宋体" w:cs="宋体"/>
          <w:color w:val="auto"/>
          <w:spacing w:val="-86"/>
          <w:sz w:val="24"/>
          <w:highlight w:val="none"/>
        </w:rPr>
        <w:t xml:space="preserve"> </w:t>
      </w:r>
      <w:r>
        <w:rPr>
          <w:rFonts w:hint="eastAsia" w:ascii="宋体" w:hAnsi="宋体" w:cs="宋体"/>
          <w:color w:val="auto"/>
          <w:spacing w:val="-20"/>
          <w:sz w:val="24"/>
          <w:highlight w:val="none"/>
        </w:rPr>
        <w:t>），</w:t>
      </w:r>
      <w:r>
        <w:rPr>
          <w:rFonts w:hint="eastAsia" w:ascii="宋体" w:hAnsi="宋体" w:cs="宋体"/>
          <w:color w:val="auto"/>
          <w:spacing w:val="-3"/>
          <w:sz w:val="24"/>
          <w:highlight w:val="none"/>
        </w:rPr>
        <w:t>服务期限：</w:t>
      </w:r>
      <w:r>
        <w:rPr>
          <w:rFonts w:hint="eastAsia" w:ascii="宋体" w:hAnsi="宋体" w:cs="宋体"/>
          <w:color w:val="auto"/>
          <w:spacing w:val="-3"/>
          <w:sz w:val="24"/>
          <w:highlight w:val="none"/>
          <w:u w:val="single"/>
        </w:rPr>
        <w:t xml:space="preserve">    </w:t>
      </w:r>
      <w:r>
        <w:rPr>
          <w:rFonts w:hint="eastAsia" w:ascii="宋体" w:hAnsi="宋体" w:cs="宋体"/>
          <w:color w:val="auto"/>
          <w:spacing w:val="-3"/>
          <w:sz w:val="24"/>
          <w:highlight w:val="none"/>
          <w:u w:val="single"/>
          <w:lang w:val="en-US" w:eastAsia="zh-CN"/>
        </w:rPr>
        <w:t xml:space="preserve">     </w:t>
      </w:r>
      <w:r>
        <w:rPr>
          <w:rFonts w:hint="eastAsia" w:ascii="宋体" w:hAnsi="宋体" w:cs="宋体"/>
          <w:color w:val="auto"/>
          <w:spacing w:val="-3"/>
          <w:sz w:val="24"/>
          <w:highlight w:val="none"/>
          <w:u w:val="single"/>
        </w:rPr>
        <w:t xml:space="preserve"> </w:t>
      </w:r>
      <w:r>
        <w:rPr>
          <w:rFonts w:hint="eastAsia" w:ascii="宋体" w:hAnsi="宋体" w:cs="宋体"/>
          <w:color w:val="auto"/>
          <w:spacing w:val="-4"/>
          <w:sz w:val="24"/>
          <w:highlight w:val="none"/>
          <w:u w:val="single"/>
        </w:rPr>
        <w:t xml:space="preserve">     </w:t>
      </w:r>
      <w:r>
        <w:rPr>
          <w:rFonts w:hint="eastAsia" w:ascii="宋体" w:hAnsi="宋体" w:cs="宋体"/>
          <w:color w:val="auto"/>
          <w:spacing w:val="-4"/>
          <w:sz w:val="24"/>
          <w:highlight w:val="none"/>
        </w:rPr>
        <w:t>。</w:t>
      </w:r>
    </w:p>
    <w:p w14:paraId="70620FF9">
      <w:pPr>
        <w:spacing w:before="184" w:line="289" w:lineRule="auto"/>
        <w:ind w:left="10" w:firstLine="481"/>
        <w:rPr>
          <w:rFonts w:hint="eastAsia" w:ascii="宋体" w:hAnsi="宋体" w:cs="宋体"/>
          <w:color w:val="auto"/>
          <w:sz w:val="24"/>
          <w:highlight w:val="none"/>
        </w:rPr>
      </w:pPr>
      <w:r>
        <w:rPr>
          <w:rFonts w:hint="eastAsia" w:ascii="宋体" w:hAnsi="宋体" w:cs="宋体"/>
          <w:color w:val="auto"/>
          <w:spacing w:val="-1"/>
          <w:sz w:val="24"/>
          <w:highlight w:val="none"/>
        </w:rPr>
        <w:t>2、一旦我方成交，我方将严格履行合同规定的责任和</w:t>
      </w:r>
      <w:r>
        <w:rPr>
          <w:rFonts w:hint="eastAsia" w:ascii="宋体" w:hAnsi="宋体" w:cs="宋体"/>
          <w:color w:val="auto"/>
          <w:spacing w:val="-2"/>
          <w:sz w:val="24"/>
          <w:highlight w:val="none"/>
        </w:rPr>
        <w:t>义务，保证按采购人要求及我</w:t>
      </w:r>
      <w:r>
        <w:rPr>
          <w:rFonts w:hint="eastAsia" w:ascii="宋体" w:hAnsi="宋体" w:cs="宋体"/>
          <w:color w:val="auto"/>
          <w:sz w:val="24"/>
          <w:highlight w:val="none"/>
        </w:rPr>
        <w:t xml:space="preserve"> </w:t>
      </w:r>
      <w:r>
        <w:rPr>
          <w:rFonts w:hint="eastAsia" w:ascii="宋体" w:hAnsi="宋体" w:cs="宋体"/>
          <w:color w:val="auto"/>
          <w:spacing w:val="-1"/>
          <w:sz w:val="24"/>
          <w:highlight w:val="none"/>
        </w:rPr>
        <w:t>方承诺完成所需服务及应尽义务。</w:t>
      </w:r>
    </w:p>
    <w:p w14:paraId="58B3492E">
      <w:pPr>
        <w:spacing w:before="183" w:line="288" w:lineRule="auto"/>
        <w:ind w:left="11" w:right="132" w:firstLine="482"/>
        <w:rPr>
          <w:rFonts w:hint="eastAsia" w:ascii="宋体" w:hAnsi="宋体" w:cs="宋体"/>
          <w:color w:val="auto"/>
          <w:sz w:val="24"/>
          <w:highlight w:val="none"/>
        </w:rPr>
      </w:pPr>
      <w:r>
        <w:rPr>
          <w:rFonts w:hint="eastAsia" w:ascii="宋体" w:hAnsi="宋体" w:cs="宋体"/>
          <w:color w:val="auto"/>
          <w:spacing w:val="-1"/>
          <w:sz w:val="24"/>
          <w:highlight w:val="none"/>
        </w:rPr>
        <w:t>3、我方承诺本项目响应有效期：递交响应文件截止日起</w:t>
      </w:r>
      <w:r>
        <w:rPr>
          <w:rFonts w:hint="eastAsia" w:ascii="宋体" w:hAnsi="宋体" w:cs="宋体"/>
          <w:color w:val="auto"/>
          <w:spacing w:val="-1"/>
          <w:sz w:val="24"/>
          <w:highlight w:val="none"/>
          <w:u w:val="single"/>
        </w:rPr>
        <w:t xml:space="preserve"> 60 </w:t>
      </w:r>
      <w:r>
        <w:rPr>
          <w:rFonts w:hint="eastAsia" w:ascii="宋体" w:hAnsi="宋体" w:cs="宋体"/>
          <w:color w:val="auto"/>
          <w:spacing w:val="-1"/>
          <w:sz w:val="24"/>
          <w:highlight w:val="none"/>
        </w:rPr>
        <w:t>天（</w:t>
      </w:r>
      <w:r>
        <w:rPr>
          <w:rFonts w:hint="eastAsia" w:ascii="宋体" w:hAnsi="宋体" w:cs="宋体"/>
          <w:color w:val="auto"/>
          <w:spacing w:val="-26"/>
          <w:sz w:val="24"/>
          <w:highlight w:val="none"/>
        </w:rPr>
        <w:t xml:space="preserve"> </w:t>
      </w:r>
      <w:r>
        <w:rPr>
          <w:rFonts w:hint="eastAsia" w:ascii="宋体" w:hAnsi="宋体" w:cs="宋体"/>
          <w:color w:val="auto"/>
          <w:spacing w:val="-1"/>
          <w:sz w:val="24"/>
          <w:highlight w:val="none"/>
        </w:rPr>
        <w:t>日历天）。一旦</w:t>
      </w:r>
      <w:r>
        <w:rPr>
          <w:rFonts w:hint="eastAsia" w:ascii="宋体" w:hAnsi="宋体" w:cs="宋体"/>
          <w:color w:val="auto"/>
          <w:spacing w:val="-2"/>
          <w:sz w:val="24"/>
          <w:highlight w:val="none"/>
        </w:rPr>
        <w:t>我方中标，我方将严格履行合同规定的责任和义务，保证按采购人要求及我方承诺完成</w:t>
      </w:r>
    </w:p>
    <w:p w14:paraId="2B2025BB">
      <w:pPr>
        <w:spacing w:before="183" w:line="219" w:lineRule="auto"/>
        <w:ind w:left="9"/>
        <w:rPr>
          <w:rFonts w:hint="eastAsia" w:ascii="宋体" w:hAnsi="宋体" w:cs="宋体"/>
          <w:color w:val="auto"/>
          <w:sz w:val="24"/>
          <w:highlight w:val="none"/>
        </w:rPr>
      </w:pPr>
      <w:r>
        <w:rPr>
          <w:rFonts w:hint="eastAsia" w:ascii="宋体" w:hAnsi="宋体" w:cs="宋体"/>
          <w:color w:val="auto"/>
          <w:spacing w:val="-1"/>
          <w:sz w:val="24"/>
          <w:highlight w:val="none"/>
        </w:rPr>
        <w:t>所需货物及应尽义务。</w:t>
      </w:r>
    </w:p>
    <w:p w14:paraId="04F013BE">
      <w:pPr>
        <w:spacing w:before="183" w:line="219" w:lineRule="auto"/>
        <w:ind w:left="488"/>
        <w:outlineLvl w:val="1"/>
        <w:rPr>
          <w:rFonts w:hint="eastAsia" w:ascii="宋体" w:hAnsi="宋体" w:cs="宋体"/>
          <w:color w:val="auto"/>
          <w:sz w:val="24"/>
          <w:highlight w:val="none"/>
        </w:rPr>
      </w:pPr>
      <w:r>
        <w:rPr>
          <w:rFonts w:hint="eastAsia" w:ascii="宋体" w:hAnsi="宋体" w:cs="宋体"/>
          <w:color w:val="auto"/>
          <w:sz w:val="24"/>
          <w:highlight w:val="none"/>
        </w:rPr>
        <w:t>4、我方承诺在采购文件规定的投标有效期内</w:t>
      </w:r>
      <w:r>
        <w:rPr>
          <w:rFonts w:hint="eastAsia" w:ascii="宋体" w:hAnsi="宋体" w:cs="宋体"/>
          <w:color w:val="auto"/>
          <w:spacing w:val="-1"/>
          <w:sz w:val="24"/>
          <w:highlight w:val="none"/>
        </w:rPr>
        <w:t>不撤销投标响应文件。</w:t>
      </w:r>
    </w:p>
    <w:p w14:paraId="61438F26">
      <w:pPr>
        <w:spacing w:before="183" w:line="288" w:lineRule="auto"/>
        <w:ind w:left="10" w:right="132" w:firstLine="483"/>
        <w:rPr>
          <w:rFonts w:hint="eastAsia" w:ascii="宋体" w:hAnsi="宋体" w:cs="宋体"/>
          <w:color w:val="auto"/>
          <w:sz w:val="24"/>
          <w:highlight w:val="none"/>
        </w:rPr>
      </w:pPr>
      <w:r>
        <w:rPr>
          <w:rFonts w:hint="eastAsia" w:ascii="宋体" w:hAnsi="宋体" w:cs="宋体"/>
          <w:color w:val="auto"/>
          <w:spacing w:val="2"/>
          <w:sz w:val="24"/>
          <w:highlight w:val="none"/>
        </w:rPr>
        <w:t>5、我方愿意提供采购人可能另外要求的，与</w:t>
      </w:r>
      <w:r>
        <w:rPr>
          <w:rFonts w:hint="eastAsia" w:ascii="宋体" w:hAnsi="宋体" w:cs="宋体"/>
          <w:color w:val="auto"/>
          <w:spacing w:val="1"/>
          <w:sz w:val="24"/>
          <w:highlight w:val="none"/>
        </w:rPr>
        <w:t>磋商有关的文件资料，并保证我方已</w:t>
      </w:r>
      <w:r>
        <w:rPr>
          <w:rFonts w:hint="eastAsia" w:ascii="宋体" w:hAnsi="宋体" w:cs="宋体"/>
          <w:color w:val="auto"/>
          <w:sz w:val="24"/>
          <w:highlight w:val="none"/>
        </w:rPr>
        <w:t xml:space="preserve"> </w:t>
      </w:r>
      <w:r>
        <w:rPr>
          <w:rFonts w:hint="eastAsia" w:ascii="宋体" w:hAnsi="宋体" w:cs="宋体"/>
          <w:color w:val="auto"/>
          <w:spacing w:val="-1"/>
          <w:sz w:val="24"/>
          <w:highlight w:val="none"/>
        </w:rPr>
        <w:t>提供和将要提供的文件资料是真实、准确的。</w:t>
      </w:r>
    </w:p>
    <w:p w14:paraId="1A902B9F">
      <w:pPr>
        <w:spacing w:before="183" w:line="218" w:lineRule="auto"/>
        <w:ind w:left="491"/>
        <w:rPr>
          <w:rFonts w:hint="eastAsia" w:ascii="宋体" w:hAnsi="宋体" w:cs="宋体"/>
          <w:color w:val="auto"/>
          <w:sz w:val="24"/>
          <w:highlight w:val="none"/>
        </w:rPr>
      </w:pPr>
      <w:r>
        <w:rPr>
          <w:rFonts w:hint="eastAsia" w:ascii="宋体" w:hAnsi="宋体" w:cs="宋体"/>
          <w:color w:val="auto"/>
          <w:spacing w:val="-1"/>
          <w:sz w:val="24"/>
          <w:highlight w:val="none"/>
        </w:rPr>
        <w:t>6、我方完全理解采购人不一定将合同授予最低报价的供应商的行为。</w:t>
      </w:r>
    </w:p>
    <w:p w14:paraId="0E45C0A4">
      <w:pPr>
        <w:pStyle w:val="12"/>
        <w:spacing w:line="249" w:lineRule="auto"/>
        <w:rPr>
          <w:rFonts w:hint="eastAsia" w:ascii="宋体" w:hAnsi="宋体" w:cs="宋体"/>
          <w:color w:val="auto"/>
          <w:highlight w:val="none"/>
        </w:rPr>
      </w:pPr>
    </w:p>
    <w:p w14:paraId="67CEF500">
      <w:pPr>
        <w:pStyle w:val="12"/>
        <w:spacing w:line="249" w:lineRule="auto"/>
        <w:rPr>
          <w:rFonts w:hint="eastAsia" w:ascii="宋体" w:hAnsi="宋体" w:cs="宋体"/>
          <w:color w:val="auto"/>
          <w:highlight w:val="none"/>
        </w:rPr>
      </w:pPr>
    </w:p>
    <w:p w14:paraId="35B6A57B">
      <w:pPr>
        <w:pStyle w:val="12"/>
        <w:spacing w:line="249" w:lineRule="auto"/>
        <w:rPr>
          <w:rFonts w:hint="eastAsia" w:ascii="宋体" w:hAnsi="宋体" w:cs="宋体"/>
          <w:color w:val="auto"/>
          <w:highlight w:val="none"/>
        </w:rPr>
      </w:pPr>
    </w:p>
    <w:p w14:paraId="66F8A5E7">
      <w:pPr>
        <w:pStyle w:val="12"/>
        <w:spacing w:line="249" w:lineRule="auto"/>
        <w:rPr>
          <w:rFonts w:hint="eastAsia" w:ascii="宋体" w:hAnsi="宋体" w:cs="宋体"/>
          <w:color w:val="auto"/>
          <w:highlight w:val="none"/>
        </w:rPr>
      </w:pPr>
    </w:p>
    <w:p w14:paraId="5EA74C2F">
      <w:pPr>
        <w:pStyle w:val="12"/>
        <w:spacing w:line="250" w:lineRule="auto"/>
        <w:rPr>
          <w:rFonts w:hint="eastAsia" w:ascii="宋体" w:hAnsi="宋体" w:cs="宋体"/>
          <w:color w:val="auto"/>
          <w:highlight w:val="none"/>
        </w:rPr>
      </w:pPr>
    </w:p>
    <w:p w14:paraId="55492237">
      <w:pPr>
        <w:pStyle w:val="12"/>
        <w:spacing w:line="250" w:lineRule="auto"/>
        <w:rPr>
          <w:rFonts w:hint="eastAsia" w:ascii="宋体" w:hAnsi="宋体" w:cs="宋体"/>
          <w:color w:val="auto"/>
          <w:highlight w:val="none"/>
        </w:rPr>
      </w:pPr>
    </w:p>
    <w:p w14:paraId="1CCE087C">
      <w:pPr>
        <w:spacing w:before="78" w:line="360" w:lineRule="auto"/>
        <w:ind w:left="3248"/>
        <w:rPr>
          <w:rFonts w:hint="eastAsia" w:ascii="宋体" w:hAnsi="宋体" w:cs="宋体"/>
          <w:color w:val="auto"/>
          <w:sz w:val="24"/>
          <w:highlight w:val="none"/>
        </w:rPr>
      </w:pPr>
      <w:r>
        <w:rPr>
          <w:rFonts w:hint="eastAsia" w:ascii="宋体" w:hAnsi="宋体" w:cs="宋体"/>
          <w:color w:val="auto"/>
          <w:spacing w:val="4"/>
          <w:sz w:val="24"/>
          <w:highlight w:val="none"/>
        </w:rPr>
        <w:t>供应商</w:t>
      </w:r>
      <w:r>
        <w:rPr>
          <w:rFonts w:hint="eastAsia" w:ascii="宋体" w:hAnsi="宋体" w:cs="宋体"/>
          <w:color w:val="auto"/>
          <w:spacing w:val="-18"/>
          <w:sz w:val="24"/>
          <w:highlight w:val="none"/>
        </w:rPr>
        <w:t>：（</w:t>
      </w:r>
      <w:r>
        <w:rPr>
          <w:rFonts w:hint="eastAsia" w:ascii="宋体" w:hAnsi="宋体" w:cs="宋体"/>
          <w:color w:val="auto"/>
          <w:spacing w:val="4"/>
          <w:sz w:val="24"/>
          <w:highlight w:val="none"/>
        </w:rPr>
        <w:t>公章）</w:t>
      </w:r>
    </w:p>
    <w:p w14:paraId="0115E092">
      <w:pPr>
        <w:spacing w:before="78" w:line="360" w:lineRule="auto"/>
        <w:ind w:left="3248"/>
        <w:rPr>
          <w:rFonts w:hint="eastAsia" w:ascii="宋体" w:hAnsi="宋体" w:cs="宋体"/>
          <w:color w:val="auto"/>
          <w:spacing w:val="4"/>
          <w:sz w:val="24"/>
          <w:highlight w:val="none"/>
        </w:rPr>
      </w:pPr>
      <w:r>
        <w:rPr>
          <w:rFonts w:hint="eastAsia" w:ascii="宋体" w:hAnsi="宋体" w:cs="宋体"/>
          <w:color w:val="auto"/>
          <w:spacing w:val="-1"/>
          <w:sz w:val="24"/>
          <w:highlight w:val="none"/>
        </w:rPr>
        <w:t>法定代表人或授权代</w:t>
      </w:r>
      <w:r>
        <w:rPr>
          <w:rFonts w:hint="eastAsia" w:ascii="宋体" w:hAnsi="宋体" w:cs="宋体"/>
          <w:color w:val="auto"/>
          <w:spacing w:val="4"/>
          <w:sz w:val="24"/>
          <w:highlight w:val="none"/>
        </w:rPr>
        <w:t>表（签字或盖章）：</w:t>
      </w:r>
    </w:p>
    <w:p w14:paraId="1CFE7BD7">
      <w:pPr>
        <w:spacing w:before="78" w:line="360" w:lineRule="auto"/>
        <w:ind w:left="3248"/>
        <w:rPr>
          <w:rFonts w:hint="eastAsia" w:ascii="宋体" w:hAnsi="宋体" w:cs="宋体"/>
          <w:color w:val="auto"/>
          <w:spacing w:val="4"/>
          <w:sz w:val="24"/>
          <w:highlight w:val="none"/>
        </w:rPr>
      </w:pPr>
      <w:r>
        <w:rPr>
          <w:rFonts w:hint="eastAsia" w:ascii="宋体" w:hAnsi="宋体" w:cs="宋体"/>
          <w:color w:val="auto"/>
          <w:spacing w:val="4"/>
          <w:sz w:val="24"/>
          <w:highlight w:val="none"/>
        </w:rPr>
        <w:t>日期：     年   月   日</w:t>
      </w:r>
    </w:p>
    <w:p w14:paraId="03EE8016">
      <w:pPr>
        <w:tabs>
          <w:tab w:val="left" w:pos="360"/>
          <w:tab w:val="left" w:pos="1800"/>
        </w:tabs>
        <w:ind w:firstLine="3654" w:firstLineChars="1300"/>
        <w:jc w:val="left"/>
        <w:rPr>
          <w:rFonts w:hint="eastAsia" w:ascii="宋体" w:hAnsi="宋体" w:cs="宋体"/>
          <w:b/>
          <w:bCs/>
          <w:color w:val="auto"/>
          <w:sz w:val="28"/>
          <w:szCs w:val="28"/>
          <w:highlight w:val="none"/>
          <w:lang w:bidi="ar"/>
        </w:rPr>
      </w:pPr>
    </w:p>
    <w:p w14:paraId="20718876">
      <w:pPr>
        <w:spacing w:before="183" w:line="218" w:lineRule="auto"/>
        <w:ind w:left="491"/>
        <w:rPr>
          <w:rFonts w:hint="eastAsia" w:ascii="宋体" w:hAnsi="宋体" w:cs="宋体"/>
          <w:color w:val="auto"/>
          <w:spacing w:val="-1"/>
          <w:sz w:val="24"/>
          <w:highlight w:val="none"/>
        </w:rPr>
      </w:pPr>
    </w:p>
    <w:p w14:paraId="4CB8E12F">
      <w:pPr>
        <w:spacing w:before="91" w:line="220" w:lineRule="auto"/>
        <w:ind w:left="2955"/>
        <w:rPr>
          <w:rFonts w:hint="eastAsia" w:ascii="宋体" w:hAnsi="宋体" w:cs="宋体"/>
          <w:color w:val="auto"/>
          <w:sz w:val="28"/>
          <w:szCs w:val="28"/>
          <w:highlight w:val="none"/>
        </w:rPr>
      </w:pPr>
      <w:r>
        <w:rPr>
          <w:rFonts w:hint="eastAsia" w:ascii="宋体" w:hAnsi="宋体" w:cs="宋体"/>
          <w:b/>
          <w:bCs/>
          <w:color w:val="auto"/>
          <w:sz w:val="28"/>
          <w:szCs w:val="28"/>
          <w:highlight w:val="none"/>
          <w:lang w:bidi="ar"/>
        </w:rPr>
        <w:br w:type="page"/>
      </w:r>
      <w:r>
        <w:rPr>
          <w:rFonts w:hint="eastAsia" w:ascii="宋体" w:hAnsi="宋体" w:cs="宋体"/>
          <w:b/>
          <w:bCs/>
          <w:color w:val="auto"/>
          <w:spacing w:val="-5"/>
          <w:sz w:val="28"/>
          <w:szCs w:val="28"/>
          <w:highlight w:val="none"/>
        </w:rPr>
        <w:t>格式</w:t>
      </w:r>
      <w:r>
        <w:rPr>
          <w:rFonts w:hint="eastAsia" w:ascii="宋体" w:hAnsi="宋体" w:cs="宋体"/>
          <w:color w:val="auto"/>
          <w:spacing w:val="-36"/>
          <w:sz w:val="28"/>
          <w:szCs w:val="28"/>
          <w:highlight w:val="none"/>
        </w:rPr>
        <w:t xml:space="preserve"> </w:t>
      </w:r>
      <w:r>
        <w:rPr>
          <w:rFonts w:hint="eastAsia" w:ascii="宋体" w:hAnsi="宋体" w:cs="宋体"/>
          <w:b/>
          <w:bCs/>
          <w:color w:val="auto"/>
          <w:spacing w:val="-5"/>
          <w:sz w:val="28"/>
          <w:szCs w:val="28"/>
          <w:highlight w:val="none"/>
        </w:rPr>
        <w:t>14</w:t>
      </w:r>
      <w:r>
        <w:rPr>
          <w:rFonts w:hint="eastAsia" w:ascii="宋体" w:hAnsi="宋体" w:cs="宋体"/>
          <w:color w:val="auto"/>
          <w:spacing w:val="-5"/>
          <w:sz w:val="28"/>
          <w:szCs w:val="28"/>
          <w:highlight w:val="none"/>
        </w:rPr>
        <w:t xml:space="preserve">  </w:t>
      </w:r>
      <w:r>
        <w:rPr>
          <w:rFonts w:hint="eastAsia" w:ascii="宋体" w:hAnsi="宋体" w:cs="宋体"/>
          <w:b/>
          <w:bCs/>
          <w:color w:val="auto"/>
          <w:spacing w:val="-5"/>
          <w:sz w:val="28"/>
          <w:szCs w:val="28"/>
          <w:highlight w:val="none"/>
        </w:rPr>
        <w:t>商务条款偏离表</w:t>
      </w:r>
    </w:p>
    <w:p w14:paraId="3CBFACEF">
      <w:pPr>
        <w:spacing w:before="54"/>
        <w:rPr>
          <w:rFonts w:hint="eastAsia" w:ascii="宋体" w:hAnsi="宋体" w:cs="宋体"/>
          <w:color w:val="auto"/>
          <w:highlight w:val="none"/>
        </w:rPr>
      </w:pPr>
    </w:p>
    <w:p w14:paraId="6191AA3F">
      <w:pPr>
        <w:spacing w:line="360" w:lineRule="auto"/>
        <w:ind w:firstLine="218" w:firstLineChars="91"/>
        <w:jc w:val="left"/>
        <w:rPr>
          <w:rFonts w:hint="eastAsia" w:ascii="宋体" w:hAnsi="宋体" w:cs="宋体"/>
          <w:color w:val="auto"/>
          <w:highlight w:val="none"/>
        </w:rPr>
      </w:pPr>
      <w:r>
        <w:rPr>
          <w:rFonts w:hint="eastAsia" w:ascii="宋体" w:hAnsi="宋体" w:cs="宋体"/>
          <w:color w:val="auto"/>
          <w:sz w:val="24"/>
          <w:highlight w:val="none"/>
        </w:rPr>
        <w:t>项目名称：</w:t>
      </w:r>
    </w:p>
    <w:tbl>
      <w:tblPr>
        <w:tblStyle w:val="36"/>
        <w:tblW w:w="8959" w:type="dxa"/>
        <w:tblInd w:w="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4"/>
        <w:gridCol w:w="1979"/>
        <w:gridCol w:w="1832"/>
        <w:gridCol w:w="1826"/>
        <w:gridCol w:w="2448"/>
      </w:tblGrid>
      <w:tr w14:paraId="06EDD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874" w:type="dxa"/>
            <w:noWrap w:val="0"/>
            <w:vAlign w:val="top"/>
          </w:tcPr>
          <w:p w14:paraId="0CB4779F">
            <w:pPr>
              <w:pStyle w:val="124"/>
              <w:spacing w:before="273" w:line="221" w:lineRule="auto"/>
              <w:ind w:left="203"/>
              <w:rPr>
                <w:rFonts w:hint="eastAsia"/>
                <w:color w:val="auto"/>
                <w:highlight w:val="none"/>
              </w:rPr>
            </w:pPr>
            <w:r>
              <w:rPr>
                <w:rFonts w:hint="eastAsia"/>
                <w:color w:val="auto"/>
                <w:spacing w:val="-5"/>
                <w:highlight w:val="none"/>
              </w:rPr>
              <w:t>序号</w:t>
            </w:r>
          </w:p>
        </w:tc>
        <w:tc>
          <w:tcPr>
            <w:tcW w:w="1979" w:type="dxa"/>
            <w:noWrap w:val="0"/>
            <w:vAlign w:val="top"/>
          </w:tcPr>
          <w:p w14:paraId="29366DDB">
            <w:pPr>
              <w:pStyle w:val="124"/>
              <w:spacing w:before="274" w:line="219" w:lineRule="auto"/>
              <w:ind w:left="154"/>
              <w:rPr>
                <w:rFonts w:hint="eastAsia"/>
                <w:color w:val="auto"/>
                <w:highlight w:val="none"/>
              </w:rPr>
            </w:pPr>
            <w:r>
              <w:rPr>
                <w:rFonts w:hint="eastAsia"/>
                <w:color w:val="auto"/>
                <w:spacing w:val="-2"/>
                <w:highlight w:val="none"/>
              </w:rPr>
              <w:t>磋商文件条目号</w:t>
            </w:r>
          </w:p>
        </w:tc>
        <w:tc>
          <w:tcPr>
            <w:tcW w:w="1832" w:type="dxa"/>
            <w:noWrap w:val="0"/>
            <w:vAlign w:val="top"/>
          </w:tcPr>
          <w:p w14:paraId="70711792">
            <w:pPr>
              <w:pStyle w:val="124"/>
              <w:spacing w:before="41" w:line="343" w:lineRule="auto"/>
              <w:ind w:left="446" w:right="434" w:hanging="5"/>
              <w:rPr>
                <w:rFonts w:hint="eastAsia"/>
                <w:color w:val="auto"/>
                <w:highlight w:val="none"/>
              </w:rPr>
            </w:pPr>
            <w:r>
              <w:rPr>
                <w:rFonts w:hint="eastAsia"/>
                <w:color w:val="auto"/>
                <w:spacing w:val="-3"/>
                <w:highlight w:val="none"/>
              </w:rPr>
              <w:t>磋商文件</w:t>
            </w:r>
            <w:r>
              <w:rPr>
                <w:rFonts w:hint="eastAsia"/>
                <w:color w:val="auto"/>
                <w:spacing w:val="2"/>
                <w:highlight w:val="none"/>
              </w:rPr>
              <w:t xml:space="preserve"> </w:t>
            </w:r>
            <w:r>
              <w:rPr>
                <w:rFonts w:hint="eastAsia"/>
                <w:color w:val="auto"/>
                <w:spacing w:val="-4"/>
                <w:highlight w:val="none"/>
              </w:rPr>
              <w:t>商务条款</w:t>
            </w:r>
          </w:p>
        </w:tc>
        <w:tc>
          <w:tcPr>
            <w:tcW w:w="1826" w:type="dxa"/>
            <w:noWrap w:val="0"/>
            <w:vAlign w:val="top"/>
          </w:tcPr>
          <w:p w14:paraId="13CA55A3">
            <w:pPr>
              <w:pStyle w:val="124"/>
              <w:spacing w:before="41" w:line="343" w:lineRule="auto"/>
              <w:ind w:left="443" w:right="431" w:firstLine="7"/>
              <w:rPr>
                <w:rFonts w:hint="eastAsia"/>
                <w:color w:val="auto"/>
                <w:highlight w:val="none"/>
              </w:rPr>
            </w:pPr>
            <w:r>
              <w:rPr>
                <w:rFonts w:hint="eastAsia"/>
                <w:color w:val="auto"/>
                <w:spacing w:val="-6"/>
                <w:highlight w:val="none"/>
              </w:rPr>
              <w:t>响应文件</w:t>
            </w:r>
            <w:r>
              <w:rPr>
                <w:rFonts w:hint="eastAsia"/>
                <w:color w:val="auto"/>
                <w:spacing w:val="1"/>
                <w:highlight w:val="none"/>
              </w:rPr>
              <w:t xml:space="preserve"> </w:t>
            </w:r>
            <w:r>
              <w:rPr>
                <w:rFonts w:hint="eastAsia"/>
                <w:color w:val="auto"/>
                <w:spacing w:val="-4"/>
                <w:highlight w:val="none"/>
              </w:rPr>
              <w:t>商务条款</w:t>
            </w:r>
          </w:p>
        </w:tc>
        <w:tc>
          <w:tcPr>
            <w:tcW w:w="2448" w:type="dxa"/>
            <w:noWrap w:val="0"/>
            <w:vAlign w:val="top"/>
          </w:tcPr>
          <w:p w14:paraId="0AE9970C">
            <w:pPr>
              <w:pStyle w:val="124"/>
              <w:spacing w:before="274" w:line="219" w:lineRule="auto"/>
              <w:ind w:left="748"/>
              <w:rPr>
                <w:rFonts w:hint="eastAsia"/>
                <w:color w:val="auto"/>
                <w:highlight w:val="none"/>
              </w:rPr>
            </w:pPr>
            <w:r>
              <w:rPr>
                <w:rFonts w:hint="eastAsia"/>
                <w:color w:val="auto"/>
                <w:spacing w:val="-3"/>
                <w:highlight w:val="none"/>
              </w:rPr>
              <w:t>偏离说明</w:t>
            </w:r>
          </w:p>
        </w:tc>
      </w:tr>
      <w:tr w14:paraId="03EB3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74" w:type="dxa"/>
            <w:noWrap w:val="0"/>
            <w:vAlign w:val="top"/>
          </w:tcPr>
          <w:p w14:paraId="44240CFE">
            <w:pPr>
              <w:rPr>
                <w:rFonts w:hint="eastAsia" w:ascii="宋体" w:hAnsi="宋体" w:eastAsia="宋体" w:cs="宋体"/>
                <w:color w:val="auto"/>
                <w:highlight w:val="none"/>
              </w:rPr>
            </w:pPr>
          </w:p>
        </w:tc>
        <w:tc>
          <w:tcPr>
            <w:tcW w:w="1979" w:type="dxa"/>
            <w:noWrap w:val="0"/>
            <w:vAlign w:val="top"/>
          </w:tcPr>
          <w:p w14:paraId="1F3BD494">
            <w:pPr>
              <w:rPr>
                <w:rFonts w:hint="eastAsia" w:ascii="宋体" w:hAnsi="宋体" w:eastAsia="宋体" w:cs="宋体"/>
                <w:color w:val="auto"/>
                <w:highlight w:val="none"/>
              </w:rPr>
            </w:pPr>
          </w:p>
        </w:tc>
        <w:tc>
          <w:tcPr>
            <w:tcW w:w="1832" w:type="dxa"/>
            <w:noWrap w:val="0"/>
            <w:vAlign w:val="top"/>
          </w:tcPr>
          <w:p w14:paraId="46DA0FCB">
            <w:pPr>
              <w:rPr>
                <w:rFonts w:hint="eastAsia" w:ascii="宋体" w:hAnsi="宋体" w:eastAsia="宋体" w:cs="宋体"/>
                <w:color w:val="auto"/>
                <w:highlight w:val="none"/>
              </w:rPr>
            </w:pPr>
          </w:p>
        </w:tc>
        <w:tc>
          <w:tcPr>
            <w:tcW w:w="1826" w:type="dxa"/>
            <w:noWrap w:val="0"/>
            <w:vAlign w:val="top"/>
          </w:tcPr>
          <w:p w14:paraId="5F323E33">
            <w:pPr>
              <w:rPr>
                <w:rFonts w:hint="eastAsia" w:ascii="宋体" w:hAnsi="宋体" w:eastAsia="宋体" w:cs="宋体"/>
                <w:color w:val="auto"/>
                <w:highlight w:val="none"/>
              </w:rPr>
            </w:pPr>
          </w:p>
        </w:tc>
        <w:tc>
          <w:tcPr>
            <w:tcW w:w="2448" w:type="dxa"/>
            <w:noWrap w:val="0"/>
            <w:vAlign w:val="top"/>
          </w:tcPr>
          <w:p w14:paraId="746AB14C">
            <w:pPr>
              <w:rPr>
                <w:rFonts w:hint="eastAsia" w:ascii="宋体" w:hAnsi="宋体" w:eastAsia="宋体" w:cs="宋体"/>
                <w:color w:val="auto"/>
                <w:highlight w:val="none"/>
              </w:rPr>
            </w:pPr>
          </w:p>
        </w:tc>
      </w:tr>
      <w:tr w14:paraId="62EB7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74" w:type="dxa"/>
            <w:noWrap w:val="0"/>
            <w:vAlign w:val="top"/>
          </w:tcPr>
          <w:p w14:paraId="4B58A510">
            <w:pPr>
              <w:rPr>
                <w:rFonts w:hint="eastAsia" w:ascii="宋体" w:hAnsi="宋体" w:eastAsia="宋体" w:cs="宋体"/>
                <w:color w:val="auto"/>
                <w:highlight w:val="none"/>
              </w:rPr>
            </w:pPr>
          </w:p>
        </w:tc>
        <w:tc>
          <w:tcPr>
            <w:tcW w:w="1979" w:type="dxa"/>
            <w:noWrap w:val="0"/>
            <w:vAlign w:val="top"/>
          </w:tcPr>
          <w:p w14:paraId="1577E157">
            <w:pPr>
              <w:rPr>
                <w:rFonts w:hint="eastAsia" w:ascii="宋体" w:hAnsi="宋体" w:eastAsia="宋体" w:cs="宋体"/>
                <w:color w:val="auto"/>
                <w:highlight w:val="none"/>
              </w:rPr>
            </w:pPr>
          </w:p>
        </w:tc>
        <w:tc>
          <w:tcPr>
            <w:tcW w:w="1832" w:type="dxa"/>
            <w:noWrap w:val="0"/>
            <w:vAlign w:val="top"/>
          </w:tcPr>
          <w:p w14:paraId="37EF7B1D">
            <w:pPr>
              <w:rPr>
                <w:rFonts w:hint="eastAsia" w:ascii="宋体" w:hAnsi="宋体" w:eastAsia="宋体" w:cs="宋体"/>
                <w:color w:val="auto"/>
                <w:highlight w:val="none"/>
              </w:rPr>
            </w:pPr>
          </w:p>
        </w:tc>
        <w:tc>
          <w:tcPr>
            <w:tcW w:w="1826" w:type="dxa"/>
            <w:noWrap w:val="0"/>
            <w:vAlign w:val="top"/>
          </w:tcPr>
          <w:p w14:paraId="40EE3327">
            <w:pPr>
              <w:rPr>
                <w:rFonts w:hint="eastAsia" w:ascii="宋体" w:hAnsi="宋体" w:eastAsia="宋体" w:cs="宋体"/>
                <w:color w:val="auto"/>
                <w:highlight w:val="none"/>
              </w:rPr>
            </w:pPr>
          </w:p>
        </w:tc>
        <w:tc>
          <w:tcPr>
            <w:tcW w:w="2448" w:type="dxa"/>
            <w:noWrap w:val="0"/>
            <w:vAlign w:val="top"/>
          </w:tcPr>
          <w:p w14:paraId="35E8366D">
            <w:pPr>
              <w:rPr>
                <w:rFonts w:hint="eastAsia" w:ascii="宋体" w:hAnsi="宋体" w:eastAsia="宋体" w:cs="宋体"/>
                <w:color w:val="auto"/>
                <w:highlight w:val="none"/>
              </w:rPr>
            </w:pPr>
          </w:p>
        </w:tc>
      </w:tr>
      <w:tr w14:paraId="3E80F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74" w:type="dxa"/>
            <w:noWrap w:val="0"/>
            <w:vAlign w:val="top"/>
          </w:tcPr>
          <w:p w14:paraId="4324AB42">
            <w:pPr>
              <w:rPr>
                <w:rFonts w:hint="eastAsia" w:ascii="宋体" w:hAnsi="宋体" w:eastAsia="宋体" w:cs="宋体"/>
                <w:color w:val="auto"/>
                <w:highlight w:val="none"/>
              </w:rPr>
            </w:pPr>
          </w:p>
        </w:tc>
        <w:tc>
          <w:tcPr>
            <w:tcW w:w="1979" w:type="dxa"/>
            <w:noWrap w:val="0"/>
            <w:vAlign w:val="top"/>
          </w:tcPr>
          <w:p w14:paraId="6ABF0E14">
            <w:pPr>
              <w:rPr>
                <w:rFonts w:hint="eastAsia" w:ascii="宋体" w:hAnsi="宋体" w:eastAsia="宋体" w:cs="宋体"/>
                <w:color w:val="auto"/>
                <w:highlight w:val="none"/>
              </w:rPr>
            </w:pPr>
          </w:p>
        </w:tc>
        <w:tc>
          <w:tcPr>
            <w:tcW w:w="1832" w:type="dxa"/>
            <w:noWrap w:val="0"/>
            <w:vAlign w:val="top"/>
          </w:tcPr>
          <w:p w14:paraId="70C4054E">
            <w:pPr>
              <w:rPr>
                <w:rFonts w:hint="eastAsia" w:ascii="宋体" w:hAnsi="宋体" w:eastAsia="宋体" w:cs="宋体"/>
                <w:color w:val="auto"/>
                <w:highlight w:val="none"/>
              </w:rPr>
            </w:pPr>
          </w:p>
        </w:tc>
        <w:tc>
          <w:tcPr>
            <w:tcW w:w="1826" w:type="dxa"/>
            <w:noWrap w:val="0"/>
            <w:vAlign w:val="top"/>
          </w:tcPr>
          <w:p w14:paraId="6C66DDD5">
            <w:pPr>
              <w:rPr>
                <w:rFonts w:hint="eastAsia" w:ascii="宋体" w:hAnsi="宋体" w:eastAsia="宋体" w:cs="宋体"/>
                <w:color w:val="auto"/>
                <w:highlight w:val="none"/>
              </w:rPr>
            </w:pPr>
          </w:p>
        </w:tc>
        <w:tc>
          <w:tcPr>
            <w:tcW w:w="2448" w:type="dxa"/>
            <w:noWrap w:val="0"/>
            <w:vAlign w:val="top"/>
          </w:tcPr>
          <w:p w14:paraId="4DACA6CF">
            <w:pPr>
              <w:rPr>
                <w:rFonts w:hint="eastAsia" w:ascii="宋体" w:hAnsi="宋体" w:eastAsia="宋体" w:cs="宋体"/>
                <w:color w:val="auto"/>
                <w:highlight w:val="none"/>
              </w:rPr>
            </w:pPr>
          </w:p>
        </w:tc>
      </w:tr>
      <w:tr w14:paraId="1B712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74" w:type="dxa"/>
            <w:noWrap w:val="0"/>
            <w:vAlign w:val="top"/>
          </w:tcPr>
          <w:p w14:paraId="51409A9F">
            <w:pPr>
              <w:rPr>
                <w:rFonts w:hint="eastAsia" w:ascii="宋体" w:hAnsi="宋体" w:eastAsia="宋体" w:cs="宋体"/>
                <w:color w:val="auto"/>
                <w:highlight w:val="none"/>
              </w:rPr>
            </w:pPr>
          </w:p>
        </w:tc>
        <w:tc>
          <w:tcPr>
            <w:tcW w:w="1979" w:type="dxa"/>
            <w:noWrap w:val="0"/>
            <w:vAlign w:val="top"/>
          </w:tcPr>
          <w:p w14:paraId="1989AB67">
            <w:pPr>
              <w:rPr>
                <w:rFonts w:hint="eastAsia" w:ascii="宋体" w:hAnsi="宋体" w:eastAsia="宋体" w:cs="宋体"/>
                <w:color w:val="auto"/>
                <w:highlight w:val="none"/>
              </w:rPr>
            </w:pPr>
          </w:p>
        </w:tc>
        <w:tc>
          <w:tcPr>
            <w:tcW w:w="1832" w:type="dxa"/>
            <w:noWrap w:val="0"/>
            <w:vAlign w:val="top"/>
          </w:tcPr>
          <w:p w14:paraId="080CC9DD">
            <w:pPr>
              <w:rPr>
                <w:rFonts w:hint="eastAsia" w:ascii="宋体" w:hAnsi="宋体" w:eastAsia="宋体" w:cs="宋体"/>
                <w:color w:val="auto"/>
                <w:highlight w:val="none"/>
              </w:rPr>
            </w:pPr>
          </w:p>
        </w:tc>
        <w:tc>
          <w:tcPr>
            <w:tcW w:w="1826" w:type="dxa"/>
            <w:noWrap w:val="0"/>
            <w:vAlign w:val="top"/>
          </w:tcPr>
          <w:p w14:paraId="3B08DF74">
            <w:pPr>
              <w:rPr>
                <w:rFonts w:hint="eastAsia" w:ascii="宋体" w:hAnsi="宋体" w:eastAsia="宋体" w:cs="宋体"/>
                <w:color w:val="auto"/>
                <w:highlight w:val="none"/>
              </w:rPr>
            </w:pPr>
          </w:p>
        </w:tc>
        <w:tc>
          <w:tcPr>
            <w:tcW w:w="2448" w:type="dxa"/>
            <w:noWrap w:val="0"/>
            <w:vAlign w:val="top"/>
          </w:tcPr>
          <w:p w14:paraId="72B776AE">
            <w:pPr>
              <w:rPr>
                <w:rFonts w:hint="eastAsia" w:ascii="宋体" w:hAnsi="宋体" w:eastAsia="宋体" w:cs="宋体"/>
                <w:color w:val="auto"/>
                <w:highlight w:val="none"/>
              </w:rPr>
            </w:pPr>
          </w:p>
        </w:tc>
      </w:tr>
      <w:tr w14:paraId="6D251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74" w:type="dxa"/>
            <w:noWrap w:val="0"/>
            <w:vAlign w:val="top"/>
          </w:tcPr>
          <w:p w14:paraId="508696D9">
            <w:pPr>
              <w:rPr>
                <w:rFonts w:hint="eastAsia" w:ascii="宋体" w:hAnsi="宋体" w:eastAsia="宋体" w:cs="宋体"/>
                <w:color w:val="auto"/>
                <w:highlight w:val="none"/>
              </w:rPr>
            </w:pPr>
          </w:p>
        </w:tc>
        <w:tc>
          <w:tcPr>
            <w:tcW w:w="1979" w:type="dxa"/>
            <w:noWrap w:val="0"/>
            <w:vAlign w:val="top"/>
          </w:tcPr>
          <w:p w14:paraId="33F2402B">
            <w:pPr>
              <w:rPr>
                <w:rFonts w:hint="eastAsia" w:ascii="宋体" w:hAnsi="宋体" w:eastAsia="宋体" w:cs="宋体"/>
                <w:color w:val="auto"/>
                <w:highlight w:val="none"/>
              </w:rPr>
            </w:pPr>
          </w:p>
        </w:tc>
        <w:tc>
          <w:tcPr>
            <w:tcW w:w="1832" w:type="dxa"/>
            <w:noWrap w:val="0"/>
            <w:vAlign w:val="top"/>
          </w:tcPr>
          <w:p w14:paraId="0E886FAC">
            <w:pPr>
              <w:rPr>
                <w:rFonts w:hint="eastAsia" w:ascii="宋体" w:hAnsi="宋体" w:eastAsia="宋体" w:cs="宋体"/>
                <w:color w:val="auto"/>
                <w:highlight w:val="none"/>
              </w:rPr>
            </w:pPr>
          </w:p>
        </w:tc>
        <w:tc>
          <w:tcPr>
            <w:tcW w:w="1826" w:type="dxa"/>
            <w:noWrap w:val="0"/>
            <w:vAlign w:val="top"/>
          </w:tcPr>
          <w:p w14:paraId="1C129942">
            <w:pPr>
              <w:rPr>
                <w:rFonts w:hint="eastAsia" w:ascii="宋体" w:hAnsi="宋体" w:eastAsia="宋体" w:cs="宋体"/>
                <w:color w:val="auto"/>
                <w:highlight w:val="none"/>
              </w:rPr>
            </w:pPr>
          </w:p>
        </w:tc>
        <w:tc>
          <w:tcPr>
            <w:tcW w:w="2448" w:type="dxa"/>
            <w:noWrap w:val="0"/>
            <w:vAlign w:val="top"/>
          </w:tcPr>
          <w:p w14:paraId="273BF3F5">
            <w:pPr>
              <w:rPr>
                <w:rFonts w:hint="eastAsia" w:ascii="宋体" w:hAnsi="宋体" w:eastAsia="宋体" w:cs="宋体"/>
                <w:color w:val="auto"/>
                <w:highlight w:val="none"/>
              </w:rPr>
            </w:pPr>
          </w:p>
        </w:tc>
      </w:tr>
      <w:tr w14:paraId="6D53C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74" w:type="dxa"/>
            <w:noWrap w:val="0"/>
            <w:vAlign w:val="top"/>
          </w:tcPr>
          <w:p w14:paraId="6F449720">
            <w:pPr>
              <w:rPr>
                <w:rFonts w:hint="eastAsia" w:ascii="宋体" w:hAnsi="宋体" w:eastAsia="宋体" w:cs="宋体"/>
                <w:color w:val="auto"/>
                <w:highlight w:val="none"/>
              </w:rPr>
            </w:pPr>
          </w:p>
        </w:tc>
        <w:tc>
          <w:tcPr>
            <w:tcW w:w="1979" w:type="dxa"/>
            <w:noWrap w:val="0"/>
            <w:vAlign w:val="top"/>
          </w:tcPr>
          <w:p w14:paraId="7374220C">
            <w:pPr>
              <w:rPr>
                <w:rFonts w:hint="eastAsia" w:ascii="宋体" w:hAnsi="宋体" w:eastAsia="宋体" w:cs="宋体"/>
                <w:color w:val="auto"/>
                <w:highlight w:val="none"/>
              </w:rPr>
            </w:pPr>
          </w:p>
        </w:tc>
        <w:tc>
          <w:tcPr>
            <w:tcW w:w="1832" w:type="dxa"/>
            <w:noWrap w:val="0"/>
            <w:vAlign w:val="top"/>
          </w:tcPr>
          <w:p w14:paraId="195A90F2">
            <w:pPr>
              <w:rPr>
                <w:rFonts w:hint="eastAsia" w:ascii="宋体" w:hAnsi="宋体" w:eastAsia="宋体" w:cs="宋体"/>
                <w:color w:val="auto"/>
                <w:highlight w:val="none"/>
              </w:rPr>
            </w:pPr>
          </w:p>
        </w:tc>
        <w:tc>
          <w:tcPr>
            <w:tcW w:w="1826" w:type="dxa"/>
            <w:noWrap w:val="0"/>
            <w:vAlign w:val="top"/>
          </w:tcPr>
          <w:p w14:paraId="65CB7F80">
            <w:pPr>
              <w:rPr>
                <w:rFonts w:hint="eastAsia" w:ascii="宋体" w:hAnsi="宋体" w:eastAsia="宋体" w:cs="宋体"/>
                <w:color w:val="auto"/>
                <w:highlight w:val="none"/>
              </w:rPr>
            </w:pPr>
          </w:p>
        </w:tc>
        <w:tc>
          <w:tcPr>
            <w:tcW w:w="2448" w:type="dxa"/>
            <w:noWrap w:val="0"/>
            <w:vAlign w:val="top"/>
          </w:tcPr>
          <w:p w14:paraId="6A2DB070">
            <w:pPr>
              <w:rPr>
                <w:rFonts w:hint="eastAsia" w:ascii="宋体" w:hAnsi="宋体" w:eastAsia="宋体" w:cs="宋体"/>
                <w:color w:val="auto"/>
                <w:highlight w:val="none"/>
              </w:rPr>
            </w:pPr>
          </w:p>
        </w:tc>
      </w:tr>
      <w:tr w14:paraId="23B81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74" w:type="dxa"/>
            <w:noWrap w:val="0"/>
            <w:vAlign w:val="top"/>
          </w:tcPr>
          <w:p w14:paraId="38C23B22">
            <w:pPr>
              <w:rPr>
                <w:rFonts w:hint="eastAsia" w:ascii="宋体" w:hAnsi="宋体" w:eastAsia="宋体" w:cs="宋体"/>
                <w:color w:val="auto"/>
                <w:highlight w:val="none"/>
              </w:rPr>
            </w:pPr>
          </w:p>
        </w:tc>
        <w:tc>
          <w:tcPr>
            <w:tcW w:w="1979" w:type="dxa"/>
            <w:noWrap w:val="0"/>
            <w:vAlign w:val="top"/>
          </w:tcPr>
          <w:p w14:paraId="5ECF672A">
            <w:pPr>
              <w:rPr>
                <w:rFonts w:hint="eastAsia" w:ascii="宋体" w:hAnsi="宋体" w:eastAsia="宋体" w:cs="宋体"/>
                <w:color w:val="auto"/>
                <w:highlight w:val="none"/>
              </w:rPr>
            </w:pPr>
          </w:p>
        </w:tc>
        <w:tc>
          <w:tcPr>
            <w:tcW w:w="1832" w:type="dxa"/>
            <w:noWrap w:val="0"/>
            <w:vAlign w:val="top"/>
          </w:tcPr>
          <w:p w14:paraId="459F7E41">
            <w:pPr>
              <w:rPr>
                <w:rFonts w:hint="eastAsia" w:ascii="宋体" w:hAnsi="宋体" w:eastAsia="宋体" w:cs="宋体"/>
                <w:color w:val="auto"/>
                <w:highlight w:val="none"/>
              </w:rPr>
            </w:pPr>
          </w:p>
        </w:tc>
        <w:tc>
          <w:tcPr>
            <w:tcW w:w="1826" w:type="dxa"/>
            <w:noWrap w:val="0"/>
            <w:vAlign w:val="top"/>
          </w:tcPr>
          <w:p w14:paraId="4A3DC2C6">
            <w:pPr>
              <w:rPr>
                <w:rFonts w:hint="eastAsia" w:ascii="宋体" w:hAnsi="宋体" w:eastAsia="宋体" w:cs="宋体"/>
                <w:color w:val="auto"/>
                <w:highlight w:val="none"/>
              </w:rPr>
            </w:pPr>
          </w:p>
        </w:tc>
        <w:tc>
          <w:tcPr>
            <w:tcW w:w="2448" w:type="dxa"/>
            <w:noWrap w:val="0"/>
            <w:vAlign w:val="top"/>
          </w:tcPr>
          <w:p w14:paraId="668A069F">
            <w:pPr>
              <w:rPr>
                <w:rFonts w:hint="eastAsia" w:ascii="宋体" w:hAnsi="宋体" w:eastAsia="宋体" w:cs="宋体"/>
                <w:color w:val="auto"/>
                <w:highlight w:val="none"/>
              </w:rPr>
            </w:pPr>
          </w:p>
        </w:tc>
      </w:tr>
      <w:tr w14:paraId="1029B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74" w:type="dxa"/>
            <w:noWrap w:val="0"/>
            <w:vAlign w:val="top"/>
          </w:tcPr>
          <w:p w14:paraId="342B1FD9">
            <w:pPr>
              <w:rPr>
                <w:rFonts w:hint="eastAsia" w:ascii="宋体" w:hAnsi="宋体" w:eastAsia="宋体" w:cs="宋体"/>
                <w:color w:val="auto"/>
                <w:highlight w:val="none"/>
              </w:rPr>
            </w:pPr>
          </w:p>
        </w:tc>
        <w:tc>
          <w:tcPr>
            <w:tcW w:w="1979" w:type="dxa"/>
            <w:noWrap w:val="0"/>
            <w:vAlign w:val="top"/>
          </w:tcPr>
          <w:p w14:paraId="222A0548">
            <w:pPr>
              <w:rPr>
                <w:rFonts w:hint="eastAsia" w:ascii="宋体" w:hAnsi="宋体" w:eastAsia="宋体" w:cs="宋体"/>
                <w:color w:val="auto"/>
                <w:highlight w:val="none"/>
              </w:rPr>
            </w:pPr>
          </w:p>
        </w:tc>
        <w:tc>
          <w:tcPr>
            <w:tcW w:w="1832" w:type="dxa"/>
            <w:noWrap w:val="0"/>
            <w:vAlign w:val="top"/>
          </w:tcPr>
          <w:p w14:paraId="6E5BCAAF">
            <w:pPr>
              <w:rPr>
                <w:rFonts w:hint="eastAsia" w:ascii="宋体" w:hAnsi="宋体" w:eastAsia="宋体" w:cs="宋体"/>
                <w:color w:val="auto"/>
                <w:highlight w:val="none"/>
              </w:rPr>
            </w:pPr>
          </w:p>
        </w:tc>
        <w:tc>
          <w:tcPr>
            <w:tcW w:w="1826" w:type="dxa"/>
            <w:noWrap w:val="0"/>
            <w:vAlign w:val="top"/>
          </w:tcPr>
          <w:p w14:paraId="196716A9">
            <w:pPr>
              <w:rPr>
                <w:rFonts w:hint="eastAsia" w:ascii="宋体" w:hAnsi="宋体" w:eastAsia="宋体" w:cs="宋体"/>
                <w:color w:val="auto"/>
                <w:highlight w:val="none"/>
              </w:rPr>
            </w:pPr>
          </w:p>
        </w:tc>
        <w:tc>
          <w:tcPr>
            <w:tcW w:w="2448" w:type="dxa"/>
            <w:noWrap w:val="0"/>
            <w:vAlign w:val="top"/>
          </w:tcPr>
          <w:p w14:paraId="25AC35B2">
            <w:pPr>
              <w:rPr>
                <w:rFonts w:hint="eastAsia" w:ascii="宋体" w:hAnsi="宋体" w:eastAsia="宋体" w:cs="宋体"/>
                <w:color w:val="auto"/>
                <w:highlight w:val="none"/>
              </w:rPr>
            </w:pPr>
          </w:p>
        </w:tc>
      </w:tr>
      <w:tr w14:paraId="11A15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74" w:type="dxa"/>
            <w:noWrap w:val="0"/>
            <w:vAlign w:val="top"/>
          </w:tcPr>
          <w:p w14:paraId="2066C69E">
            <w:pPr>
              <w:rPr>
                <w:rFonts w:hint="eastAsia" w:ascii="宋体" w:hAnsi="宋体" w:eastAsia="宋体" w:cs="宋体"/>
                <w:color w:val="auto"/>
                <w:highlight w:val="none"/>
              </w:rPr>
            </w:pPr>
          </w:p>
        </w:tc>
        <w:tc>
          <w:tcPr>
            <w:tcW w:w="1979" w:type="dxa"/>
            <w:noWrap w:val="0"/>
            <w:vAlign w:val="top"/>
          </w:tcPr>
          <w:p w14:paraId="718A5EE0">
            <w:pPr>
              <w:rPr>
                <w:rFonts w:hint="eastAsia" w:ascii="宋体" w:hAnsi="宋体" w:eastAsia="宋体" w:cs="宋体"/>
                <w:color w:val="auto"/>
                <w:highlight w:val="none"/>
              </w:rPr>
            </w:pPr>
          </w:p>
        </w:tc>
        <w:tc>
          <w:tcPr>
            <w:tcW w:w="1832" w:type="dxa"/>
            <w:noWrap w:val="0"/>
            <w:vAlign w:val="top"/>
          </w:tcPr>
          <w:p w14:paraId="78ADB90E">
            <w:pPr>
              <w:rPr>
                <w:rFonts w:hint="eastAsia" w:ascii="宋体" w:hAnsi="宋体" w:eastAsia="宋体" w:cs="宋体"/>
                <w:color w:val="auto"/>
                <w:highlight w:val="none"/>
              </w:rPr>
            </w:pPr>
          </w:p>
        </w:tc>
        <w:tc>
          <w:tcPr>
            <w:tcW w:w="1826" w:type="dxa"/>
            <w:noWrap w:val="0"/>
            <w:vAlign w:val="top"/>
          </w:tcPr>
          <w:p w14:paraId="61338B0A">
            <w:pPr>
              <w:rPr>
                <w:rFonts w:hint="eastAsia" w:ascii="宋体" w:hAnsi="宋体" w:eastAsia="宋体" w:cs="宋体"/>
                <w:color w:val="auto"/>
                <w:highlight w:val="none"/>
              </w:rPr>
            </w:pPr>
          </w:p>
        </w:tc>
        <w:tc>
          <w:tcPr>
            <w:tcW w:w="2448" w:type="dxa"/>
            <w:noWrap w:val="0"/>
            <w:vAlign w:val="top"/>
          </w:tcPr>
          <w:p w14:paraId="31838F66">
            <w:pPr>
              <w:rPr>
                <w:rFonts w:hint="eastAsia" w:ascii="宋体" w:hAnsi="宋体" w:eastAsia="宋体" w:cs="宋体"/>
                <w:color w:val="auto"/>
                <w:highlight w:val="none"/>
              </w:rPr>
            </w:pPr>
          </w:p>
        </w:tc>
      </w:tr>
      <w:tr w14:paraId="5D2B6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74" w:type="dxa"/>
            <w:noWrap w:val="0"/>
            <w:vAlign w:val="top"/>
          </w:tcPr>
          <w:p w14:paraId="0FF82263">
            <w:pPr>
              <w:rPr>
                <w:rFonts w:hint="eastAsia" w:ascii="宋体" w:hAnsi="宋体" w:eastAsia="宋体" w:cs="宋体"/>
                <w:color w:val="auto"/>
                <w:highlight w:val="none"/>
              </w:rPr>
            </w:pPr>
          </w:p>
        </w:tc>
        <w:tc>
          <w:tcPr>
            <w:tcW w:w="1979" w:type="dxa"/>
            <w:noWrap w:val="0"/>
            <w:vAlign w:val="top"/>
          </w:tcPr>
          <w:p w14:paraId="5555D0B7">
            <w:pPr>
              <w:rPr>
                <w:rFonts w:hint="eastAsia" w:ascii="宋体" w:hAnsi="宋体" w:eastAsia="宋体" w:cs="宋体"/>
                <w:color w:val="auto"/>
                <w:highlight w:val="none"/>
              </w:rPr>
            </w:pPr>
          </w:p>
        </w:tc>
        <w:tc>
          <w:tcPr>
            <w:tcW w:w="1832" w:type="dxa"/>
            <w:noWrap w:val="0"/>
            <w:vAlign w:val="top"/>
          </w:tcPr>
          <w:p w14:paraId="6145F8C9">
            <w:pPr>
              <w:rPr>
                <w:rFonts w:hint="eastAsia" w:ascii="宋体" w:hAnsi="宋体" w:eastAsia="宋体" w:cs="宋体"/>
                <w:color w:val="auto"/>
                <w:highlight w:val="none"/>
              </w:rPr>
            </w:pPr>
          </w:p>
        </w:tc>
        <w:tc>
          <w:tcPr>
            <w:tcW w:w="1826" w:type="dxa"/>
            <w:noWrap w:val="0"/>
            <w:vAlign w:val="top"/>
          </w:tcPr>
          <w:p w14:paraId="2F072748">
            <w:pPr>
              <w:rPr>
                <w:rFonts w:hint="eastAsia" w:ascii="宋体" w:hAnsi="宋体" w:eastAsia="宋体" w:cs="宋体"/>
                <w:color w:val="auto"/>
                <w:highlight w:val="none"/>
              </w:rPr>
            </w:pPr>
          </w:p>
        </w:tc>
        <w:tc>
          <w:tcPr>
            <w:tcW w:w="2448" w:type="dxa"/>
            <w:noWrap w:val="0"/>
            <w:vAlign w:val="top"/>
          </w:tcPr>
          <w:p w14:paraId="2BCFD727">
            <w:pPr>
              <w:rPr>
                <w:rFonts w:hint="eastAsia" w:ascii="宋体" w:hAnsi="宋体" w:eastAsia="宋体" w:cs="宋体"/>
                <w:color w:val="auto"/>
                <w:highlight w:val="none"/>
              </w:rPr>
            </w:pPr>
          </w:p>
        </w:tc>
      </w:tr>
      <w:tr w14:paraId="680BF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74" w:type="dxa"/>
            <w:noWrap w:val="0"/>
            <w:vAlign w:val="top"/>
          </w:tcPr>
          <w:p w14:paraId="0C8C6769">
            <w:pPr>
              <w:rPr>
                <w:rFonts w:hint="eastAsia" w:ascii="宋体" w:hAnsi="宋体" w:eastAsia="宋体" w:cs="宋体"/>
                <w:color w:val="auto"/>
                <w:highlight w:val="none"/>
              </w:rPr>
            </w:pPr>
          </w:p>
        </w:tc>
        <w:tc>
          <w:tcPr>
            <w:tcW w:w="1979" w:type="dxa"/>
            <w:noWrap w:val="0"/>
            <w:vAlign w:val="top"/>
          </w:tcPr>
          <w:p w14:paraId="6BA80378">
            <w:pPr>
              <w:rPr>
                <w:rFonts w:hint="eastAsia" w:ascii="宋体" w:hAnsi="宋体" w:eastAsia="宋体" w:cs="宋体"/>
                <w:color w:val="auto"/>
                <w:highlight w:val="none"/>
              </w:rPr>
            </w:pPr>
          </w:p>
        </w:tc>
        <w:tc>
          <w:tcPr>
            <w:tcW w:w="1832" w:type="dxa"/>
            <w:noWrap w:val="0"/>
            <w:vAlign w:val="top"/>
          </w:tcPr>
          <w:p w14:paraId="183B7F5F">
            <w:pPr>
              <w:rPr>
                <w:rFonts w:hint="eastAsia" w:ascii="宋体" w:hAnsi="宋体" w:eastAsia="宋体" w:cs="宋体"/>
                <w:color w:val="auto"/>
                <w:highlight w:val="none"/>
              </w:rPr>
            </w:pPr>
          </w:p>
        </w:tc>
        <w:tc>
          <w:tcPr>
            <w:tcW w:w="1826" w:type="dxa"/>
            <w:noWrap w:val="0"/>
            <w:vAlign w:val="top"/>
          </w:tcPr>
          <w:p w14:paraId="7DB90D6D">
            <w:pPr>
              <w:rPr>
                <w:rFonts w:hint="eastAsia" w:ascii="宋体" w:hAnsi="宋体" w:eastAsia="宋体" w:cs="宋体"/>
                <w:color w:val="auto"/>
                <w:highlight w:val="none"/>
              </w:rPr>
            </w:pPr>
          </w:p>
        </w:tc>
        <w:tc>
          <w:tcPr>
            <w:tcW w:w="2448" w:type="dxa"/>
            <w:noWrap w:val="0"/>
            <w:vAlign w:val="top"/>
          </w:tcPr>
          <w:p w14:paraId="0A0833B9">
            <w:pPr>
              <w:rPr>
                <w:rFonts w:hint="eastAsia" w:ascii="宋体" w:hAnsi="宋体" w:eastAsia="宋体" w:cs="宋体"/>
                <w:color w:val="auto"/>
                <w:highlight w:val="none"/>
              </w:rPr>
            </w:pPr>
          </w:p>
        </w:tc>
      </w:tr>
    </w:tbl>
    <w:p w14:paraId="55D2DF3A">
      <w:pPr>
        <w:spacing w:before="37" w:line="219" w:lineRule="auto"/>
        <w:rPr>
          <w:rFonts w:hint="eastAsia" w:ascii="宋体" w:hAnsi="宋体" w:cs="宋体"/>
          <w:color w:val="auto"/>
          <w:sz w:val="24"/>
          <w:highlight w:val="none"/>
        </w:rPr>
      </w:pPr>
      <w:r>
        <w:rPr>
          <w:rFonts w:hint="eastAsia" w:ascii="宋体" w:hAnsi="宋体" w:cs="宋体"/>
          <w:color w:val="auto"/>
          <w:sz w:val="24"/>
          <w:highlight w:val="none"/>
        </w:rPr>
        <w:t>注：1、如响应文件与磋商文件要求存在商务偏</w:t>
      </w:r>
      <w:r>
        <w:rPr>
          <w:rFonts w:hint="eastAsia" w:ascii="宋体" w:hAnsi="宋体" w:cs="宋体"/>
          <w:color w:val="auto"/>
          <w:spacing w:val="-1"/>
          <w:sz w:val="24"/>
          <w:highlight w:val="none"/>
        </w:rPr>
        <w:t>离请在此表中逐条列出。</w:t>
      </w:r>
    </w:p>
    <w:p w14:paraId="6DC43BCE">
      <w:pPr>
        <w:spacing w:before="179" w:line="347" w:lineRule="auto"/>
        <w:ind w:right="1" w:firstLine="481"/>
        <w:rPr>
          <w:rFonts w:hint="eastAsia" w:ascii="宋体" w:hAnsi="宋体" w:cs="宋体"/>
          <w:color w:val="auto"/>
          <w:sz w:val="24"/>
          <w:highlight w:val="none"/>
        </w:rPr>
      </w:pPr>
      <w:r>
        <w:rPr>
          <w:rFonts w:hint="eastAsia" w:ascii="宋体" w:hAnsi="宋体" w:cs="宋体"/>
          <w:color w:val="auto"/>
          <w:spacing w:val="2"/>
          <w:sz w:val="24"/>
          <w:highlight w:val="none"/>
        </w:rPr>
        <w:t>2、响应人按此表格式列出不影响响应实质性响应</w:t>
      </w:r>
      <w:r>
        <w:rPr>
          <w:rFonts w:hint="eastAsia" w:ascii="宋体" w:hAnsi="宋体" w:cs="宋体"/>
          <w:color w:val="auto"/>
          <w:spacing w:val="1"/>
          <w:sz w:val="24"/>
          <w:highlight w:val="none"/>
        </w:rPr>
        <w:t>的商务偏差，没有说明的其他条</w:t>
      </w:r>
      <w:r>
        <w:rPr>
          <w:rFonts w:hint="eastAsia" w:ascii="宋体" w:hAnsi="宋体" w:cs="宋体"/>
          <w:color w:val="auto"/>
          <w:sz w:val="24"/>
          <w:highlight w:val="none"/>
        </w:rPr>
        <w:t xml:space="preserve"> </w:t>
      </w:r>
      <w:r>
        <w:rPr>
          <w:rFonts w:hint="eastAsia" w:ascii="宋体" w:hAnsi="宋体" w:cs="宋体"/>
          <w:color w:val="auto"/>
          <w:spacing w:val="-1"/>
          <w:sz w:val="24"/>
          <w:highlight w:val="none"/>
        </w:rPr>
        <w:t>款将被认为完全满足磋商文件的规定。</w:t>
      </w:r>
    </w:p>
    <w:p w14:paraId="5E682BE9">
      <w:pPr>
        <w:pStyle w:val="12"/>
        <w:spacing w:line="314" w:lineRule="auto"/>
        <w:rPr>
          <w:rFonts w:hint="eastAsia" w:ascii="宋体" w:hAnsi="宋体" w:cs="宋体"/>
          <w:color w:val="auto"/>
          <w:highlight w:val="none"/>
        </w:rPr>
      </w:pPr>
    </w:p>
    <w:p w14:paraId="24747C9D">
      <w:pPr>
        <w:pStyle w:val="12"/>
        <w:spacing w:line="314" w:lineRule="auto"/>
        <w:rPr>
          <w:rFonts w:hint="eastAsia" w:ascii="宋体" w:hAnsi="宋体" w:cs="宋体"/>
          <w:color w:val="auto"/>
          <w:highlight w:val="none"/>
        </w:rPr>
      </w:pPr>
    </w:p>
    <w:p w14:paraId="1DDCA5D6">
      <w:pPr>
        <w:pStyle w:val="12"/>
        <w:spacing w:line="315" w:lineRule="auto"/>
        <w:rPr>
          <w:rFonts w:hint="eastAsia" w:ascii="宋体" w:hAnsi="宋体" w:cs="宋体"/>
          <w:color w:val="auto"/>
          <w:highlight w:val="none"/>
        </w:rPr>
      </w:pPr>
    </w:p>
    <w:p w14:paraId="24B51CA6">
      <w:pPr>
        <w:spacing w:before="183"/>
        <w:ind w:left="491" w:firstLine="3094" w:firstLineChars="1300"/>
        <w:rPr>
          <w:rFonts w:hint="eastAsia" w:ascii="宋体" w:hAnsi="宋体" w:cs="宋体"/>
          <w:color w:val="auto"/>
          <w:spacing w:val="-1"/>
          <w:sz w:val="24"/>
          <w:highlight w:val="none"/>
        </w:rPr>
      </w:pPr>
      <w:r>
        <w:rPr>
          <w:rFonts w:hint="eastAsia" w:ascii="宋体" w:hAnsi="宋体" w:cs="宋体"/>
          <w:color w:val="auto"/>
          <w:spacing w:val="-1"/>
          <w:sz w:val="24"/>
          <w:highlight w:val="none"/>
        </w:rPr>
        <w:t>供应商：（公章）</w:t>
      </w:r>
    </w:p>
    <w:p w14:paraId="4846C538">
      <w:pPr>
        <w:spacing w:before="183"/>
        <w:ind w:left="491" w:firstLine="2856" w:firstLineChars="1200"/>
        <w:rPr>
          <w:rFonts w:hint="eastAsia" w:ascii="宋体" w:hAnsi="宋体" w:cs="宋体"/>
          <w:color w:val="auto"/>
          <w:spacing w:val="-1"/>
          <w:sz w:val="24"/>
          <w:highlight w:val="none"/>
        </w:rPr>
      </w:pPr>
      <w:r>
        <w:rPr>
          <w:rFonts w:hint="eastAsia" w:ascii="宋体" w:hAnsi="宋体" w:cs="宋体"/>
          <w:color w:val="auto"/>
          <w:spacing w:val="-1"/>
          <w:sz w:val="24"/>
          <w:highlight w:val="none"/>
        </w:rPr>
        <w:t>法定代表人或授权代表（签字或盖章）：</w:t>
      </w:r>
    </w:p>
    <w:p w14:paraId="5B35D177">
      <w:pPr>
        <w:spacing w:before="183"/>
        <w:ind w:left="491" w:firstLine="3094" w:firstLineChars="1300"/>
        <w:rPr>
          <w:rFonts w:hint="eastAsia" w:ascii="宋体" w:hAnsi="宋体" w:cs="宋体"/>
          <w:color w:val="auto"/>
          <w:spacing w:val="-1"/>
          <w:sz w:val="24"/>
          <w:highlight w:val="none"/>
        </w:rPr>
      </w:pPr>
      <w:r>
        <w:rPr>
          <w:rFonts w:hint="eastAsia" w:ascii="宋体" w:hAnsi="宋体" w:cs="宋体"/>
          <w:color w:val="auto"/>
          <w:spacing w:val="-1"/>
          <w:sz w:val="24"/>
          <w:highlight w:val="none"/>
        </w:rPr>
        <w:t>日期：     年   月   日</w:t>
      </w:r>
    </w:p>
    <w:p w14:paraId="70FEE644">
      <w:pPr>
        <w:tabs>
          <w:tab w:val="left" w:pos="360"/>
          <w:tab w:val="left" w:pos="1800"/>
        </w:tabs>
        <w:ind w:firstLine="3654" w:firstLineChars="1300"/>
        <w:jc w:val="left"/>
        <w:rPr>
          <w:rFonts w:hint="eastAsia" w:ascii="宋体" w:hAnsi="宋体" w:cs="宋体"/>
          <w:b/>
          <w:bCs/>
          <w:color w:val="auto"/>
          <w:sz w:val="28"/>
          <w:szCs w:val="28"/>
          <w:highlight w:val="none"/>
          <w:lang w:bidi="ar"/>
        </w:rPr>
      </w:pPr>
    </w:p>
    <w:p w14:paraId="4B578DC1">
      <w:pPr>
        <w:tabs>
          <w:tab w:val="left" w:pos="360"/>
          <w:tab w:val="left" w:pos="1800"/>
        </w:tabs>
        <w:spacing w:line="360" w:lineRule="auto"/>
        <w:ind w:firstLine="3654" w:firstLineChars="1300"/>
        <w:jc w:val="left"/>
        <w:rPr>
          <w:rFonts w:hint="eastAsia" w:ascii="宋体" w:hAnsi="宋体" w:cs="宋体"/>
          <w:b/>
          <w:bCs/>
          <w:color w:val="auto"/>
          <w:sz w:val="28"/>
          <w:szCs w:val="28"/>
          <w:highlight w:val="none"/>
          <w:lang w:bidi="ar"/>
        </w:rPr>
      </w:pPr>
    </w:p>
    <w:p w14:paraId="0595701E">
      <w:pPr>
        <w:tabs>
          <w:tab w:val="left" w:pos="360"/>
          <w:tab w:val="left" w:pos="1800"/>
        </w:tabs>
        <w:spacing w:line="360" w:lineRule="auto"/>
        <w:ind w:firstLine="3654" w:firstLineChars="1300"/>
        <w:jc w:val="left"/>
        <w:rPr>
          <w:rFonts w:hint="eastAsia" w:ascii="宋体" w:hAnsi="宋体" w:cs="宋体"/>
          <w:b/>
          <w:bCs/>
          <w:color w:val="auto"/>
          <w:sz w:val="28"/>
          <w:szCs w:val="28"/>
          <w:highlight w:val="none"/>
          <w:lang w:bidi="ar"/>
        </w:rPr>
      </w:pPr>
    </w:p>
    <w:p w14:paraId="0DA251EC">
      <w:pPr>
        <w:tabs>
          <w:tab w:val="left" w:pos="360"/>
          <w:tab w:val="left" w:pos="1800"/>
        </w:tabs>
        <w:spacing w:line="360" w:lineRule="auto"/>
        <w:ind w:firstLine="562" w:firstLineChars="200"/>
        <w:jc w:val="center"/>
        <w:outlineLvl w:val="2"/>
        <w:rPr>
          <w:rFonts w:hint="eastAsia" w:ascii="宋体" w:hAnsi="宋体" w:cs="宋体"/>
          <w:b/>
          <w:color w:val="auto"/>
          <w:sz w:val="28"/>
          <w:szCs w:val="28"/>
          <w:highlight w:val="none"/>
        </w:rPr>
      </w:pPr>
      <w:r>
        <w:rPr>
          <w:rFonts w:hint="eastAsia" w:ascii="宋体" w:hAnsi="宋体" w:cs="宋体"/>
          <w:b/>
          <w:bCs/>
          <w:color w:val="auto"/>
          <w:sz w:val="28"/>
          <w:szCs w:val="28"/>
          <w:highlight w:val="none"/>
          <w:lang w:bidi="ar"/>
        </w:rPr>
        <w:br w:type="page"/>
      </w:r>
      <w:r>
        <w:rPr>
          <w:rFonts w:hint="eastAsia" w:ascii="宋体" w:hAnsi="宋体" w:cs="宋体"/>
          <w:b/>
          <w:bCs/>
          <w:color w:val="auto"/>
          <w:sz w:val="28"/>
          <w:szCs w:val="28"/>
          <w:highlight w:val="none"/>
          <w:lang w:bidi="ar"/>
        </w:rPr>
        <w:t xml:space="preserve"> 格式15  </w:t>
      </w:r>
      <w:r>
        <w:rPr>
          <w:rFonts w:hint="eastAsia" w:ascii="宋体" w:hAnsi="宋体" w:cs="宋体"/>
          <w:b/>
          <w:color w:val="auto"/>
          <w:sz w:val="28"/>
          <w:szCs w:val="28"/>
          <w:highlight w:val="none"/>
        </w:rPr>
        <w:t>中小企业声明函（服务）</w:t>
      </w:r>
    </w:p>
    <w:p w14:paraId="549ED1DD">
      <w:pPr>
        <w:pStyle w:val="6"/>
        <w:rPr>
          <w:rFonts w:hint="eastAsia" w:ascii="宋体" w:hAnsi="宋体" w:cs="宋体"/>
          <w:color w:val="auto"/>
          <w:highlight w:val="none"/>
        </w:rPr>
      </w:pPr>
    </w:p>
    <w:p w14:paraId="2470B589">
      <w:pPr>
        <w:pStyle w:val="31"/>
        <w:spacing w:line="360" w:lineRule="auto"/>
        <w:ind w:firstLine="420"/>
        <w:rPr>
          <w:rFonts w:hint="eastAsia"/>
          <w:color w:val="auto"/>
          <w:highlight w:val="none"/>
        </w:rPr>
      </w:pPr>
      <w:r>
        <w:rPr>
          <w:rFonts w:hint="eastAsia"/>
          <w:color w:val="auto"/>
          <w:highlight w:val="none"/>
        </w:rPr>
        <w:t>本公司（联合体）郑重声明，根据《政府采购促进中小企业发展管理办法》（财库〔2020〕46号）的规定，本公司参加</w:t>
      </w:r>
      <w:r>
        <w:rPr>
          <w:rFonts w:hint="eastAsia"/>
          <w:color w:val="auto"/>
          <w:highlight w:val="none"/>
          <w:u w:val="single"/>
        </w:rPr>
        <w:t xml:space="preserve">         </w:t>
      </w:r>
      <w:r>
        <w:rPr>
          <w:rFonts w:hint="eastAsia"/>
          <w:color w:val="auto"/>
          <w:highlight w:val="none"/>
        </w:rPr>
        <w:t>（单位名称）的</w:t>
      </w:r>
      <w:r>
        <w:rPr>
          <w:rFonts w:hint="eastAsia"/>
          <w:color w:val="auto"/>
          <w:highlight w:val="none"/>
          <w:u w:val="single"/>
        </w:rPr>
        <w:t xml:space="preserve">          </w:t>
      </w:r>
      <w:r>
        <w:rPr>
          <w:rFonts w:hint="eastAsia"/>
          <w:color w:val="auto"/>
          <w:highlight w:val="none"/>
        </w:rPr>
        <w:t>（项目名称）采购活动，服务全部符合政策要求得中小企业承接。相关企业（含联合体中的中小企业、签订分包意向协议的中小企业）的具体情况如下：</w:t>
      </w:r>
    </w:p>
    <w:p w14:paraId="368D099F">
      <w:pPr>
        <w:pStyle w:val="31"/>
        <w:numPr>
          <w:ilvl w:val="0"/>
          <w:numId w:val="6"/>
        </w:numPr>
        <w:spacing w:line="360" w:lineRule="auto"/>
        <w:ind w:firstLine="420"/>
        <w:rPr>
          <w:rFonts w:hint="eastAsia"/>
          <w:color w:val="auto"/>
          <w:highlight w:val="none"/>
        </w:rPr>
      </w:pPr>
      <w:r>
        <w:rPr>
          <w:rFonts w:hint="eastAsia"/>
          <w:color w:val="auto"/>
          <w:highlight w:val="none"/>
          <w:u w:val="single"/>
        </w:rPr>
        <w:t xml:space="preserve">      </w:t>
      </w:r>
      <w:r>
        <w:rPr>
          <w:rFonts w:hint="eastAsia"/>
          <w:color w:val="auto"/>
          <w:highlight w:val="none"/>
        </w:rPr>
        <w:t>（标的名称），属于（采购文件中明确的所属行业）；承接企业为</w:t>
      </w:r>
      <w:r>
        <w:rPr>
          <w:rFonts w:hint="eastAsia"/>
          <w:color w:val="auto"/>
          <w:highlight w:val="none"/>
          <w:u w:val="single"/>
        </w:rPr>
        <w:t xml:space="preserve">        </w:t>
      </w:r>
      <w:r>
        <w:rPr>
          <w:rFonts w:hint="eastAsia"/>
          <w:color w:val="auto"/>
          <w:highlight w:val="none"/>
        </w:rPr>
        <w:t>（企业名称），从业人员</w:t>
      </w:r>
      <w:r>
        <w:rPr>
          <w:rFonts w:hint="eastAsia"/>
          <w:color w:val="auto"/>
          <w:highlight w:val="none"/>
          <w:u w:val="single"/>
        </w:rPr>
        <w:t xml:space="preserve">    </w:t>
      </w:r>
      <w:r>
        <w:rPr>
          <w:rFonts w:hint="eastAsia"/>
          <w:color w:val="auto"/>
          <w:highlight w:val="none"/>
        </w:rPr>
        <w:t>人数，营业收入为</w:t>
      </w:r>
      <w:r>
        <w:rPr>
          <w:rFonts w:hint="eastAsia"/>
          <w:color w:val="auto"/>
          <w:highlight w:val="none"/>
          <w:u w:val="single"/>
        </w:rPr>
        <w:t xml:space="preserve">    </w:t>
      </w:r>
      <w:r>
        <w:rPr>
          <w:rFonts w:hint="eastAsia"/>
          <w:color w:val="auto"/>
          <w:highlight w:val="none"/>
        </w:rPr>
        <w:t>万元，资产总额为</w:t>
      </w:r>
      <w:r>
        <w:rPr>
          <w:rFonts w:hint="eastAsia"/>
          <w:color w:val="auto"/>
          <w:highlight w:val="none"/>
          <w:u w:val="single"/>
        </w:rPr>
        <w:t xml:space="preserve">    </w:t>
      </w:r>
      <w:r>
        <w:rPr>
          <w:rFonts w:hint="eastAsia"/>
          <w:color w:val="auto"/>
          <w:highlight w:val="none"/>
        </w:rPr>
        <w:t>万元，属于</w:t>
      </w:r>
      <w:r>
        <w:rPr>
          <w:rFonts w:hint="eastAsia"/>
          <w:color w:val="auto"/>
          <w:highlight w:val="none"/>
          <w:u w:val="single"/>
        </w:rPr>
        <w:t xml:space="preserve">     </w:t>
      </w:r>
      <w:r>
        <w:rPr>
          <w:rFonts w:hint="eastAsia"/>
          <w:color w:val="auto"/>
          <w:highlight w:val="none"/>
        </w:rPr>
        <w:t>（中型企业、小型企业、微型企业）；</w:t>
      </w:r>
    </w:p>
    <w:p w14:paraId="020B396F">
      <w:pPr>
        <w:pStyle w:val="31"/>
        <w:numPr>
          <w:ilvl w:val="0"/>
          <w:numId w:val="6"/>
        </w:numPr>
        <w:spacing w:line="360" w:lineRule="auto"/>
        <w:ind w:firstLine="420"/>
        <w:rPr>
          <w:rFonts w:hint="eastAsia"/>
          <w:color w:val="auto"/>
          <w:highlight w:val="none"/>
        </w:rPr>
      </w:pPr>
      <w:r>
        <w:rPr>
          <w:rFonts w:hint="eastAsia"/>
          <w:color w:val="auto"/>
          <w:highlight w:val="none"/>
          <w:u w:val="single"/>
        </w:rPr>
        <w:t xml:space="preserve">      </w:t>
      </w:r>
      <w:r>
        <w:rPr>
          <w:rFonts w:hint="eastAsia"/>
          <w:color w:val="auto"/>
          <w:highlight w:val="none"/>
        </w:rPr>
        <w:t>（标的名称），属于（采购文件中明确的所属行业）；承接企业为</w:t>
      </w:r>
      <w:r>
        <w:rPr>
          <w:rFonts w:hint="eastAsia"/>
          <w:color w:val="auto"/>
          <w:highlight w:val="none"/>
          <w:u w:val="single"/>
        </w:rPr>
        <w:t xml:space="preserve">    </w:t>
      </w:r>
      <w:r>
        <w:rPr>
          <w:rFonts w:hint="eastAsia"/>
          <w:color w:val="auto"/>
          <w:highlight w:val="none"/>
        </w:rPr>
        <w:t>（企业名称），从业人员</w:t>
      </w:r>
      <w:r>
        <w:rPr>
          <w:rFonts w:hint="eastAsia"/>
          <w:color w:val="auto"/>
          <w:highlight w:val="none"/>
          <w:u w:val="single"/>
        </w:rPr>
        <w:t xml:space="preserve">    </w:t>
      </w:r>
      <w:r>
        <w:rPr>
          <w:rFonts w:hint="eastAsia"/>
          <w:color w:val="auto"/>
          <w:highlight w:val="none"/>
        </w:rPr>
        <w:t>人数，营业收入为</w:t>
      </w:r>
      <w:r>
        <w:rPr>
          <w:rFonts w:hint="eastAsia"/>
          <w:color w:val="auto"/>
          <w:highlight w:val="none"/>
          <w:u w:val="single"/>
        </w:rPr>
        <w:t xml:space="preserve">    </w:t>
      </w:r>
      <w:r>
        <w:rPr>
          <w:rFonts w:hint="eastAsia"/>
          <w:color w:val="auto"/>
          <w:highlight w:val="none"/>
        </w:rPr>
        <w:t>万元，资产总额为</w:t>
      </w:r>
      <w:r>
        <w:rPr>
          <w:rFonts w:hint="eastAsia"/>
          <w:color w:val="auto"/>
          <w:highlight w:val="none"/>
          <w:u w:val="single"/>
        </w:rPr>
        <w:t xml:space="preserve">    </w:t>
      </w:r>
      <w:r>
        <w:rPr>
          <w:rFonts w:hint="eastAsia"/>
          <w:color w:val="auto"/>
          <w:highlight w:val="none"/>
        </w:rPr>
        <w:t>万元，属于</w:t>
      </w:r>
      <w:r>
        <w:rPr>
          <w:rFonts w:hint="eastAsia"/>
          <w:color w:val="auto"/>
          <w:highlight w:val="none"/>
          <w:u w:val="single"/>
        </w:rPr>
        <w:t xml:space="preserve">     </w:t>
      </w:r>
      <w:r>
        <w:rPr>
          <w:rFonts w:hint="eastAsia"/>
          <w:color w:val="auto"/>
          <w:highlight w:val="none"/>
        </w:rPr>
        <w:t>（中型企业、小型企业、微型企业）；</w:t>
      </w:r>
    </w:p>
    <w:p w14:paraId="037A0EBE">
      <w:pPr>
        <w:pStyle w:val="31"/>
        <w:spacing w:line="360" w:lineRule="auto"/>
        <w:ind w:firstLine="420"/>
        <w:rPr>
          <w:rFonts w:hint="eastAsia"/>
          <w:color w:val="auto"/>
          <w:highlight w:val="none"/>
        </w:rPr>
      </w:pPr>
      <w:r>
        <w:rPr>
          <w:rFonts w:hint="eastAsia"/>
          <w:color w:val="auto"/>
          <w:highlight w:val="none"/>
        </w:rPr>
        <w:t>……</w:t>
      </w:r>
    </w:p>
    <w:p w14:paraId="21818027">
      <w:pPr>
        <w:pStyle w:val="31"/>
        <w:spacing w:line="360" w:lineRule="auto"/>
        <w:ind w:firstLine="420"/>
        <w:rPr>
          <w:rFonts w:hint="eastAsia"/>
          <w:color w:val="auto"/>
          <w:highlight w:val="none"/>
        </w:rPr>
      </w:pPr>
      <w:r>
        <w:rPr>
          <w:rFonts w:hint="eastAsia"/>
          <w:color w:val="auto"/>
          <w:highlight w:val="none"/>
        </w:rPr>
        <w:t>以上企业，不属于大企业的分支机构，不存在控股股东为大企业的情形，也不存在与大企业的负责人为同一人的情形。</w:t>
      </w:r>
    </w:p>
    <w:p w14:paraId="7A2E7AC9">
      <w:pPr>
        <w:pStyle w:val="31"/>
        <w:spacing w:line="360" w:lineRule="auto"/>
        <w:ind w:firstLine="420"/>
        <w:rPr>
          <w:rFonts w:hint="eastAsia"/>
          <w:color w:val="auto"/>
          <w:highlight w:val="none"/>
        </w:rPr>
      </w:pPr>
      <w:r>
        <w:rPr>
          <w:rFonts w:hint="eastAsia"/>
          <w:color w:val="auto"/>
          <w:highlight w:val="none"/>
        </w:rPr>
        <w:t>本企业对上述声明内容的真实性负责。如有虚假，将依法承担相应责任。</w:t>
      </w:r>
    </w:p>
    <w:p w14:paraId="1EBFF45E">
      <w:pPr>
        <w:pStyle w:val="31"/>
        <w:spacing w:line="360" w:lineRule="auto"/>
        <w:ind w:firstLine="420"/>
        <w:rPr>
          <w:rFonts w:hint="eastAsia"/>
          <w:color w:val="auto"/>
          <w:highlight w:val="none"/>
        </w:rPr>
      </w:pPr>
    </w:p>
    <w:p w14:paraId="60D39957">
      <w:pPr>
        <w:pStyle w:val="31"/>
        <w:spacing w:line="360" w:lineRule="auto"/>
        <w:rPr>
          <w:rFonts w:hint="eastAsia"/>
          <w:color w:val="auto"/>
          <w:highlight w:val="none"/>
        </w:rPr>
      </w:pPr>
    </w:p>
    <w:p w14:paraId="00FB24DA">
      <w:pPr>
        <w:pStyle w:val="31"/>
        <w:spacing w:line="360" w:lineRule="auto"/>
        <w:ind w:firstLine="3600" w:firstLineChars="1500"/>
        <w:jc w:val="both"/>
        <w:rPr>
          <w:rFonts w:hint="eastAsia"/>
          <w:color w:val="auto"/>
          <w:highlight w:val="none"/>
        </w:rPr>
      </w:pPr>
      <w:r>
        <w:rPr>
          <w:rFonts w:hint="eastAsia"/>
          <w:color w:val="auto"/>
          <w:highlight w:val="none"/>
        </w:rPr>
        <w:t>企业名称（盖章）：</w:t>
      </w:r>
    </w:p>
    <w:p w14:paraId="1017A7EC">
      <w:pPr>
        <w:pStyle w:val="16"/>
        <w:spacing w:line="360" w:lineRule="auto"/>
        <w:ind w:firstLine="3600" w:firstLineChars="1500"/>
        <w:rPr>
          <w:rFonts w:hint="eastAsia" w:hAnsi="宋体" w:cs="宋体"/>
          <w:color w:val="auto"/>
          <w:highlight w:val="none"/>
        </w:rPr>
      </w:pPr>
      <w:r>
        <w:rPr>
          <w:rFonts w:hint="eastAsia" w:hAnsi="宋体" w:cs="宋体"/>
          <w:color w:val="auto"/>
          <w:sz w:val="24"/>
          <w:szCs w:val="24"/>
          <w:highlight w:val="none"/>
        </w:rPr>
        <w:t>日期：      年    月    日</w:t>
      </w:r>
    </w:p>
    <w:p w14:paraId="3E565628">
      <w:pPr>
        <w:widowControl/>
        <w:jc w:val="left"/>
        <w:rPr>
          <w:rFonts w:hint="eastAsia" w:ascii="宋体" w:hAnsi="宋体" w:cs="宋体"/>
          <w:color w:val="auto"/>
          <w:kern w:val="0"/>
          <w:sz w:val="22"/>
          <w:szCs w:val="22"/>
          <w:highlight w:val="none"/>
        </w:rPr>
      </w:pPr>
    </w:p>
    <w:p w14:paraId="35655070">
      <w:pPr>
        <w:widowControl/>
        <w:jc w:val="left"/>
        <w:rPr>
          <w:rFonts w:hint="eastAsia" w:ascii="宋体" w:hAnsi="宋体" w:cs="宋体"/>
          <w:color w:val="auto"/>
          <w:kern w:val="0"/>
          <w:sz w:val="22"/>
          <w:szCs w:val="22"/>
          <w:highlight w:val="none"/>
        </w:rPr>
      </w:pPr>
    </w:p>
    <w:p w14:paraId="02149BC8">
      <w:pPr>
        <w:widowControl/>
        <w:jc w:val="left"/>
        <w:rPr>
          <w:rFonts w:hint="eastAsia" w:ascii="宋体" w:hAnsi="宋体" w:cs="宋体"/>
          <w:color w:val="auto"/>
          <w:kern w:val="0"/>
          <w:sz w:val="22"/>
          <w:szCs w:val="22"/>
          <w:highlight w:val="none"/>
        </w:rPr>
      </w:pPr>
    </w:p>
    <w:p w14:paraId="6ED85AFC">
      <w:pPr>
        <w:widowControl/>
        <w:jc w:val="left"/>
        <w:rPr>
          <w:rFonts w:hint="eastAsia" w:ascii="宋体" w:hAnsi="宋体" w:cs="宋体"/>
          <w:color w:val="auto"/>
          <w:kern w:val="0"/>
          <w:sz w:val="22"/>
          <w:szCs w:val="22"/>
          <w:highlight w:val="none"/>
        </w:rPr>
      </w:pPr>
    </w:p>
    <w:p w14:paraId="5064F078">
      <w:pPr>
        <w:widowControl/>
        <w:jc w:val="left"/>
        <w:rPr>
          <w:rFonts w:hint="eastAsia" w:ascii="宋体" w:hAnsi="宋体" w:cs="宋体"/>
          <w:color w:val="auto"/>
          <w:sz w:val="28"/>
          <w:szCs w:val="36"/>
          <w:highlight w:val="none"/>
        </w:rPr>
      </w:pPr>
      <w:r>
        <w:rPr>
          <w:rFonts w:hint="eastAsia" w:ascii="宋体" w:hAnsi="宋体" w:cs="宋体"/>
          <w:color w:val="auto"/>
          <w:kern w:val="0"/>
          <w:sz w:val="22"/>
          <w:szCs w:val="22"/>
          <w:highlight w:val="none"/>
        </w:rPr>
        <w:t>从业人员、营业收入、资产总额填报上一年度数据，无上一年度数据的新成立企业可不填报。</w:t>
      </w:r>
    </w:p>
    <w:p w14:paraId="04043554">
      <w:pPr>
        <w:rPr>
          <w:rFonts w:hint="eastAsia" w:ascii="宋体" w:hAnsi="宋体" w:cs="宋体"/>
          <w:b/>
          <w:bCs/>
          <w:color w:val="auto"/>
          <w:sz w:val="28"/>
          <w:szCs w:val="28"/>
          <w:highlight w:val="none"/>
        </w:rPr>
      </w:pPr>
    </w:p>
    <w:p w14:paraId="77552F32">
      <w:pPr>
        <w:pStyle w:val="18"/>
        <w:ind w:left="0" w:firstLine="0" w:firstLineChars="0"/>
        <w:jc w:val="center"/>
        <w:rPr>
          <w:rFonts w:hint="eastAsia" w:ascii="宋体" w:hAnsi="宋体" w:cs="宋体"/>
          <w:bCs/>
          <w:color w:val="auto"/>
          <w:sz w:val="28"/>
          <w:szCs w:val="28"/>
          <w:highlight w:val="none"/>
        </w:rPr>
      </w:pPr>
      <w:r>
        <w:rPr>
          <w:rFonts w:hint="eastAsia" w:ascii="宋体" w:hAnsi="宋体" w:cs="宋体"/>
          <w:color w:val="auto"/>
          <w:highlight w:val="none"/>
        </w:rPr>
        <w:br w:type="page"/>
      </w:r>
      <w:r>
        <w:rPr>
          <w:rFonts w:hint="eastAsia" w:ascii="宋体" w:hAnsi="宋体" w:cs="宋体"/>
          <w:bCs/>
          <w:color w:val="auto"/>
          <w:sz w:val="28"/>
          <w:szCs w:val="28"/>
          <w:highlight w:val="none"/>
        </w:rPr>
        <w:t>格式16  商务报价一览表（首次）</w:t>
      </w:r>
    </w:p>
    <w:p w14:paraId="568642BD">
      <w:pPr>
        <w:spacing w:line="360" w:lineRule="auto"/>
        <w:ind w:firstLine="458" w:firstLineChars="191"/>
        <w:jc w:val="left"/>
        <w:rPr>
          <w:rFonts w:hint="eastAsia" w:ascii="宋体" w:hAnsi="宋体" w:cs="宋体"/>
          <w:color w:val="auto"/>
          <w:sz w:val="24"/>
          <w:highlight w:val="none"/>
        </w:rPr>
      </w:pPr>
      <w:r>
        <w:rPr>
          <w:rFonts w:hint="eastAsia" w:ascii="宋体" w:hAnsi="宋体" w:cs="宋体"/>
          <w:color w:val="auto"/>
          <w:sz w:val="24"/>
          <w:highlight w:val="none"/>
        </w:rPr>
        <w:t>项目名称：</w:t>
      </w:r>
    </w:p>
    <w:tbl>
      <w:tblPr>
        <w:tblStyle w:val="36"/>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8"/>
        <w:gridCol w:w="2234"/>
        <w:gridCol w:w="5507"/>
      </w:tblGrid>
      <w:tr w14:paraId="381A2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9" w:hRule="atLeast"/>
          <w:jc w:val="center"/>
        </w:trPr>
        <w:tc>
          <w:tcPr>
            <w:tcW w:w="638" w:type="dxa"/>
            <w:tcBorders>
              <w:top w:val="single" w:color="000000" w:sz="2" w:space="0"/>
              <w:left w:val="single" w:color="000000" w:sz="2" w:space="0"/>
              <w:right w:val="single" w:color="000000" w:sz="2" w:space="0"/>
            </w:tcBorders>
            <w:noWrap w:val="0"/>
            <w:vAlign w:val="center"/>
          </w:tcPr>
          <w:p w14:paraId="7653EBED">
            <w:pPr>
              <w:spacing w:line="24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741" w:type="dxa"/>
            <w:gridSpan w:val="2"/>
            <w:tcBorders>
              <w:top w:val="single" w:color="000000" w:sz="2" w:space="0"/>
              <w:left w:val="single" w:color="auto" w:sz="4" w:space="0"/>
            </w:tcBorders>
            <w:noWrap w:val="0"/>
            <w:vAlign w:val="center"/>
          </w:tcPr>
          <w:p w14:paraId="5314A9A5">
            <w:pPr>
              <w:spacing w:line="240" w:lineRule="atLeast"/>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p>
        </w:tc>
      </w:tr>
      <w:tr w14:paraId="49327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4" w:hRule="atLeast"/>
          <w:jc w:val="center"/>
        </w:trPr>
        <w:tc>
          <w:tcPr>
            <w:tcW w:w="638" w:type="dxa"/>
            <w:vMerge w:val="restart"/>
            <w:tcBorders>
              <w:top w:val="single" w:color="auto" w:sz="4" w:space="0"/>
              <w:left w:val="single" w:color="000000" w:sz="2" w:space="0"/>
              <w:right w:val="single" w:color="000000" w:sz="2" w:space="0"/>
            </w:tcBorders>
            <w:noWrap w:val="0"/>
            <w:vAlign w:val="center"/>
          </w:tcPr>
          <w:p w14:paraId="02A90662">
            <w:pPr>
              <w:spacing w:line="24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234" w:type="dxa"/>
            <w:vMerge w:val="restart"/>
            <w:tcBorders>
              <w:top w:val="single" w:color="auto" w:sz="4" w:space="0"/>
              <w:left w:val="single" w:color="auto" w:sz="4" w:space="0"/>
              <w:right w:val="single" w:color="auto" w:sz="4" w:space="0"/>
            </w:tcBorders>
            <w:noWrap w:val="0"/>
            <w:vAlign w:val="center"/>
          </w:tcPr>
          <w:p w14:paraId="51A52D0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w:t>
            </w:r>
          </w:p>
        </w:tc>
        <w:tc>
          <w:tcPr>
            <w:tcW w:w="5507" w:type="dxa"/>
            <w:tcBorders>
              <w:top w:val="single" w:color="auto" w:sz="4" w:space="0"/>
              <w:left w:val="single" w:color="auto" w:sz="4" w:space="0"/>
              <w:bottom w:val="single" w:color="auto" w:sz="4" w:space="0"/>
              <w:right w:val="single" w:color="000000" w:sz="2" w:space="0"/>
            </w:tcBorders>
            <w:noWrap w:val="0"/>
            <w:vAlign w:val="center"/>
          </w:tcPr>
          <w:p w14:paraId="7E5F9090">
            <w:pPr>
              <w:ind w:firstLine="240" w:firstLineChars="100"/>
              <w:rPr>
                <w:rFonts w:ascii="宋体" w:hAnsi="宋体" w:eastAsia="宋体" w:cs="宋体"/>
                <w:color w:val="auto"/>
                <w:sz w:val="24"/>
                <w:highlight w:val="none"/>
              </w:rPr>
            </w:pPr>
            <w:r>
              <w:rPr>
                <w:rFonts w:hint="eastAsia" w:ascii="宋体" w:hAnsi="宋体" w:eastAsia="宋体" w:cs="宋体"/>
                <w:color w:val="auto"/>
                <w:sz w:val="24"/>
                <w:highlight w:val="none"/>
              </w:rPr>
              <w:t>小写：</w:t>
            </w:r>
            <w:r>
              <w:rPr>
                <w:rFonts w:hint="eastAsia" w:ascii="仿宋" w:hAnsi="仿宋" w:eastAsia="仿宋" w:cs="仿宋"/>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tc>
      </w:tr>
      <w:tr w14:paraId="1753D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7" w:hRule="atLeast"/>
          <w:jc w:val="center"/>
        </w:trPr>
        <w:tc>
          <w:tcPr>
            <w:tcW w:w="638" w:type="dxa"/>
            <w:vMerge w:val="continue"/>
            <w:tcBorders>
              <w:left w:val="single" w:color="000000" w:sz="2" w:space="0"/>
              <w:right w:val="single" w:color="000000" w:sz="2" w:space="0"/>
            </w:tcBorders>
            <w:noWrap w:val="0"/>
            <w:vAlign w:val="center"/>
          </w:tcPr>
          <w:p w14:paraId="6CBBDA24">
            <w:pPr>
              <w:spacing w:line="240" w:lineRule="atLeast"/>
              <w:jc w:val="center"/>
              <w:rPr>
                <w:rFonts w:hint="eastAsia" w:ascii="宋体" w:hAnsi="宋体" w:eastAsia="宋体" w:cs="宋体"/>
                <w:color w:val="auto"/>
                <w:sz w:val="24"/>
                <w:highlight w:val="none"/>
              </w:rPr>
            </w:pPr>
          </w:p>
        </w:tc>
        <w:tc>
          <w:tcPr>
            <w:tcW w:w="2234" w:type="dxa"/>
            <w:vMerge w:val="continue"/>
            <w:tcBorders>
              <w:left w:val="single" w:color="auto" w:sz="4" w:space="0"/>
              <w:bottom w:val="single" w:color="auto" w:sz="4" w:space="0"/>
              <w:right w:val="single" w:color="auto" w:sz="4" w:space="0"/>
            </w:tcBorders>
            <w:noWrap w:val="0"/>
            <w:vAlign w:val="center"/>
          </w:tcPr>
          <w:p w14:paraId="41F4E061">
            <w:pPr>
              <w:jc w:val="center"/>
              <w:rPr>
                <w:rFonts w:hint="eastAsia" w:ascii="宋体" w:hAnsi="宋体" w:eastAsia="宋体" w:cs="宋体"/>
                <w:color w:val="auto"/>
                <w:sz w:val="24"/>
                <w:highlight w:val="none"/>
              </w:rPr>
            </w:pPr>
          </w:p>
        </w:tc>
        <w:tc>
          <w:tcPr>
            <w:tcW w:w="5507" w:type="dxa"/>
            <w:tcBorders>
              <w:top w:val="single" w:color="auto" w:sz="4" w:space="0"/>
              <w:left w:val="single" w:color="auto" w:sz="4" w:space="0"/>
              <w:bottom w:val="single" w:color="auto" w:sz="4" w:space="0"/>
              <w:right w:val="single" w:color="000000" w:sz="2" w:space="0"/>
            </w:tcBorders>
            <w:noWrap w:val="0"/>
            <w:vAlign w:val="center"/>
          </w:tcPr>
          <w:p w14:paraId="0E22E28B">
            <w:pPr>
              <w:ind w:firstLine="240" w:firstLineChars="100"/>
              <w:rPr>
                <w:rFonts w:ascii="宋体" w:hAnsi="宋体" w:eastAsia="宋体" w:cs="宋体"/>
                <w:color w:val="auto"/>
                <w:sz w:val="24"/>
                <w:highlight w:val="none"/>
              </w:rPr>
            </w:pPr>
            <w:r>
              <w:rPr>
                <w:rFonts w:hint="eastAsia" w:ascii="宋体" w:hAnsi="宋体" w:eastAsia="宋体" w:cs="宋体"/>
                <w:color w:val="auto"/>
                <w:sz w:val="24"/>
                <w:highlight w:val="none"/>
              </w:rPr>
              <w:t>大写：</w:t>
            </w:r>
          </w:p>
        </w:tc>
      </w:tr>
      <w:tr w14:paraId="53B21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7" w:hRule="atLeast"/>
          <w:jc w:val="center"/>
        </w:trPr>
        <w:tc>
          <w:tcPr>
            <w:tcW w:w="638" w:type="dxa"/>
            <w:tcBorders>
              <w:left w:val="single" w:color="000000" w:sz="2" w:space="0"/>
              <w:bottom w:val="single" w:color="000000" w:sz="2" w:space="0"/>
              <w:right w:val="single" w:color="000000" w:sz="2" w:space="0"/>
            </w:tcBorders>
            <w:noWrap w:val="0"/>
            <w:vAlign w:val="center"/>
          </w:tcPr>
          <w:p w14:paraId="36B9F53C">
            <w:pPr>
              <w:spacing w:line="24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234" w:type="dxa"/>
            <w:tcBorders>
              <w:top w:val="single" w:color="auto" w:sz="4" w:space="0"/>
              <w:left w:val="single" w:color="auto" w:sz="4" w:space="0"/>
              <w:bottom w:val="single" w:color="000000" w:sz="2" w:space="0"/>
              <w:right w:val="single" w:color="auto" w:sz="4" w:space="0"/>
            </w:tcBorders>
            <w:noWrap w:val="0"/>
            <w:vAlign w:val="center"/>
          </w:tcPr>
          <w:p w14:paraId="56610953">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服务期限</w:t>
            </w:r>
          </w:p>
        </w:tc>
        <w:tc>
          <w:tcPr>
            <w:tcW w:w="5507" w:type="dxa"/>
            <w:tcBorders>
              <w:top w:val="single" w:color="auto" w:sz="4" w:space="0"/>
              <w:left w:val="single" w:color="auto" w:sz="4" w:space="0"/>
              <w:bottom w:val="single" w:color="000000" w:sz="2" w:space="0"/>
              <w:right w:val="single" w:color="000000" w:sz="2" w:space="0"/>
            </w:tcBorders>
            <w:noWrap w:val="0"/>
            <w:vAlign w:val="center"/>
          </w:tcPr>
          <w:p w14:paraId="1F6A9C68">
            <w:pPr>
              <w:ind w:firstLine="240" w:firstLineChars="100"/>
              <w:rPr>
                <w:rFonts w:ascii="宋体" w:hAnsi="宋体" w:eastAsia="宋体" w:cs="宋体"/>
                <w:color w:val="auto"/>
                <w:sz w:val="24"/>
                <w:highlight w:val="none"/>
              </w:rPr>
            </w:pPr>
          </w:p>
        </w:tc>
      </w:tr>
      <w:tr w14:paraId="567C1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0" w:hRule="atLeast"/>
          <w:jc w:val="center"/>
        </w:trPr>
        <w:tc>
          <w:tcPr>
            <w:tcW w:w="638" w:type="dxa"/>
            <w:tcBorders>
              <w:left w:val="single" w:color="000000" w:sz="2" w:space="0"/>
              <w:bottom w:val="single" w:color="000000" w:sz="2" w:space="0"/>
              <w:right w:val="single" w:color="000000" w:sz="2" w:space="0"/>
            </w:tcBorders>
            <w:noWrap w:val="0"/>
            <w:vAlign w:val="center"/>
          </w:tcPr>
          <w:p w14:paraId="0D3FFF68">
            <w:pPr>
              <w:spacing w:line="240" w:lineRule="atLeast"/>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2234" w:type="dxa"/>
            <w:tcBorders>
              <w:top w:val="single" w:color="auto" w:sz="4" w:space="0"/>
              <w:left w:val="single" w:color="auto" w:sz="4" w:space="0"/>
              <w:bottom w:val="single" w:color="000000" w:sz="2" w:space="0"/>
              <w:right w:val="single" w:color="auto" w:sz="4" w:space="0"/>
            </w:tcBorders>
            <w:noWrap w:val="0"/>
            <w:vAlign w:val="center"/>
          </w:tcPr>
          <w:p w14:paraId="3BA7582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w:t>
            </w:r>
          </w:p>
        </w:tc>
        <w:tc>
          <w:tcPr>
            <w:tcW w:w="5507" w:type="dxa"/>
            <w:tcBorders>
              <w:top w:val="single" w:color="auto" w:sz="4" w:space="0"/>
              <w:left w:val="single" w:color="auto" w:sz="4" w:space="0"/>
              <w:bottom w:val="single" w:color="000000" w:sz="2" w:space="0"/>
              <w:right w:val="single" w:color="000000" w:sz="2" w:space="0"/>
            </w:tcBorders>
            <w:noWrap w:val="0"/>
            <w:vAlign w:val="center"/>
          </w:tcPr>
          <w:p w14:paraId="1ADDF7C6">
            <w:pPr>
              <w:ind w:firstLine="240" w:firstLineChars="100"/>
              <w:rPr>
                <w:rFonts w:hint="eastAsia" w:ascii="宋体" w:hAnsi="宋体" w:eastAsia="宋体" w:cs="宋体"/>
                <w:color w:val="auto"/>
                <w:sz w:val="24"/>
                <w:highlight w:val="none"/>
              </w:rPr>
            </w:pPr>
          </w:p>
        </w:tc>
      </w:tr>
      <w:tr w14:paraId="3081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1" w:hRule="atLeast"/>
          <w:jc w:val="center"/>
        </w:trPr>
        <w:tc>
          <w:tcPr>
            <w:tcW w:w="638" w:type="dxa"/>
            <w:tcBorders>
              <w:top w:val="single" w:color="auto" w:sz="4" w:space="0"/>
              <w:left w:val="single" w:color="000000" w:sz="2" w:space="0"/>
              <w:bottom w:val="single" w:color="000000" w:sz="2" w:space="0"/>
              <w:right w:val="single" w:color="000000" w:sz="2" w:space="0"/>
            </w:tcBorders>
            <w:noWrap w:val="0"/>
            <w:vAlign w:val="center"/>
          </w:tcPr>
          <w:p w14:paraId="481F28E5">
            <w:pPr>
              <w:jc w:val="center"/>
              <w:rPr>
                <w:rFonts w:ascii="宋体" w:hAnsi="宋体" w:eastAsia="宋体" w:cs="宋体"/>
                <w:color w:val="auto"/>
                <w:sz w:val="24"/>
                <w:highlight w:val="none"/>
              </w:rPr>
            </w:pPr>
            <w:r>
              <w:rPr>
                <w:rFonts w:hint="eastAsia" w:ascii="宋体" w:hAnsi="宋体" w:eastAsia="宋体" w:cs="宋体"/>
                <w:color w:val="auto"/>
                <w:sz w:val="24"/>
                <w:highlight w:val="none"/>
              </w:rPr>
              <w:t>4</w:t>
            </w:r>
          </w:p>
        </w:tc>
        <w:tc>
          <w:tcPr>
            <w:tcW w:w="2234" w:type="dxa"/>
            <w:tcBorders>
              <w:top w:val="single" w:color="auto" w:sz="4" w:space="0"/>
              <w:left w:val="single" w:color="auto" w:sz="4" w:space="0"/>
              <w:bottom w:val="single" w:color="000000" w:sz="2" w:space="0"/>
              <w:right w:val="single" w:color="000000" w:sz="2" w:space="0"/>
            </w:tcBorders>
            <w:noWrap w:val="0"/>
            <w:vAlign w:val="center"/>
          </w:tcPr>
          <w:p w14:paraId="7545D34D">
            <w:pPr>
              <w:spacing w:line="240" w:lineRule="atLeast"/>
              <w:ind w:firstLine="9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其他说明</w:t>
            </w:r>
          </w:p>
        </w:tc>
        <w:tc>
          <w:tcPr>
            <w:tcW w:w="5507" w:type="dxa"/>
            <w:tcBorders>
              <w:top w:val="single" w:color="auto" w:sz="4" w:space="0"/>
              <w:left w:val="single" w:color="auto" w:sz="4" w:space="0"/>
              <w:bottom w:val="single" w:color="000000" w:sz="2" w:space="0"/>
              <w:right w:val="single" w:color="000000" w:sz="2" w:space="0"/>
            </w:tcBorders>
            <w:noWrap w:val="0"/>
            <w:vAlign w:val="center"/>
          </w:tcPr>
          <w:p w14:paraId="05FA5A20">
            <w:pPr>
              <w:ind w:firstLine="240" w:firstLineChars="100"/>
              <w:rPr>
                <w:rFonts w:hint="eastAsia" w:ascii="宋体" w:hAnsi="宋体" w:eastAsia="宋体" w:cs="宋体"/>
                <w:color w:val="auto"/>
                <w:sz w:val="24"/>
                <w:highlight w:val="none"/>
              </w:rPr>
            </w:pPr>
          </w:p>
        </w:tc>
      </w:tr>
      <w:tr w14:paraId="67227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88" w:hRule="exact"/>
          <w:jc w:val="center"/>
        </w:trPr>
        <w:tc>
          <w:tcPr>
            <w:tcW w:w="8379" w:type="dxa"/>
            <w:gridSpan w:val="3"/>
            <w:tcBorders>
              <w:top w:val="single" w:color="auto" w:sz="4" w:space="0"/>
              <w:left w:val="single" w:color="000000" w:sz="2" w:space="0"/>
              <w:bottom w:val="single" w:color="000000" w:sz="2" w:space="0"/>
              <w:right w:val="single" w:color="000000" w:sz="2" w:space="0"/>
            </w:tcBorders>
            <w:noWrap w:val="0"/>
            <w:vAlign w:val="center"/>
          </w:tcPr>
          <w:p w14:paraId="292FDC0E">
            <w:pPr>
              <w:pStyle w:val="6"/>
              <w:spacing w:line="360" w:lineRule="auto"/>
              <w:jc w:val="both"/>
              <w:rPr>
                <w:rFonts w:hint="eastAsia" w:ascii="宋体" w:hAnsi="宋体" w:eastAsia="宋体" w:cs="宋体"/>
                <w:color w:val="auto"/>
                <w:highlight w:val="none"/>
              </w:rPr>
            </w:pPr>
            <w:r>
              <w:rPr>
                <w:rFonts w:hint="eastAsia" w:ascii="宋体" w:hAnsi="宋体" w:eastAsia="宋体" w:cs="宋体"/>
                <w:color w:val="auto"/>
                <w:sz w:val="24"/>
                <w:szCs w:val="24"/>
                <w:highlight w:val="none"/>
              </w:rPr>
              <w:t>说明：完成</w:t>
            </w:r>
            <w:r>
              <w:rPr>
                <w:rFonts w:hint="eastAsia" w:ascii="宋体" w:hAnsi="宋体" w:eastAsia="宋体" w:cs="宋体"/>
                <w:color w:val="auto"/>
                <w:kern w:val="2"/>
                <w:sz w:val="24"/>
                <w:szCs w:val="24"/>
                <w:highlight w:val="none"/>
              </w:rPr>
              <w:t>克拉玛依市独山子区</w:t>
            </w:r>
            <w:r>
              <w:rPr>
                <w:rFonts w:hint="eastAsia" w:ascii="宋体" w:hAnsi="宋体" w:eastAsia="宋体" w:cs="宋体"/>
                <w:color w:val="auto"/>
                <w:kern w:val="2"/>
                <w:sz w:val="24"/>
                <w:szCs w:val="24"/>
                <w:highlight w:val="none"/>
                <w:lang w:eastAsia="zh-CN"/>
              </w:rPr>
              <w:t>农业和水务局</w:t>
            </w:r>
            <w:r>
              <w:rPr>
                <w:rFonts w:hint="eastAsia" w:ascii="宋体" w:hAnsi="宋体" w:eastAsia="宋体" w:cs="宋体"/>
                <w:color w:val="auto"/>
                <w:kern w:val="2"/>
                <w:sz w:val="24"/>
                <w:szCs w:val="24"/>
                <w:highlight w:val="none"/>
              </w:rPr>
              <w:t>2025年度党政法律顾问服务项目应承担的所有工作，并配合采购人完成与此服务相关的合同条款、项目采购需求、采购文件约定的全部内容及责任和义务等所涉及的全部费用。</w:t>
            </w:r>
          </w:p>
        </w:tc>
      </w:tr>
    </w:tbl>
    <w:p w14:paraId="2B705D08">
      <w:pPr>
        <w:spacing w:line="360" w:lineRule="exact"/>
        <w:rPr>
          <w:rFonts w:hint="eastAsia" w:ascii="宋体" w:hAnsi="宋体" w:cs="宋体"/>
          <w:color w:val="auto"/>
          <w:sz w:val="24"/>
          <w:highlight w:val="none"/>
        </w:rPr>
      </w:pPr>
    </w:p>
    <w:p w14:paraId="2FDAD107">
      <w:pPr>
        <w:spacing w:before="78" w:line="360" w:lineRule="auto"/>
        <w:ind w:left="3248"/>
        <w:rPr>
          <w:rFonts w:hint="eastAsia" w:ascii="宋体" w:hAnsi="宋体" w:cs="宋体"/>
          <w:color w:val="auto"/>
          <w:sz w:val="24"/>
          <w:highlight w:val="none"/>
        </w:rPr>
      </w:pPr>
      <w:r>
        <w:rPr>
          <w:rFonts w:hint="eastAsia" w:ascii="宋体" w:hAnsi="宋体" w:cs="宋体"/>
          <w:color w:val="auto"/>
          <w:spacing w:val="4"/>
          <w:sz w:val="24"/>
          <w:highlight w:val="none"/>
        </w:rPr>
        <w:t>供应商</w:t>
      </w:r>
      <w:r>
        <w:rPr>
          <w:rFonts w:hint="eastAsia" w:ascii="宋体" w:hAnsi="宋体" w:cs="宋体"/>
          <w:color w:val="auto"/>
          <w:spacing w:val="-18"/>
          <w:sz w:val="24"/>
          <w:highlight w:val="none"/>
        </w:rPr>
        <w:t>：（</w:t>
      </w:r>
      <w:r>
        <w:rPr>
          <w:rFonts w:hint="eastAsia" w:ascii="宋体" w:hAnsi="宋体" w:cs="宋体"/>
          <w:color w:val="auto"/>
          <w:spacing w:val="4"/>
          <w:sz w:val="24"/>
          <w:highlight w:val="none"/>
        </w:rPr>
        <w:t>公章）</w:t>
      </w:r>
    </w:p>
    <w:p w14:paraId="6C85B5BC">
      <w:pPr>
        <w:spacing w:before="78" w:line="360" w:lineRule="auto"/>
        <w:ind w:left="3248"/>
        <w:rPr>
          <w:rFonts w:hint="eastAsia" w:ascii="宋体" w:hAnsi="宋体" w:cs="宋体"/>
          <w:color w:val="auto"/>
          <w:spacing w:val="4"/>
          <w:sz w:val="24"/>
          <w:highlight w:val="none"/>
        </w:rPr>
      </w:pPr>
      <w:r>
        <w:rPr>
          <w:rFonts w:hint="eastAsia" w:ascii="宋体" w:hAnsi="宋体" w:cs="宋体"/>
          <w:color w:val="auto"/>
          <w:spacing w:val="-1"/>
          <w:sz w:val="24"/>
          <w:highlight w:val="none"/>
        </w:rPr>
        <w:t>法定代表人或授权代</w:t>
      </w:r>
      <w:r>
        <w:rPr>
          <w:rFonts w:hint="eastAsia" w:ascii="宋体" w:hAnsi="宋体" w:cs="宋体"/>
          <w:color w:val="auto"/>
          <w:spacing w:val="4"/>
          <w:sz w:val="24"/>
          <w:highlight w:val="none"/>
        </w:rPr>
        <w:t>表（签字或盖章）：</w:t>
      </w:r>
    </w:p>
    <w:p w14:paraId="064CB77C">
      <w:pPr>
        <w:spacing w:before="78" w:line="360" w:lineRule="auto"/>
        <w:ind w:left="3248"/>
        <w:rPr>
          <w:rFonts w:hint="eastAsia" w:ascii="宋体" w:hAnsi="宋体" w:cs="宋体"/>
          <w:color w:val="auto"/>
          <w:spacing w:val="4"/>
          <w:sz w:val="24"/>
          <w:highlight w:val="none"/>
        </w:rPr>
      </w:pPr>
      <w:r>
        <w:rPr>
          <w:rFonts w:hint="eastAsia" w:ascii="宋体" w:hAnsi="宋体" w:cs="宋体"/>
          <w:color w:val="auto"/>
          <w:spacing w:val="4"/>
          <w:sz w:val="24"/>
          <w:highlight w:val="none"/>
        </w:rPr>
        <w:t>日期：     年   月   日</w:t>
      </w:r>
    </w:p>
    <w:p w14:paraId="5F1FBB48">
      <w:pPr>
        <w:pStyle w:val="18"/>
        <w:ind w:left="0" w:firstLine="0" w:firstLineChars="0"/>
        <w:rPr>
          <w:rFonts w:hint="eastAsia" w:ascii="宋体" w:hAnsi="宋体" w:cs="宋体"/>
          <w:b w:val="0"/>
          <w:color w:val="auto"/>
          <w:highlight w:val="none"/>
        </w:rPr>
      </w:pPr>
    </w:p>
    <w:p w14:paraId="161CC31D">
      <w:pPr>
        <w:spacing w:line="360" w:lineRule="auto"/>
        <w:jc w:val="center"/>
        <w:rPr>
          <w:rFonts w:hint="eastAsia" w:ascii="宋体" w:hAnsi="宋体" w:cs="宋体"/>
          <w:color w:val="auto"/>
          <w:sz w:val="24"/>
          <w:highlight w:val="none"/>
        </w:rPr>
      </w:pPr>
      <w:r>
        <w:rPr>
          <w:rFonts w:hint="eastAsia" w:ascii="宋体" w:hAnsi="宋体" w:cs="宋体"/>
          <w:b/>
          <w:color w:val="auto"/>
          <w:sz w:val="28"/>
          <w:szCs w:val="28"/>
          <w:highlight w:val="none"/>
        </w:rPr>
        <w:br w:type="page"/>
      </w:r>
      <w:r>
        <w:rPr>
          <w:rFonts w:hint="eastAsia" w:ascii="宋体" w:hAnsi="宋体" w:cs="宋体"/>
          <w:b/>
          <w:bCs/>
          <w:color w:val="auto"/>
          <w:sz w:val="28"/>
          <w:szCs w:val="28"/>
          <w:highlight w:val="none"/>
        </w:rPr>
        <w:t>格式17   拟投入人员服务标准及要求</w:t>
      </w:r>
    </w:p>
    <w:p w14:paraId="65C1F606">
      <w:pPr>
        <w:pStyle w:val="6"/>
        <w:ind w:firstLine="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承诺书</w:t>
      </w:r>
    </w:p>
    <w:p w14:paraId="36D2B182">
      <w:pPr>
        <w:pStyle w:val="71"/>
        <w:rPr>
          <w:rFonts w:hint="eastAsia" w:ascii="宋体" w:hAnsi="宋体" w:eastAsia="宋体" w:cs="宋体"/>
          <w:color w:val="auto"/>
          <w:kern w:val="0"/>
          <w:highlight w:val="none"/>
        </w:rPr>
      </w:pPr>
    </w:p>
    <w:p w14:paraId="5E10D4BA">
      <w:pPr>
        <w:pStyle w:val="71"/>
        <w:spacing w:line="480" w:lineRule="auto"/>
        <w:ind w:firstLine="56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投标供应商根据采购需求、采购文件“第六章 详细评审”评标标准要求，结合企业自身实力，对拟投入人员服务标准及要求承诺如下：</w:t>
      </w:r>
    </w:p>
    <w:p w14:paraId="29AF90E2">
      <w:pPr>
        <w:pStyle w:val="71"/>
        <w:numPr>
          <w:ilvl w:val="0"/>
          <w:numId w:val="7"/>
        </w:numPr>
        <w:spacing w:line="480" w:lineRule="auto"/>
        <w:ind w:left="210" w:leftChars="100"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若我公司中标后，本次招标所需的人员要求完全按采购文件执行。</w:t>
      </w:r>
    </w:p>
    <w:p w14:paraId="05E68981">
      <w:pPr>
        <w:pStyle w:val="71"/>
        <w:numPr>
          <w:ilvl w:val="0"/>
          <w:numId w:val="7"/>
        </w:numPr>
        <w:spacing w:line="480" w:lineRule="auto"/>
        <w:ind w:left="210" w:leftChars="100" w:firstLine="56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其它服务标准及要求完全响应采购文件要求。</w:t>
      </w:r>
    </w:p>
    <w:p w14:paraId="12DDDD8A">
      <w:pPr>
        <w:spacing w:line="480" w:lineRule="auto"/>
        <w:outlineLvl w:val="1"/>
        <w:rPr>
          <w:rFonts w:hint="eastAsia" w:ascii="宋体" w:hAnsi="宋体" w:cs="宋体"/>
          <w:color w:val="auto"/>
          <w:kern w:val="0"/>
          <w:sz w:val="28"/>
          <w:szCs w:val="28"/>
          <w:highlight w:val="none"/>
        </w:rPr>
      </w:pPr>
    </w:p>
    <w:p w14:paraId="23A991D1">
      <w:pPr>
        <w:spacing w:line="360" w:lineRule="auto"/>
        <w:outlineLvl w:val="1"/>
        <w:rPr>
          <w:rFonts w:hint="eastAsia" w:ascii="宋体" w:hAnsi="宋体" w:cs="宋体"/>
          <w:color w:val="auto"/>
          <w:kern w:val="0"/>
          <w:highlight w:val="none"/>
        </w:rPr>
      </w:pPr>
    </w:p>
    <w:p w14:paraId="4F1ED38B">
      <w:pPr>
        <w:spacing w:line="360" w:lineRule="auto"/>
        <w:outlineLvl w:val="1"/>
        <w:rPr>
          <w:rFonts w:hint="eastAsia" w:ascii="宋体" w:hAnsi="宋体" w:cs="宋体"/>
          <w:color w:val="auto"/>
          <w:kern w:val="0"/>
          <w:highlight w:val="none"/>
        </w:rPr>
      </w:pPr>
    </w:p>
    <w:p w14:paraId="6BED97B2">
      <w:pPr>
        <w:pStyle w:val="12"/>
        <w:rPr>
          <w:rFonts w:hint="eastAsia" w:ascii="宋体" w:hAnsi="宋体" w:cs="宋体"/>
          <w:color w:val="auto"/>
          <w:highlight w:val="none"/>
        </w:rPr>
      </w:pPr>
    </w:p>
    <w:p w14:paraId="00C57CF2">
      <w:pPr>
        <w:spacing w:before="78" w:line="360" w:lineRule="auto"/>
        <w:ind w:left="3248"/>
        <w:rPr>
          <w:rFonts w:hint="eastAsia" w:ascii="宋体" w:hAnsi="宋体" w:cs="宋体"/>
          <w:color w:val="auto"/>
          <w:sz w:val="24"/>
          <w:highlight w:val="none"/>
        </w:rPr>
      </w:pPr>
      <w:r>
        <w:rPr>
          <w:rFonts w:hint="eastAsia" w:ascii="宋体" w:hAnsi="宋体" w:cs="宋体"/>
          <w:color w:val="auto"/>
          <w:spacing w:val="4"/>
          <w:sz w:val="24"/>
          <w:highlight w:val="none"/>
        </w:rPr>
        <w:t>供应商</w:t>
      </w:r>
      <w:r>
        <w:rPr>
          <w:rFonts w:hint="eastAsia" w:ascii="宋体" w:hAnsi="宋体" w:cs="宋体"/>
          <w:color w:val="auto"/>
          <w:spacing w:val="-18"/>
          <w:sz w:val="24"/>
          <w:highlight w:val="none"/>
        </w:rPr>
        <w:t>：（</w:t>
      </w:r>
      <w:r>
        <w:rPr>
          <w:rFonts w:hint="eastAsia" w:ascii="宋体" w:hAnsi="宋体" w:cs="宋体"/>
          <w:color w:val="auto"/>
          <w:spacing w:val="4"/>
          <w:sz w:val="24"/>
          <w:highlight w:val="none"/>
        </w:rPr>
        <w:t>公章）</w:t>
      </w:r>
    </w:p>
    <w:p w14:paraId="7D2E3C15">
      <w:pPr>
        <w:spacing w:before="78" w:line="360" w:lineRule="auto"/>
        <w:ind w:left="3248"/>
        <w:rPr>
          <w:rFonts w:hint="eastAsia" w:ascii="宋体" w:hAnsi="宋体" w:cs="宋体"/>
          <w:color w:val="auto"/>
          <w:spacing w:val="4"/>
          <w:sz w:val="24"/>
          <w:highlight w:val="none"/>
        </w:rPr>
      </w:pPr>
      <w:r>
        <w:rPr>
          <w:rFonts w:hint="eastAsia" w:ascii="宋体" w:hAnsi="宋体" w:cs="宋体"/>
          <w:color w:val="auto"/>
          <w:spacing w:val="-1"/>
          <w:sz w:val="24"/>
          <w:highlight w:val="none"/>
        </w:rPr>
        <w:t>法定代表人或授权代</w:t>
      </w:r>
      <w:r>
        <w:rPr>
          <w:rFonts w:hint="eastAsia" w:ascii="宋体" w:hAnsi="宋体" w:cs="宋体"/>
          <w:color w:val="auto"/>
          <w:spacing w:val="4"/>
          <w:sz w:val="24"/>
          <w:highlight w:val="none"/>
        </w:rPr>
        <w:t>表（签字或盖章）：</w:t>
      </w:r>
    </w:p>
    <w:p w14:paraId="53C29B46">
      <w:pPr>
        <w:spacing w:before="78" w:line="360" w:lineRule="auto"/>
        <w:ind w:left="3248"/>
        <w:rPr>
          <w:rFonts w:hint="eastAsia" w:ascii="宋体" w:hAnsi="宋体" w:cs="宋体"/>
          <w:color w:val="auto"/>
          <w:spacing w:val="4"/>
          <w:sz w:val="24"/>
          <w:highlight w:val="none"/>
        </w:rPr>
      </w:pPr>
      <w:r>
        <w:rPr>
          <w:rFonts w:hint="eastAsia" w:ascii="宋体" w:hAnsi="宋体" w:cs="宋体"/>
          <w:color w:val="auto"/>
          <w:spacing w:val="4"/>
          <w:sz w:val="24"/>
          <w:highlight w:val="none"/>
        </w:rPr>
        <w:t>日期：     年   月   日</w:t>
      </w:r>
    </w:p>
    <w:p w14:paraId="6489A6AB">
      <w:pPr>
        <w:tabs>
          <w:tab w:val="left" w:pos="555"/>
          <w:tab w:val="left" w:pos="2214"/>
          <w:tab w:val="left" w:pos="3774"/>
          <w:tab w:val="left" w:pos="4854"/>
          <w:tab w:val="left" w:pos="5934"/>
          <w:tab w:val="left" w:pos="7014"/>
          <w:tab w:val="left" w:pos="8214"/>
          <w:tab w:val="left" w:pos="10134"/>
          <w:tab w:val="left" w:pos="11124"/>
        </w:tabs>
        <w:spacing w:line="360" w:lineRule="auto"/>
        <w:rPr>
          <w:rFonts w:hint="eastAsia" w:ascii="宋体" w:hAnsi="宋体" w:cs="宋体"/>
          <w:color w:val="auto"/>
          <w:sz w:val="24"/>
          <w:highlight w:val="none"/>
        </w:rPr>
      </w:pPr>
    </w:p>
    <w:p w14:paraId="59BB256C">
      <w:pPr>
        <w:pStyle w:val="92"/>
        <w:spacing w:line="360" w:lineRule="auto"/>
        <w:ind w:firstLine="0"/>
        <w:jc w:val="center"/>
        <w:rPr>
          <w:rFonts w:hint="eastAsia" w:ascii="宋体" w:hAnsi="宋体" w:eastAsia="宋体" w:cs="宋体"/>
          <w:b/>
          <w:bCs/>
          <w:color w:val="auto"/>
          <w:szCs w:val="28"/>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Cs w:val="28"/>
          <w:highlight w:val="none"/>
        </w:rPr>
        <w:t>格式18  技术条款偏离表</w:t>
      </w:r>
    </w:p>
    <w:p w14:paraId="495A4C48">
      <w:pPr>
        <w:spacing w:line="360" w:lineRule="auto"/>
        <w:ind w:firstLine="218" w:firstLineChars="91"/>
        <w:jc w:val="left"/>
        <w:rPr>
          <w:rFonts w:hint="eastAsia" w:ascii="宋体" w:hAnsi="宋体" w:cs="宋体"/>
          <w:color w:val="auto"/>
          <w:highlight w:val="none"/>
        </w:rPr>
      </w:pPr>
      <w:r>
        <w:rPr>
          <w:rFonts w:hint="eastAsia" w:ascii="宋体" w:hAnsi="宋体" w:cs="宋体"/>
          <w:color w:val="auto"/>
          <w:sz w:val="24"/>
          <w:highlight w:val="none"/>
        </w:rPr>
        <w:t>项目名称：</w:t>
      </w:r>
    </w:p>
    <w:tbl>
      <w:tblPr>
        <w:tblStyle w:val="36"/>
        <w:tblW w:w="86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2"/>
        <w:gridCol w:w="1836"/>
        <w:gridCol w:w="1994"/>
        <w:gridCol w:w="2030"/>
        <w:gridCol w:w="1264"/>
      </w:tblGrid>
      <w:tr w14:paraId="0BB76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3328" w:type="dxa"/>
            <w:gridSpan w:val="2"/>
            <w:tcBorders>
              <w:top w:val="single" w:color="auto" w:sz="4" w:space="0"/>
              <w:left w:val="single" w:color="auto" w:sz="4" w:space="0"/>
              <w:bottom w:val="single" w:color="auto" w:sz="4" w:space="0"/>
              <w:right w:val="single" w:color="auto" w:sz="4" w:space="0"/>
            </w:tcBorders>
            <w:noWrap w:val="0"/>
            <w:vAlign w:val="center"/>
          </w:tcPr>
          <w:p w14:paraId="6C512136">
            <w:pPr>
              <w:adjustRightInd w:val="0"/>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招标文件要求</w:t>
            </w:r>
          </w:p>
        </w:tc>
        <w:tc>
          <w:tcPr>
            <w:tcW w:w="4024" w:type="dxa"/>
            <w:gridSpan w:val="2"/>
            <w:tcBorders>
              <w:top w:val="single" w:color="auto" w:sz="4" w:space="0"/>
              <w:left w:val="single" w:color="auto" w:sz="4" w:space="0"/>
              <w:bottom w:val="single" w:color="auto" w:sz="4" w:space="0"/>
              <w:right w:val="single" w:color="auto" w:sz="4" w:space="0"/>
            </w:tcBorders>
            <w:noWrap w:val="0"/>
            <w:vAlign w:val="center"/>
          </w:tcPr>
          <w:p w14:paraId="26DA3025">
            <w:pPr>
              <w:adjustRightInd w:val="0"/>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投标文件响应</w:t>
            </w:r>
          </w:p>
        </w:tc>
        <w:tc>
          <w:tcPr>
            <w:tcW w:w="1264" w:type="dxa"/>
            <w:vMerge w:val="restart"/>
            <w:tcBorders>
              <w:top w:val="single" w:color="auto" w:sz="4" w:space="0"/>
              <w:left w:val="single" w:color="auto" w:sz="4" w:space="0"/>
              <w:bottom w:val="single" w:color="auto" w:sz="4" w:space="0"/>
              <w:right w:val="single" w:color="auto" w:sz="4" w:space="0"/>
            </w:tcBorders>
            <w:noWrap w:val="0"/>
            <w:vAlign w:val="center"/>
          </w:tcPr>
          <w:p w14:paraId="0AED6F44">
            <w:pPr>
              <w:adjustRightInd w:val="0"/>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偏离情况</w:t>
            </w:r>
          </w:p>
        </w:tc>
      </w:tr>
      <w:tr w14:paraId="5B5D02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6" w:hRule="atLeast"/>
          <w:jc w:val="center"/>
        </w:trPr>
        <w:tc>
          <w:tcPr>
            <w:tcW w:w="1492" w:type="dxa"/>
            <w:tcBorders>
              <w:top w:val="single" w:color="auto" w:sz="4" w:space="0"/>
              <w:left w:val="single" w:color="auto" w:sz="4" w:space="0"/>
              <w:bottom w:val="single" w:color="auto" w:sz="4" w:space="0"/>
              <w:right w:val="single" w:color="auto" w:sz="4" w:space="0"/>
            </w:tcBorders>
            <w:noWrap w:val="0"/>
            <w:vAlign w:val="center"/>
          </w:tcPr>
          <w:p w14:paraId="54AA11F6">
            <w:pPr>
              <w:adjustRightInd w:val="0"/>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1836" w:type="dxa"/>
            <w:tcBorders>
              <w:top w:val="single" w:color="auto" w:sz="4" w:space="0"/>
              <w:left w:val="single" w:color="auto" w:sz="4" w:space="0"/>
              <w:bottom w:val="single" w:color="auto" w:sz="4" w:space="0"/>
              <w:right w:val="single" w:color="auto" w:sz="4" w:space="0"/>
            </w:tcBorders>
            <w:noWrap w:val="0"/>
            <w:vAlign w:val="center"/>
          </w:tcPr>
          <w:p w14:paraId="2A529633">
            <w:pPr>
              <w:adjustRightInd w:val="0"/>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要求</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56577D8E">
            <w:pPr>
              <w:adjustRightInd w:val="0"/>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2030" w:type="dxa"/>
            <w:tcBorders>
              <w:top w:val="single" w:color="auto" w:sz="4" w:space="0"/>
              <w:left w:val="single" w:color="auto" w:sz="4" w:space="0"/>
              <w:bottom w:val="single" w:color="auto" w:sz="4" w:space="0"/>
              <w:right w:val="single" w:color="auto" w:sz="4" w:space="0"/>
            </w:tcBorders>
            <w:noWrap w:val="0"/>
            <w:vAlign w:val="center"/>
          </w:tcPr>
          <w:p w14:paraId="2A3D2632">
            <w:pPr>
              <w:adjustRightInd w:val="0"/>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性能及指标</w:t>
            </w: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14:paraId="70090FA7">
            <w:pPr>
              <w:widowControl/>
              <w:adjustRightInd w:val="0"/>
              <w:snapToGrid w:val="0"/>
              <w:spacing w:line="400" w:lineRule="exact"/>
              <w:jc w:val="center"/>
              <w:rPr>
                <w:rFonts w:hint="eastAsia" w:ascii="宋体" w:hAnsi="宋体" w:eastAsia="宋体" w:cs="宋体"/>
                <w:color w:val="auto"/>
                <w:sz w:val="24"/>
                <w:highlight w:val="none"/>
              </w:rPr>
            </w:pPr>
          </w:p>
        </w:tc>
      </w:tr>
      <w:tr w14:paraId="7FF44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1492" w:type="dxa"/>
            <w:tcBorders>
              <w:top w:val="single" w:color="auto" w:sz="4" w:space="0"/>
              <w:left w:val="single" w:color="auto" w:sz="4" w:space="0"/>
              <w:bottom w:val="single" w:color="auto" w:sz="4" w:space="0"/>
              <w:right w:val="single" w:color="auto" w:sz="4" w:space="0"/>
            </w:tcBorders>
            <w:noWrap w:val="0"/>
            <w:vAlign w:val="center"/>
          </w:tcPr>
          <w:p w14:paraId="4D46CC86">
            <w:pPr>
              <w:adjustRightInd w:val="0"/>
              <w:snapToGrid w:val="0"/>
              <w:spacing w:line="400" w:lineRule="exact"/>
              <w:jc w:val="center"/>
              <w:rPr>
                <w:rFonts w:hint="eastAsia" w:ascii="宋体" w:hAnsi="宋体" w:eastAsia="宋体" w:cs="宋体"/>
                <w:color w:val="auto"/>
                <w:sz w:val="24"/>
                <w:highlight w:val="none"/>
              </w:rPr>
            </w:pPr>
          </w:p>
        </w:tc>
        <w:tc>
          <w:tcPr>
            <w:tcW w:w="1836" w:type="dxa"/>
            <w:tcBorders>
              <w:top w:val="single" w:color="auto" w:sz="4" w:space="0"/>
              <w:left w:val="single" w:color="auto" w:sz="4" w:space="0"/>
              <w:bottom w:val="single" w:color="auto" w:sz="4" w:space="0"/>
              <w:right w:val="single" w:color="auto" w:sz="4" w:space="0"/>
            </w:tcBorders>
            <w:noWrap w:val="0"/>
            <w:vAlign w:val="center"/>
          </w:tcPr>
          <w:p w14:paraId="45D78A5C">
            <w:pPr>
              <w:adjustRightInd w:val="0"/>
              <w:snapToGrid w:val="0"/>
              <w:spacing w:line="400" w:lineRule="exact"/>
              <w:jc w:val="center"/>
              <w:rPr>
                <w:rFonts w:hint="eastAsia" w:ascii="宋体" w:hAnsi="宋体" w:eastAsia="宋体" w:cs="宋体"/>
                <w:color w:val="auto"/>
                <w:sz w:val="24"/>
                <w:highlight w:val="none"/>
              </w:rPr>
            </w:pPr>
          </w:p>
        </w:tc>
        <w:tc>
          <w:tcPr>
            <w:tcW w:w="1994" w:type="dxa"/>
            <w:tcBorders>
              <w:top w:val="single" w:color="auto" w:sz="4" w:space="0"/>
              <w:left w:val="single" w:color="auto" w:sz="4" w:space="0"/>
              <w:bottom w:val="single" w:color="auto" w:sz="4" w:space="0"/>
              <w:right w:val="single" w:color="auto" w:sz="4" w:space="0"/>
            </w:tcBorders>
            <w:noWrap w:val="0"/>
            <w:vAlign w:val="center"/>
          </w:tcPr>
          <w:p w14:paraId="0B03AF9A">
            <w:pPr>
              <w:adjustRightInd w:val="0"/>
              <w:snapToGrid w:val="0"/>
              <w:spacing w:line="400" w:lineRule="exact"/>
              <w:jc w:val="center"/>
              <w:rPr>
                <w:rFonts w:hint="eastAsia" w:ascii="宋体" w:hAnsi="宋体" w:eastAsia="宋体" w:cs="宋体"/>
                <w:color w:val="auto"/>
                <w:sz w:val="24"/>
                <w:highlight w:val="none"/>
              </w:rPr>
            </w:pPr>
          </w:p>
        </w:tc>
        <w:tc>
          <w:tcPr>
            <w:tcW w:w="2030" w:type="dxa"/>
            <w:tcBorders>
              <w:top w:val="single" w:color="auto" w:sz="4" w:space="0"/>
              <w:left w:val="single" w:color="auto" w:sz="4" w:space="0"/>
              <w:bottom w:val="single" w:color="auto" w:sz="4" w:space="0"/>
              <w:right w:val="single" w:color="auto" w:sz="4" w:space="0"/>
            </w:tcBorders>
            <w:noWrap w:val="0"/>
            <w:vAlign w:val="center"/>
          </w:tcPr>
          <w:p w14:paraId="4A45CB5A">
            <w:pPr>
              <w:adjustRightInd w:val="0"/>
              <w:snapToGrid w:val="0"/>
              <w:spacing w:line="400" w:lineRule="exact"/>
              <w:jc w:val="center"/>
              <w:rPr>
                <w:rFonts w:hint="eastAsia" w:ascii="宋体" w:hAnsi="宋体" w:eastAsia="宋体" w:cs="宋体"/>
                <w:color w:val="auto"/>
                <w:sz w:val="24"/>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4C82D92E">
            <w:pPr>
              <w:adjustRightInd w:val="0"/>
              <w:snapToGrid w:val="0"/>
              <w:spacing w:line="400" w:lineRule="exact"/>
              <w:jc w:val="center"/>
              <w:rPr>
                <w:rFonts w:hint="eastAsia" w:ascii="宋体" w:hAnsi="宋体" w:eastAsia="宋体" w:cs="宋体"/>
                <w:color w:val="auto"/>
                <w:sz w:val="24"/>
                <w:highlight w:val="none"/>
              </w:rPr>
            </w:pPr>
          </w:p>
        </w:tc>
      </w:tr>
      <w:tr w14:paraId="59A91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1492" w:type="dxa"/>
            <w:tcBorders>
              <w:top w:val="single" w:color="auto" w:sz="4" w:space="0"/>
              <w:left w:val="single" w:color="auto" w:sz="4" w:space="0"/>
              <w:bottom w:val="single" w:color="auto" w:sz="4" w:space="0"/>
              <w:right w:val="single" w:color="auto" w:sz="4" w:space="0"/>
            </w:tcBorders>
            <w:noWrap w:val="0"/>
            <w:vAlign w:val="center"/>
          </w:tcPr>
          <w:p w14:paraId="798AD831">
            <w:pPr>
              <w:adjustRightInd w:val="0"/>
              <w:snapToGrid w:val="0"/>
              <w:spacing w:line="400" w:lineRule="exact"/>
              <w:jc w:val="center"/>
              <w:rPr>
                <w:rFonts w:hint="eastAsia" w:ascii="宋体" w:hAnsi="宋体" w:eastAsia="宋体" w:cs="宋体"/>
                <w:color w:val="auto"/>
                <w:sz w:val="24"/>
                <w:highlight w:val="none"/>
              </w:rPr>
            </w:pPr>
          </w:p>
        </w:tc>
        <w:tc>
          <w:tcPr>
            <w:tcW w:w="1836" w:type="dxa"/>
            <w:tcBorders>
              <w:top w:val="single" w:color="auto" w:sz="4" w:space="0"/>
              <w:left w:val="single" w:color="auto" w:sz="4" w:space="0"/>
              <w:bottom w:val="single" w:color="auto" w:sz="4" w:space="0"/>
              <w:right w:val="single" w:color="auto" w:sz="4" w:space="0"/>
            </w:tcBorders>
            <w:noWrap w:val="0"/>
            <w:vAlign w:val="center"/>
          </w:tcPr>
          <w:p w14:paraId="6080EF54">
            <w:pPr>
              <w:adjustRightInd w:val="0"/>
              <w:snapToGrid w:val="0"/>
              <w:spacing w:line="400" w:lineRule="exact"/>
              <w:jc w:val="center"/>
              <w:rPr>
                <w:rFonts w:hint="eastAsia" w:ascii="宋体" w:hAnsi="宋体" w:eastAsia="宋体" w:cs="宋体"/>
                <w:color w:val="auto"/>
                <w:sz w:val="24"/>
                <w:highlight w:val="none"/>
              </w:rPr>
            </w:pPr>
          </w:p>
        </w:tc>
        <w:tc>
          <w:tcPr>
            <w:tcW w:w="1994" w:type="dxa"/>
            <w:tcBorders>
              <w:top w:val="single" w:color="auto" w:sz="4" w:space="0"/>
              <w:left w:val="single" w:color="auto" w:sz="4" w:space="0"/>
              <w:bottom w:val="single" w:color="auto" w:sz="4" w:space="0"/>
              <w:right w:val="single" w:color="auto" w:sz="4" w:space="0"/>
            </w:tcBorders>
            <w:noWrap w:val="0"/>
            <w:vAlign w:val="center"/>
          </w:tcPr>
          <w:p w14:paraId="7D43D123">
            <w:pPr>
              <w:adjustRightInd w:val="0"/>
              <w:snapToGrid w:val="0"/>
              <w:spacing w:line="400" w:lineRule="exact"/>
              <w:jc w:val="center"/>
              <w:rPr>
                <w:rFonts w:hint="eastAsia" w:ascii="宋体" w:hAnsi="宋体" w:eastAsia="宋体" w:cs="宋体"/>
                <w:color w:val="auto"/>
                <w:sz w:val="24"/>
                <w:highlight w:val="none"/>
              </w:rPr>
            </w:pPr>
          </w:p>
        </w:tc>
        <w:tc>
          <w:tcPr>
            <w:tcW w:w="2030" w:type="dxa"/>
            <w:tcBorders>
              <w:top w:val="single" w:color="auto" w:sz="4" w:space="0"/>
              <w:left w:val="single" w:color="auto" w:sz="4" w:space="0"/>
              <w:bottom w:val="single" w:color="auto" w:sz="4" w:space="0"/>
              <w:right w:val="single" w:color="auto" w:sz="4" w:space="0"/>
            </w:tcBorders>
            <w:noWrap w:val="0"/>
            <w:vAlign w:val="center"/>
          </w:tcPr>
          <w:p w14:paraId="04280E74">
            <w:pPr>
              <w:adjustRightInd w:val="0"/>
              <w:snapToGrid w:val="0"/>
              <w:spacing w:line="400" w:lineRule="exact"/>
              <w:jc w:val="center"/>
              <w:rPr>
                <w:rFonts w:hint="eastAsia" w:ascii="宋体" w:hAnsi="宋体" w:eastAsia="宋体" w:cs="宋体"/>
                <w:color w:val="auto"/>
                <w:sz w:val="24"/>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67554510">
            <w:pPr>
              <w:adjustRightInd w:val="0"/>
              <w:snapToGrid w:val="0"/>
              <w:spacing w:line="400" w:lineRule="exact"/>
              <w:jc w:val="center"/>
              <w:rPr>
                <w:rFonts w:hint="eastAsia" w:ascii="宋体" w:hAnsi="宋体" w:eastAsia="宋体" w:cs="宋体"/>
                <w:color w:val="auto"/>
                <w:sz w:val="24"/>
                <w:highlight w:val="none"/>
              </w:rPr>
            </w:pPr>
          </w:p>
        </w:tc>
      </w:tr>
      <w:tr w14:paraId="6FC4F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1492" w:type="dxa"/>
            <w:tcBorders>
              <w:top w:val="single" w:color="auto" w:sz="4" w:space="0"/>
              <w:left w:val="single" w:color="auto" w:sz="4" w:space="0"/>
              <w:bottom w:val="single" w:color="auto" w:sz="4" w:space="0"/>
              <w:right w:val="single" w:color="auto" w:sz="4" w:space="0"/>
            </w:tcBorders>
            <w:noWrap w:val="0"/>
            <w:vAlign w:val="center"/>
          </w:tcPr>
          <w:p w14:paraId="69CAC9D4">
            <w:pPr>
              <w:adjustRightInd w:val="0"/>
              <w:snapToGrid w:val="0"/>
              <w:spacing w:line="400" w:lineRule="exact"/>
              <w:jc w:val="center"/>
              <w:rPr>
                <w:rFonts w:hint="eastAsia" w:ascii="宋体" w:hAnsi="宋体" w:eastAsia="宋体" w:cs="宋体"/>
                <w:color w:val="auto"/>
                <w:sz w:val="24"/>
                <w:highlight w:val="none"/>
              </w:rPr>
            </w:pPr>
          </w:p>
        </w:tc>
        <w:tc>
          <w:tcPr>
            <w:tcW w:w="1836" w:type="dxa"/>
            <w:tcBorders>
              <w:top w:val="single" w:color="auto" w:sz="4" w:space="0"/>
              <w:left w:val="single" w:color="auto" w:sz="4" w:space="0"/>
              <w:bottom w:val="single" w:color="auto" w:sz="4" w:space="0"/>
              <w:right w:val="single" w:color="auto" w:sz="4" w:space="0"/>
            </w:tcBorders>
            <w:noWrap w:val="0"/>
            <w:vAlign w:val="center"/>
          </w:tcPr>
          <w:p w14:paraId="3C58654C">
            <w:pPr>
              <w:adjustRightInd w:val="0"/>
              <w:snapToGrid w:val="0"/>
              <w:spacing w:line="400" w:lineRule="exact"/>
              <w:jc w:val="center"/>
              <w:rPr>
                <w:rFonts w:hint="eastAsia" w:ascii="宋体" w:hAnsi="宋体" w:eastAsia="宋体" w:cs="宋体"/>
                <w:color w:val="auto"/>
                <w:sz w:val="24"/>
                <w:highlight w:val="none"/>
              </w:rPr>
            </w:pPr>
          </w:p>
        </w:tc>
        <w:tc>
          <w:tcPr>
            <w:tcW w:w="1994" w:type="dxa"/>
            <w:tcBorders>
              <w:top w:val="single" w:color="auto" w:sz="4" w:space="0"/>
              <w:left w:val="single" w:color="auto" w:sz="4" w:space="0"/>
              <w:bottom w:val="single" w:color="auto" w:sz="4" w:space="0"/>
              <w:right w:val="single" w:color="auto" w:sz="4" w:space="0"/>
            </w:tcBorders>
            <w:noWrap w:val="0"/>
            <w:vAlign w:val="center"/>
          </w:tcPr>
          <w:p w14:paraId="7464275A">
            <w:pPr>
              <w:adjustRightInd w:val="0"/>
              <w:snapToGrid w:val="0"/>
              <w:spacing w:line="400" w:lineRule="exact"/>
              <w:jc w:val="center"/>
              <w:rPr>
                <w:rFonts w:hint="eastAsia" w:ascii="宋体" w:hAnsi="宋体" w:eastAsia="宋体" w:cs="宋体"/>
                <w:color w:val="auto"/>
                <w:sz w:val="24"/>
                <w:highlight w:val="none"/>
              </w:rPr>
            </w:pPr>
          </w:p>
        </w:tc>
        <w:tc>
          <w:tcPr>
            <w:tcW w:w="2030" w:type="dxa"/>
            <w:tcBorders>
              <w:top w:val="single" w:color="auto" w:sz="4" w:space="0"/>
              <w:left w:val="single" w:color="auto" w:sz="4" w:space="0"/>
              <w:bottom w:val="single" w:color="auto" w:sz="4" w:space="0"/>
              <w:right w:val="single" w:color="auto" w:sz="4" w:space="0"/>
            </w:tcBorders>
            <w:noWrap w:val="0"/>
            <w:vAlign w:val="center"/>
          </w:tcPr>
          <w:p w14:paraId="5F0CE417">
            <w:pPr>
              <w:adjustRightInd w:val="0"/>
              <w:snapToGrid w:val="0"/>
              <w:spacing w:line="400" w:lineRule="exact"/>
              <w:jc w:val="center"/>
              <w:rPr>
                <w:rFonts w:hint="eastAsia" w:ascii="宋体" w:hAnsi="宋体" w:eastAsia="宋体" w:cs="宋体"/>
                <w:color w:val="auto"/>
                <w:sz w:val="24"/>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655395AB">
            <w:pPr>
              <w:adjustRightInd w:val="0"/>
              <w:snapToGrid w:val="0"/>
              <w:spacing w:line="400" w:lineRule="exact"/>
              <w:jc w:val="center"/>
              <w:rPr>
                <w:rFonts w:hint="eastAsia" w:ascii="宋体" w:hAnsi="宋体" w:eastAsia="宋体" w:cs="宋体"/>
                <w:color w:val="auto"/>
                <w:sz w:val="24"/>
                <w:highlight w:val="none"/>
              </w:rPr>
            </w:pPr>
          </w:p>
        </w:tc>
      </w:tr>
      <w:tr w14:paraId="08524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1492" w:type="dxa"/>
            <w:tcBorders>
              <w:top w:val="single" w:color="auto" w:sz="4" w:space="0"/>
              <w:left w:val="single" w:color="auto" w:sz="4" w:space="0"/>
              <w:bottom w:val="single" w:color="auto" w:sz="4" w:space="0"/>
              <w:right w:val="single" w:color="auto" w:sz="4" w:space="0"/>
            </w:tcBorders>
            <w:noWrap w:val="0"/>
            <w:vAlign w:val="center"/>
          </w:tcPr>
          <w:p w14:paraId="511C3166">
            <w:pPr>
              <w:adjustRightInd w:val="0"/>
              <w:snapToGrid w:val="0"/>
              <w:spacing w:line="400" w:lineRule="exact"/>
              <w:jc w:val="center"/>
              <w:rPr>
                <w:rFonts w:hint="eastAsia" w:ascii="宋体" w:hAnsi="宋体" w:eastAsia="宋体" w:cs="宋体"/>
                <w:color w:val="auto"/>
                <w:sz w:val="24"/>
                <w:highlight w:val="none"/>
              </w:rPr>
            </w:pPr>
          </w:p>
        </w:tc>
        <w:tc>
          <w:tcPr>
            <w:tcW w:w="1836" w:type="dxa"/>
            <w:tcBorders>
              <w:top w:val="single" w:color="auto" w:sz="4" w:space="0"/>
              <w:left w:val="single" w:color="auto" w:sz="4" w:space="0"/>
              <w:bottom w:val="single" w:color="auto" w:sz="4" w:space="0"/>
              <w:right w:val="single" w:color="auto" w:sz="4" w:space="0"/>
            </w:tcBorders>
            <w:noWrap w:val="0"/>
            <w:vAlign w:val="center"/>
          </w:tcPr>
          <w:p w14:paraId="4D48F08B">
            <w:pPr>
              <w:adjustRightInd w:val="0"/>
              <w:snapToGrid w:val="0"/>
              <w:spacing w:line="400" w:lineRule="exact"/>
              <w:jc w:val="center"/>
              <w:rPr>
                <w:rFonts w:hint="eastAsia" w:ascii="宋体" w:hAnsi="宋体" w:eastAsia="宋体" w:cs="宋体"/>
                <w:color w:val="auto"/>
                <w:sz w:val="24"/>
                <w:highlight w:val="none"/>
              </w:rPr>
            </w:pPr>
          </w:p>
        </w:tc>
        <w:tc>
          <w:tcPr>
            <w:tcW w:w="1994" w:type="dxa"/>
            <w:tcBorders>
              <w:top w:val="single" w:color="auto" w:sz="4" w:space="0"/>
              <w:left w:val="single" w:color="auto" w:sz="4" w:space="0"/>
              <w:bottom w:val="single" w:color="auto" w:sz="4" w:space="0"/>
              <w:right w:val="single" w:color="auto" w:sz="4" w:space="0"/>
            </w:tcBorders>
            <w:noWrap w:val="0"/>
            <w:vAlign w:val="center"/>
          </w:tcPr>
          <w:p w14:paraId="0F63CD9C">
            <w:pPr>
              <w:adjustRightInd w:val="0"/>
              <w:snapToGrid w:val="0"/>
              <w:spacing w:line="400" w:lineRule="exact"/>
              <w:jc w:val="center"/>
              <w:rPr>
                <w:rFonts w:hint="eastAsia" w:ascii="宋体" w:hAnsi="宋体" w:eastAsia="宋体" w:cs="宋体"/>
                <w:color w:val="auto"/>
                <w:sz w:val="24"/>
                <w:highlight w:val="none"/>
              </w:rPr>
            </w:pPr>
          </w:p>
        </w:tc>
        <w:tc>
          <w:tcPr>
            <w:tcW w:w="2030" w:type="dxa"/>
            <w:tcBorders>
              <w:top w:val="single" w:color="auto" w:sz="4" w:space="0"/>
              <w:left w:val="single" w:color="auto" w:sz="4" w:space="0"/>
              <w:bottom w:val="single" w:color="auto" w:sz="4" w:space="0"/>
              <w:right w:val="single" w:color="auto" w:sz="4" w:space="0"/>
            </w:tcBorders>
            <w:noWrap w:val="0"/>
            <w:vAlign w:val="center"/>
          </w:tcPr>
          <w:p w14:paraId="41D70F77">
            <w:pPr>
              <w:adjustRightInd w:val="0"/>
              <w:snapToGrid w:val="0"/>
              <w:spacing w:line="400" w:lineRule="exact"/>
              <w:jc w:val="center"/>
              <w:rPr>
                <w:rFonts w:hint="eastAsia" w:ascii="宋体" w:hAnsi="宋体" w:eastAsia="宋体" w:cs="宋体"/>
                <w:color w:val="auto"/>
                <w:sz w:val="24"/>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09D38F1F">
            <w:pPr>
              <w:adjustRightInd w:val="0"/>
              <w:snapToGrid w:val="0"/>
              <w:spacing w:line="400" w:lineRule="exact"/>
              <w:jc w:val="center"/>
              <w:rPr>
                <w:rFonts w:hint="eastAsia" w:ascii="宋体" w:hAnsi="宋体" w:eastAsia="宋体" w:cs="宋体"/>
                <w:color w:val="auto"/>
                <w:sz w:val="24"/>
                <w:highlight w:val="none"/>
              </w:rPr>
            </w:pPr>
          </w:p>
        </w:tc>
      </w:tr>
      <w:tr w14:paraId="644103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492" w:type="dxa"/>
            <w:tcBorders>
              <w:top w:val="single" w:color="auto" w:sz="4" w:space="0"/>
              <w:left w:val="single" w:color="auto" w:sz="4" w:space="0"/>
              <w:bottom w:val="single" w:color="auto" w:sz="4" w:space="0"/>
              <w:right w:val="single" w:color="auto" w:sz="4" w:space="0"/>
            </w:tcBorders>
            <w:noWrap w:val="0"/>
            <w:vAlign w:val="center"/>
          </w:tcPr>
          <w:p w14:paraId="3DD2BBCD">
            <w:pPr>
              <w:adjustRightInd w:val="0"/>
              <w:snapToGrid w:val="0"/>
              <w:spacing w:line="400" w:lineRule="exact"/>
              <w:jc w:val="center"/>
              <w:rPr>
                <w:rFonts w:hint="eastAsia" w:ascii="宋体" w:hAnsi="宋体" w:eastAsia="宋体" w:cs="宋体"/>
                <w:color w:val="auto"/>
                <w:sz w:val="24"/>
                <w:highlight w:val="none"/>
              </w:rPr>
            </w:pPr>
          </w:p>
        </w:tc>
        <w:tc>
          <w:tcPr>
            <w:tcW w:w="1836" w:type="dxa"/>
            <w:tcBorders>
              <w:top w:val="single" w:color="auto" w:sz="4" w:space="0"/>
              <w:left w:val="single" w:color="auto" w:sz="4" w:space="0"/>
              <w:bottom w:val="single" w:color="auto" w:sz="4" w:space="0"/>
              <w:right w:val="single" w:color="auto" w:sz="4" w:space="0"/>
            </w:tcBorders>
            <w:noWrap w:val="0"/>
            <w:vAlign w:val="center"/>
          </w:tcPr>
          <w:p w14:paraId="2CFA656A">
            <w:pPr>
              <w:adjustRightInd w:val="0"/>
              <w:snapToGrid w:val="0"/>
              <w:spacing w:line="400" w:lineRule="exact"/>
              <w:jc w:val="center"/>
              <w:rPr>
                <w:rFonts w:hint="eastAsia" w:ascii="宋体" w:hAnsi="宋体" w:eastAsia="宋体" w:cs="宋体"/>
                <w:color w:val="auto"/>
                <w:sz w:val="24"/>
                <w:highlight w:val="none"/>
              </w:rPr>
            </w:pPr>
          </w:p>
        </w:tc>
        <w:tc>
          <w:tcPr>
            <w:tcW w:w="1994" w:type="dxa"/>
            <w:tcBorders>
              <w:top w:val="single" w:color="auto" w:sz="4" w:space="0"/>
              <w:left w:val="single" w:color="auto" w:sz="4" w:space="0"/>
              <w:bottom w:val="single" w:color="auto" w:sz="4" w:space="0"/>
              <w:right w:val="single" w:color="auto" w:sz="4" w:space="0"/>
            </w:tcBorders>
            <w:noWrap w:val="0"/>
            <w:vAlign w:val="center"/>
          </w:tcPr>
          <w:p w14:paraId="059EF144">
            <w:pPr>
              <w:adjustRightInd w:val="0"/>
              <w:snapToGrid w:val="0"/>
              <w:spacing w:line="400" w:lineRule="exact"/>
              <w:jc w:val="center"/>
              <w:rPr>
                <w:rFonts w:hint="eastAsia" w:ascii="宋体" w:hAnsi="宋体" w:eastAsia="宋体" w:cs="宋体"/>
                <w:color w:val="auto"/>
                <w:sz w:val="24"/>
                <w:highlight w:val="none"/>
              </w:rPr>
            </w:pPr>
          </w:p>
        </w:tc>
        <w:tc>
          <w:tcPr>
            <w:tcW w:w="2030" w:type="dxa"/>
            <w:tcBorders>
              <w:top w:val="single" w:color="auto" w:sz="4" w:space="0"/>
              <w:left w:val="single" w:color="auto" w:sz="4" w:space="0"/>
              <w:bottom w:val="single" w:color="auto" w:sz="4" w:space="0"/>
              <w:right w:val="single" w:color="auto" w:sz="4" w:space="0"/>
            </w:tcBorders>
            <w:noWrap w:val="0"/>
            <w:vAlign w:val="center"/>
          </w:tcPr>
          <w:p w14:paraId="4A49B55A">
            <w:pPr>
              <w:adjustRightInd w:val="0"/>
              <w:snapToGrid w:val="0"/>
              <w:spacing w:line="400" w:lineRule="exact"/>
              <w:jc w:val="center"/>
              <w:rPr>
                <w:rFonts w:hint="eastAsia" w:ascii="宋体" w:hAnsi="宋体" w:eastAsia="宋体" w:cs="宋体"/>
                <w:color w:val="auto"/>
                <w:sz w:val="24"/>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5CA440ED">
            <w:pPr>
              <w:adjustRightInd w:val="0"/>
              <w:snapToGrid w:val="0"/>
              <w:spacing w:line="400" w:lineRule="exact"/>
              <w:jc w:val="center"/>
              <w:rPr>
                <w:rFonts w:hint="eastAsia" w:ascii="宋体" w:hAnsi="宋体" w:eastAsia="宋体" w:cs="宋体"/>
                <w:color w:val="auto"/>
                <w:sz w:val="24"/>
                <w:highlight w:val="none"/>
              </w:rPr>
            </w:pPr>
          </w:p>
        </w:tc>
      </w:tr>
      <w:tr w14:paraId="6F92B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492" w:type="dxa"/>
            <w:tcBorders>
              <w:top w:val="single" w:color="auto" w:sz="4" w:space="0"/>
              <w:left w:val="single" w:color="auto" w:sz="4" w:space="0"/>
              <w:bottom w:val="single" w:color="auto" w:sz="4" w:space="0"/>
              <w:right w:val="single" w:color="auto" w:sz="4" w:space="0"/>
            </w:tcBorders>
            <w:noWrap w:val="0"/>
            <w:vAlign w:val="center"/>
          </w:tcPr>
          <w:p w14:paraId="6430CB0B">
            <w:pPr>
              <w:adjustRightInd w:val="0"/>
              <w:snapToGrid w:val="0"/>
              <w:spacing w:line="400" w:lineRule="exact"/>
              <w:jc w:val="center"/>
              <w:rPr>
                <w:rFonts w:hint="eastAsia" w:ascii="宋体" w:hAnsi="宋体" w:eastAsia="宋体" w:cs="宋体"/>
                <w:color w:val="auto"/>
                <w:sz w:val="24"/>
                <w:highlight w:val="none"/>
              </w:rPr>
            </w:pPr>
          </w:p>
        </w:tc>
        <w:tc>
          <w:tcPr>
            <w:tcW w:w="1836" w:type="dxa"/>
            <w:tcBorders>
              <w:top w:val="single" w:color="auto" w:sz="4" w:space="0"/>
              <w:left w:val="single" w:color="auto" w:sz="4" w:space="0"/>
              <w:bottom w:val="single" w:color="auto" w:sz="4" w:space="0"/>
              <w:right w:val="single" w:color="auto" w:sz="4" w:space="0"/>
            </w:tcBorders>
            <w:noWrap w:val="0"/>
            <w:vAlign w:val="center"/>
          </w:tcPr>
          <w:p w14:paraId="03B63773">
            <w:pPr>
              <w:adjustRightInd w:val="0"/>
              <w:snapToGrid w:val="0"/>
              <w:spacing w:line="400" w:lineRule="exact"/>
              <w:jc w:val="center"/>
              <w:rPr>
                <w:rFonts w:hint="eastAsia" w:ascii="宋体" w:hAnsi="宋体" w:eastAsia="宋体" w:cs="宋体"/>
                <w:color w:val="auto"/>
                <w:sz w:val="24"/>
                <w:highlight w:val="none"/>
              </w:rPr>
            </w:pPr>
          </w:p>
        </w:tc>
        <w:tc>
          <w:tcPr>
            <w:tcW w:w="1994" w:type="dxa"/>
            <w:tcBorders>
              <w:top w:val="single" w:color="auto" w:sz="4" w:space="0"/>
              <w:left w:val="single" w:color="auto" w:sz="4" w:space="0"/>
              <w:bottom w:val="single" w:color="auto" w:sz="4" w:space="0"/>
              <w:right w:val="single" w:color="auto" w:sz="4" w:space="0"/>
            </w:tcBorders>
            <w:noWrap w:val="0"/>
            <w:vAlign w:val="center"/>
          </w:tcPr>
          <w:p w14:paraId="56205857">
            <w:pPr>
              <w:adjustRightInd w:val="0"/>
              <w:snapToGrid w:val="0"/>
              <w:spacing w:line="400" w:lineRule="exact"/>
              <w:jc w:val="center"/>
              <w:rPr>
                <w:rFonts w:hint="eastAsia" w:ascii="宋体" w:hAnsi="宋体" w:eastAsia="宋体" w:cs="宋体"/>
                <w:color w:val="auto"/>
                <w:sz w:val="24"/>
                <w:highlight w:val="none"/>
              </w:rPr>
            </w:pPr>
          </w:p>
        </w:tc>
        <w:tc>
          <w:tcPr>
            <w:tcW w:w="2030" w:type="dxa"/>
            <w:tcBorders>
              <w:top w:val="single" w:color="auto" w:sz="4" w:space="0"/>
              <w:left w:val="single" w:color="auto" w:sz="4" w:space="0"/>
              <w:bottom w:val="single" w:color="auto" w:sz="4" w:space="0"/>
              <w:right w:val="single" w:color="auto" w:sz="4" w:space="0"/>
            </w:tcBorders>
            <w:noWrap w:val="0"/>
            <w:vAlign w:val="center"/>
          </w:tcPr>
          <w:p w14:paraId="34C5BB33">
            <w:pPr>
              <w:adjustRightInd w:val="0"/>
              <w:snapToGrid w:val="0"/>
              <w:spacing w:line="400" w:lineRule="exact"/>
              <w:jc w:val="center"/>
              <w:rPr>
                <w:rFonts w:hint="eastAsia" w:ascii="宋体" w:hAnsi="宋体" w:eastAsia="宋体" w:cs="宋体"/>
                <w:color w:val="auto"/>
                <w:sz w:val="24"/>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2034F8A9">
            <w:pPr>
              <w:adjustRightInd w:val="0"/>
              <w:snapToGrid w:val="0"/>
              <w:spacing w:line="400" w:lineRule="exact"/>
              <w:jc w:val="center"/>
              <w:rPr>
                <w:rFonts w:hint="eastAsia" w:ascii="宋体" w:hAnsi="宋体" w:eastAsia="宋体" w:cs="宋体"/>
                <w:color w:val="auto"/>
                <w:sz w:val="24"/>
                <w:highlight w:val="none"/>
              </w:rPr>
            </w:pPr>
          </w:p>
        </w:tc>
      </w:tr>
      <w:tr w14:paraId="2138FA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492" w:type="dxa"/>
            <w:tcBorders>
              <w:top w:val="single" w:color="auto" w:sz="4" w:space="0"/>
              <w:left w:val="single" w:color="auto" w:sz="4" w:space="0"/>
              <w:bottom w:val="single" w:color="auto" w:sz="4" w:space="0"/>
              <w:right w:val="single" w:color="auto" w:sz="4" w:space="0"/>
            </w:tcBorders>
            <w:noWrap w:val="0"/>
            <w:vAlign w:val="center"/>
          </w:tcPr>
          <w:p w14:paraId="04B73161">
            <w:pPr>
              <w:adjustRightInd w:val="0"/>
              <w:snapToGrid w:val="0"/>
              <w:spacing w:line="400" w:lineRule="exact"/>
              <w:jc w:val="center"/>
              <w:rPr>
                <w:rFonts w:hint="eastAsia" w:ascii="宋体" w:hAnsi="宋体" w:eastAsia="宋体" w:cs="宋体"/>
                <w:color w:val="auto"/>
                <w:sz w:val="24"/>
                <w:highlight w:val="none"/>
              </w:rPr>
            </w:pPr>
          </w:p>
        </w:tc>
        <w:tc>
          <w:tcPr>
            <w:tcW w:w="1836" w:type="dxa"/>
            <w:tcBorders>
              <w:top w:val="single" w:color="auto" w:sz="4" w:space="0"/>
              <w:left w:val="single" w:color="auto" w:sz="4" w:space="0"/>
              <w:bottom w:val="single" w:color="auto" w:sz="4" w:space="0"/>
              <w:right w:val="single" w:color="auto" w:sz="4" w:space="0"/>
            </w:tcBorders>
            <w:noWrap w:val="0"/>
            <w:vAlign w:val="center"/>
          </w:tcPr>
          <w:p w14:paraId="4C11DF40">
            <w:pPr>
              <w:adjustRightInd w:val="0"/>
              <w:snapToGrid w:val="0"/>
              <w:spacing w:line="400" w:lineRule="exact"/>
              <w:jc w:val="center"/>
              <w:rPr>
                <w:rFonts w:hint="eastAsia" w:ascii="宋体" w:hAnsi="宋体" w:eastAsia="宋体" w:cs="宋体"/>
                <w:color w:val="auto"/>
                <w:sz w:val="24"/>
                <w:highlight w:val="none"/>
              </w:rPr>
            </w:pPr>
          </w:p>
        </w:tc>
        <w:tc>
          <w:tcPr>
            <w:tcW w:w="1994" w:type="dxa"/>
            <w:tcBorders>
              <w:top w:val="single" w:color="auto" w:sz="4" w:space="0"/>
              <w:left w:val="single" w:color="auto" w:sz="4" w:space="0"/>
              <w:bottom w:val="single" w:color="auto" w:sz="4" w:space="0"/>
              <w:right w:val="single" w:color="auto" w:sz="4" w:space="0"/>
            </w:tcBorders>
            <w:noWrap w:val="0"/>
            <w:vAlign w:val="center"/>
          </w:tcPr>
          <w:p w14:paraId="649358DD">
            <w:pPr>
              <w:adjustRightInd w:val="0"/>
              <w:snapToGrid w:val="0"/>
              <w:spacing w:line="400" w:lineRule="exact"/>
              <w:jc w:val="center"/>
              <w:rPr>
                <w:rFonts w:hint="eastAsia" w:ascii="宋体" w:hAnsi="宋体" w:eastAsia="宋体" w:cs="宋体"/>
                <w:color w:val="auto"/>
                <w:sz w:val="24"/>
                <w:highlight w:val="none"/>
              </w:rPr>
            </w:pPr>
          </w:p>
        </w:tc>
        <w:tc>
          <w:tcPr>
            <w:tcW w:w="2030" w:type="dxa"/>
            <w:tcBorders>
              <w:top w:val="single" w:color="auto" w:sz="4" w:space="0"/>
              <w:left w:val="single" w:color="auto" w:sz="4" w:space="0"/>
              <w:bottom w:val="single" w:color="auto" w:sz="4" w:space="0"/>
              <w:right w:val="single" w:color="auto" w:sz="4" w:space="0"/>
            </w:tcBorders>
            <w:noWrap w:val="0"/>
            <w:vAlign w:val="center"/>
          </w:tcPr>
          <w:p w14:paraId="00FF1540">
            <w:pPr>
              <w:adjustRightInd w:val="0"/>
              <w:snapToGrid w:val="0"/>
              <w:spacing w:line="400" w:lineRule="exact"/>
              <w:jc w:val="center"/>
              <w:rPr>
                <w:rFonts w:hint="eastAsia" w:ascii="宋体" w:hAnsi="宋体" w:eastAsia="宋体" w:cs="宋体"/>
                <w:color w:val="auto"/>
                <w:sz w:val="24"/>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10AA488C">
            <w:pPr>
              <w:adjustRightInd w:val="0"/>
              <w:snapToGrid w:val="0"/>
              <w:spacing w:line="400" w:lineRule="exact"/>
              <w:jc w:val="center"/>
              <w:rPr>
                <w:rFonts w:hint="eastAsia" w:ascii="宋体" w:hAnsi="宋体" w:eastAsia="宋体" w:cs="宋体"/>
                <w:color w:val="auto"/>
                <w:sz w:val="24"/>
                <w:highlight w:val="none"/>
              </w:rPr>
            </w:pPr>
          </w:p>
        </w:tc>
      </w:tr>
      <w:tr w14:paraId="5CF24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492" w:type="dxa"/>
            <w:tcBorders>
              <w:top w:val="single" w:color="auto" w:sz="4" w:space="0"/>
              <w:left w:val="single" w:color="auto" w:sz="4" w:space="0"/>
              <w:bottom w:val="single" w:color="auto" w:sz="4" w:space="0"/>
              <w:right w:val="single" w:color="auto" w:sz="4" w:space="0"/>
            </w:tcBorders>
            <w:noWrap w:val="0"/>
            <w:vAlign w:val="center"/>
          </w:tcPr>
          <w:p w14:paraId="7449B9FB">
            <w:pPr>
              <w:adjustRightInd w:val="0"/>
              <w:snapToGrid w:val="0"/>
              <w:spacing w:line="400" w:lineRule="exact"/>
              <w:jc w:val="center"/>
              <w:rPr>
                <w:rFonts w:hint="eastAsia" w:ascii="宋体" w:hAnsi="宋体" w:eastAsia="宋体" w:cs="宋体"/>
                <w:color w:val="auto"/>
                <w:sz w:val="24"/>
                <w:highlight w:val="none"/>
              </w:rPr>
            </w:pPr>
          </w:p>
        </w:tc>
        <w:tc>
          <w:tcPr>
            <w:tcW w:w="1836" w:type="dxa"/>
            <w:tcBorders>
              <w:top w:val="single" w:color="auto" w:sz="4" w:space="0"/>
              <w:left w:val="single" w:color="auto" w:sz="4" w:space="0"/>
              <w:bottom w:val="single" w:color="auto" w:sz="4" w:space="0"/>
              <w:right w:val="single" w:color="auto" w:sz="4" w:space="0"/>
            </w:tcBorders>
            <w:noWrap w:val="0"/>
            <w:vAlign w:val="center"/>
          </w:tcPr>
          <w:p w14:paraId="409EA5D3">
            <w:pPr>
              <w:adjustRightInd w:val="0"/>
              <w:snapToGrid w:val="0"/>
              <w:spacing w:line="400" w:lineRule="exact"/>
              <w:jc w:val="center"/>
              <w:rPr>
                <w:rFonts w:hint="eastAsia" w:ascii="宋体" w:hAnsi="宋体" w:eastAsia="宋体" w:cs="宋体"/>
                <w:color w:val="auto"/>
                <w:sz w:val="24"/>
                <w:highlight w:val="none"/>
              </w:rPr>
            </w:pPr>
          </w:p>
        </w:tc>
        <w:tc>
          <w:tcPr>
            <w:tcW w:w="1994" w:type="dxa"/>
            <w:tcBorders>
              <w:top w:val="single" w:color="auto" w:sz="4" w:space="0"/>
              <w:left w:val="single" w:color="auto" w:sz="4" w:space="0"/>
              <w:bottom w:val="single" w:color="auto" w:sz="4" w:space="0"/>
              <w:right w:val="single" w:color="auto" w:sz="4" w:space="0"/>
            </w:tcBorders>
            <w:noWrap w:val="0"/>
            <w:vAlign w:val="center"/>
          </w:tcPr>
          <w:p w14:paraId="6744968F">
            <w:pPr>
              <w:adjustRightInd w:val="0"/>
              <w:snapToGrid w:val="0"/>
              <w:spacing w:line="400" w:lineRule="exact"/>
              <w:jc w:val="center"/>
              <w:rPr>
                <w:rFonts w:hint="eastAsia" w:ascii="宋体" w:hAnsi="宋体" w:eastAsia="宋体" w:cs="宋体"/>
                <w:color w:val="auto"/>
                <w:sz w:val="24"/>
                <w:highlight w:val="none"/>
              </w:rPr>
            </w:pPr>
          </w:p>
        </w:tc>
        <w:tc>
          <w:tcPr>
            <w:tcW w:w="2030" w:type="dxa"/>
            <w:tcBorders>
              <w:top w:val="single" w:color="auto" w:sz="4" w:space="0"/>
              <w:left w:val="single" w:color="auto" w:sz="4" w:space="0"/>
              <w:bottom w:val="single" w:color="auto" w:sz="4" w:space="0"/>
              <w:right w:val="single" w:color="auto" w:sz="4" w:space="0"/>
            </w:tcBorders>
            <w:noWrap w:val="0"/>
            <w:vAlign w:val="center"/>
          </w:tcPr>
          <w:p w14:paraId="6BBD2A19">
            <w:pPr>
              <w:adjustRightInd w:val="0"/>
              <w:snapToGrid w:val="0"/>
              <w:spacing w:line="400" w:lineRule="exact"/>
              <w:jc w:val="center"/>
              <w:rPr>
                <w:rFonts w:hint="eastAsia" w:ascii="宋体" w:hAnsi="宋体" w:eastAsia="宋体" w:cs="宋体"/>
                <w:color w:val="auto"/>
                <w:sz w:val="24"/>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212CA36D">
            <w:pPr>
              <w:adjustRightInd w:val="0"/>
              <w:snapToGrid w:val="0"/>
              <w:spacing w:line="400" w:lineRule="exact"/>
              <w:jc w:val="center"/>
              <w:rPr>
                <w:rFonts w:hint="eastAsia" w:ascii="宋体" w:hAnsi="宋体" w:eastAsia="宋体" w:cs="宋体"/>
                <w:color w:val="auto"/>
                <w:sz w:val="24"/>
                <w:highlight w:val="none"/>
              </w:rPr>
            </w:pPr>
          </w:p>
        </w:tc>
      </w:tr>
    </w:tbl>
    <w:p w14:paraId="42E4DDC0">
      <w:pPr>
        <w:adjustRightInd w:val="0"/>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注：1、供应商应根据投标标的物的性能指标、对照招标文件要求在“偏离情况”栏注明“正偏离”“负偏离”或“无偏离”。</w:t>
      </w:r>
    </w:p>
    <w:p w14:paraId="53EDE8FB">
      <w:pPr>
        <w:adjustRightInd w:val="0"/>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2、每项技术参数须针对项目需求提供相关佐证材料（包括但不限于检测报告、技术规格书、实物参数图片等）。</w:t>
      </w:r>
    </w:p>
    <w:p w14:paraId="6253B759">
      <w:pPr>
        <w:adjustRightInd w:val="0"/>
        <w:snapToGrid w:val="0"/>
        <w:spacing w:line="400" w:lineRule="exact"/>
        <w:rPr>
          <w:rFonts w:hint="eastAsia" w:ascii="宋体" w:hAnsi="宋体" w:cs="宋体"/>
          <w:color w:val="auto"/>
          <w:spacing w:val="20"/>
          <w:sz w:val="24"/>
          <w:highlight w:val="none"/>
        </w:rPr>
      </w:pPr>
      <w:r>
        <w:rPr>
          <w:rFonts w:hint="eastAsia" w:ascii="宋体" w:hAnsi="宋体" w:cs="宋体"/>
          <w:color w:val="auto"/>
          <w:sz w:val="24"/>
          <w:highlight w:val="none"/>
        </w:rPr>
        <w:t>3、供应商提供投标标的物的性能指标与实际不符的且产生偏离的，评标委员会有权认定该投标文件为无效响应。</w:t>
      </w:r>
    </w:p>
    <w:p w14:paraId="1DEB95EB">
      <w:pPr>
        <w:adjustRightInd w:val="0"/>
        <w:snapToGrid w:val="0"/>
        <w:spacing w:line="400" w:lineRule="exact"/>
        <w:ind w:right="-817" w:rightChars="-389"/>
        <w:rPr>
          <w:rFonts w:hint="eastAsia" w:ascii="宋体" w:hAnsi="宋体" w:cs="宋体"/>
          <w:color w:val="auto"/>
          <w:sz w:val="24"/>
          <w:highlight w:val="none"/>
        </w:rPr>
      </w:pPr>
    </w:p>
    <w:p w14:paraId="494AF505">
      <w:pPr>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供应商 （公章）：</w:t>
      </w:r>
    </w:p>
    <w:p w14:paraId="71E901D4">
      <w:pPr>
        <w:rPr>
          <w:rFonts w:hint="eastAsia" w:ascii="宋体" w:hAnsi="宋体" w:cs="宋体"/>
          <w:color w:val="auto"/>
          <w:sz w:val="24"/>
          <w:highlight w:val="none"/>
          <w:u w:val="single"/>
        </w:rPr>
      </w:pPr>
    </w:p>
    <w:p w14:paraId="22CE9115">
      <w:pPr>
        <w:jc w:val="center"/>
        <w:rPr>
          <w:rFonts w:hint="eastAsia" w:ascii="宋体" w:hAnsi="宋体" w:cs="宋体"/>
          <w:color w:val="auto"/>
          <w:sz w:val="24"/>
          <w:highlight w:val="none"/>
        </w:rPr>
      </w:pPr>
      <w:r>
        <w:rPr>
          <w:rFonts w:hint="eastAsia" w:ascii="宋体" w:hAnsi="宋体" w:cs="宋体"/>
          <w:color w:val="auto"/>
          <w:sz w:val="24"/>
          <w:highlight w:val="none"/>
        </w:rPr>
        <w:t xml:space="preserve">                    法定代表人或委托代理人（签字或盖章）：</w:t>
      </w:r>
    </w:p>
    <w:p w14:paraId="08982F96">
      <w:pPr>
        <w:rPr>
          <w:rFonts w:hint="eastAsia" w:ascii="宋体" w:hAnsi="宋体" w:cs="宋体"/>
          <w:color w:val="auto"/>
          <w:sz w:val="24"/>
          <w:highlight w:val="none"/>
        </w:rPr>
      </w:pPr>
    </w:p>
    <w:p w14:paraId="1FC76825">
      <w:pPr>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1C7EEA50">
      <w:pPr>
        <w:rPr>
          <w:rFonts w:hint="eastAsia" w:ascii="宋体" w:hAnsi="宋体" w:cs="宋体"/>
          <w:color w:val="auto"/>
          <w:sz w:val="24"/>
          <w:highlight w:val="none"/>
        </w:rPr>
      </w:pPr>
    </w:p>
    <w:p w14:paraId="6471E5CF">
      <w:pPr>
        <w:pStyle w:val="6"/>
        <w:spacing w:line="360" w:lineRule="auto"/>
        <w:ind w:firstLine="0"/>
        <w:jc w:val="center"/>
        <w:rPr>
          <w:rFonts w:hint="eastAsia" w:ascii="宋体" w:hAnsi="宋体" w:cs="宋体"/>
          <w:b/>
          <w:bCs/>
          <w:color w:val="auto"/>
          <w:sz w:val="24"/>
          <w:szCs w:val="24"/>
          <w:highlight w:val="none"/>
          <w:lang w:val="en-GB"/>
        </w:rPr>
      </w:pPr>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格式</w:t>
      </w:r>
      <w:r>
        <w:rPr>
          <w:rFonts w:hint="eastAsia" w:ascii="宋体" w:hAnsi="宋体" w:cs="宋体"/>
          <w:b/>
          <w:bCs/>
          <w:color w:val="auto"/>
          <w:sz w:val="28"/>
          <w:szCs w:val="28"/>
          <w:highlight w:val="none"/>
          <w:lang w:val="en-US" w:eastAsia="zh-CN"/>
        </w:rPr>
        <w:t>19</w:t>
      </w:r>
      <w:r>
        <w:rPr>
          <w:rFonts w:hint="eastAsia" w:ascii="宋体" w:hAnsi="宋体" w:cs="宋体"/>
          <w:b/>
          <w:bCs/>
          <w:color w:val="auto"/>
          <w:sz w:val="28"/>
          <w:szCs w:val="28"/>
          <w:highlight w:val="none"/>
        </w:rPr>
        <w:t xml:space="preserve">  项目负责人简历表</w:t>
      </w:r>
    </w:p>
    <w:tbl>
      <w:tblPr>
        <w:tblStyle w:val="36"/>
        <w:tblW w:w="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435"/>
        <w:gridCol w:w="1281"/>
        <w:gridCol w:w="215"/>
        <w:gridCol w:w="1483"/>
        <w:gridCol w:w="256"/>
        <w:gridCol w:w="1315"/>
        <w:gridCol w:w="964"/>
        <w:gridCol w:w="345"/>
        <w:gridCol w:w="1513"/>
      </w:tblGrid>
      <w:tr w14:paraId="5387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79" w:type="dxa"/>
            <w:tcBorders>
              <w:top w:val="single" w:color="auto" w:sz="4" w:space="0"/>
              <w:left w:val="single" w:color="auto" w:sz="4" w:space="0"/>
              <w:bottom w:val="single" w:color="auto" w:sz="4" w:space="0"/>
              <w:right w:val="single" w:color="auto" w:sz="4" w:space="0"/>
            </w:tcBorders>
            <w:noWrap w:val="0"/>
            <w:vAlign w:val="center"/>
          </w:tcPr>
          <w:p w14:paraId="14796544">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931" w:type="dxa"/>
            <w:gridSpan w:val="3"/>
            <w:tcBorders>
              <w:top w:val="single" w:color="auto" w:sz="4" w:space="0"/>
              <w:left w:val="single" w:color="auto" w:sz="4" w:space="0"/>
              <w:bottom w:val="single" w:color="auto" w:sz="4" w:space="0"/>
              <w:right w:val="single" w:color="auto" w:sz="4" w:space="0"/>
            </w:tcBorders>
            <w:noWrap w:val="0"/>
            <w:vAlign w:val="center"/>
          </w:tcPr>
          <w:p w14:paraId="4CAFA3AC">
            <w:pPr>
              <w:rPr>
                <w:rFonts w:hint="eastAsia" w:ascii="宋体" w:hAnsi="宋体" w:eastAsia="宋体" w:cs="宋体"/>
                <w:color w:val="auto"/>
                <w:sz w:val="24"/>
                <w:highlight w:val="none"/>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14:paraId="35254E28">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571" w:type="dxa"/>
            <w:gridSpan w:val="2"/>
            <w:tcBorders>
              <w:top w:val="single" w:color="auto" w:sz="4" w:space="0"/>
              <w:left w:val="single" w:color="auto" w:sz="4" w:space="0"/>
              <w:bottom w:val="single" w:color="auto" w:sz="4" w:space="0"/>
              <w:right w:val="single" w:color="auto" w:sz="4" w:space="0"/>
            </w:tcBorders>
            <w:noWrap w:val="0"/>
            <w:vAlign w:val="center"/>
          </w:tcPr>
          <w:p w14:paraId="4554764D">
            <w:pPr>
              <w:rPr>
                <w:rFonts w:hint="eastAsia" w:ascii="宋体" w:hAnsi="宋体" w:eastAsia="宋体" w:cs="宋体"/>
                <w:color w:val="auto"/>
                <w:sz w:val="24"/>
                <w:highlight w:val="none"/>
              </w:rPr>
            </w:pPr>
          </w:p>
        </w:tc>
        <w:tc>
          <w:tcPr>
            <w:tcW w:w="1309" w:type="dxa"/>
            <w:gridSpan w:val="2"/>
            <w:tcBorders>
              <w:top w:val="single" w:color="auto" w:sz="4" w:space="0"/>
              <w:left w:val="single" w:color="auto" w:sz="4" w:space="0"/>
              <w:bottom w:val="single" w:color="auto" w:sz="4" w:space="0"/>
              <w:right w:val="single" w:color="auto" w:sz="4" w:space="0"/>
            </w:tcBorders>
            <w:noWrap w:val="0"/>
            <w:vAlign w:val="center"/>
          </w:tcPr>
          <w:p w14:paraId="7FCE0A9B">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1E2FF546">
            <w:pPr>
              <w:rPr>
                <w:rFonts w:hint="eastAsia" w:ascii="宋体" w:hAnsi="宋体" w:eastAsia="宋体" w:cs="宋体"/>
                <w:color w:val="auto"/>
                <w:sz w:val="24"/>
                <w:highlight w:val="none"/>
              </w:rPr>
            </w:pPr>
          </w:p>
        </w:tc>
      </w:tr>
      <w:tr w14:paraId="19607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79" w:type="dxa"/>
            <w:tcBorders>
              <w:top w:val="single" w:color="auto" w:sz="4" w:space="0"/>
              <w:left w:val="single" w:color="auto" w:sz="4" w:space="0"/>
              <w:bottom w:val="single" w:color="auto" w:sz="4" w:space="0"/>
              <w:right w:val="single" w:color="auto" w:sz="4" w:space="0"/>
            </w:tcBorders>
            <w:noWrap w:val="0"/>
            <w:vAlign w:val="center"/>
          </w:tcPr>
          <w:p w14:paraId="15302612">
            <w:pPr>
              <w:tabs>
                <w:tab w:val="left" w:pos="360"/>
                <w:tab w:val="left" w:pos="18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931" w:type="dxa"/>
            <w:gridSpan w:val="3"/>
            <w:tcBorders>
              <w:top w:val="single" w:color="auto" w:sz="4" w:space="0"/>
              <w:left w:val="single" w:color="auto" w:sz="4" w:space="0"/>
              <w:bottom w:val="single" w:color="auto" w:sz="4" w:space="0"/>
              <w:right w:val="single" w:color="auto" w:sz="4" w:space="0"/>
            </w:tcBorders>
            <w:noWrap w:val="0"/>
            <w:vAlign w:val="center"/>
          </w:tcPr>
          <w:p w14:paraId="556D42FE">
            <w:pPr>
              <w:tabs>
                <w:tab w:val="left" w:pos="360"/>
                <w:tab w:val="left" w:pos="1800"/>
              </w:tabs>
              <w:jc w:val="center"/>
              <w:rPr>
                <w:rFonts w:hint="eastAsia" w:ascii="宋体" w:hAnsi="宋体" w:eastAsia="宋体" w:cs="宋体"/>
                <w:color w:val="auto"/>
                <w:sz w:val="24"/>
                <w:highlight w:val="none"/>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14:paraId="14CFA5B3">
            <w:pPr>
              <w:tabs>
                <w:tab w:val="left" w:pos="360"/>
                <w:tab w:val="left" w:pos="18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学历/学位</w:t>
            </w:r>
          </w:p>
        </w:tc>
        <w:tc>
          <w:tcPr>
            <w:tcW w:w="1571" w:type="dxa"/>
            <w:gridSpan w:val="2"/>
            <w:tcBorders>
              <w:top w:val="single" w:color="auto" w:sz="4" w:space="0"/>
              <w:left w:val="single" w:color="auto" w:sz="4" w:space="0"/>
              <w:bottom w:val="single" w:color="auto" w:sz="4" w:space="0"/>
              <w:right w:val="single" w:color="auto" w:sz="4" w:space="0"/>
            </w:tcBorders>
            <w:noWrap w:val="0"/>
            <w:vAlign w:val="center"/>
          </w:tcPr>
          <w:p w14:paraId="0C9F72FD">
            <w:pPr>
              <w:tabs>
                <w:tab w:val="left" w:pos="360"/>
                <w:tab w:val="left" w:pos="1800"/>
              </w:tabs>
              <w:jc w:val="center"/>
              <w:rPr>
                <w:rFonts w:hint="eastAsia" w:ascii="宋体" w:hAnsi="宋体" w:eastAsia="宋体" w:cs="宋体"/>
                <w:color w:val="auto"/>
                <w:sz w:val="24"/>
                <w:highlight w:val="none"/>
              </w:rPr>
            </w:pPr>
          </w:p>
        </w:tc>
        <w:tc>
          <w:tcPr>
            <w:tcW w:w="1309" w:type="dxa"/>
            <w:gridSpan w:val="2"/>
            <w:tcBorders>
              <w:top w:val="single" w:color="auto" w:sz="4" w:space="0"/>
              <w:left w:val="single" w:color="auto" w:sz="4" w:space="0"/>
              <w:bottom w:val="single" w:color="auto" w:sz="4" w:space="0"/>
              <w:right w:val="single" w:color="auto" w:sz="4" w:space="0"/>
            </w:tcBorders>
            <w:noWrap w:val="0"/>
            <w:vAlign w:val="center"/>
          </w:tcPr>
          <w:p w14:paraId="6C628756">
            <w:pPr>
              <w:tabs>
                <w:tab w:val="left" w:pos="360"/>
                <w:tab w:val="left" w:pos="18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拟在本项目担任职务</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52C20E9E">
            <w:pPr>
              <w:tabs>
                <w:tab w:val="left" w:pos="360"/>
                <w:tab w:val="left" w:pos="1800"/>
              </w:tabs>
              <w:jc w:val="center"/>
              <w:rPr>
                <w:rFonts w:hint="eastAsia" w:ascii="宋体" w:hAnsi="宋体" w:eastAsia="宋体" w:cs="宋体"/>
                <w:color w:val="auto"/>
                <w:sz w:val="24"/>
                <w:highlight w:val="none"/>
              </w:rPr>
            </w:pPr>
          </w:p>
        </w:tc>
      </w:tr>
      <w:tr w14:paraId="5D37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14" w:type="dxa"/>
            <w:gridSpan w:val="2"/>
            <w:tcBorders>
              <w:top w:val="single" w:color="auto" w:sz="4" w:space="0"/>
              <w:left w:val="single" w:color="auto" w:sz="4" w:space="0"/>
              <w:bottom w:val="single" w:color="auto" w:sz="4" w:space="0"/>
              <w:right w:val="single" w:color="auto" w:sz="4" w:space="0"/>
            </w:tcBorders>
            <w:noWrap w:val="0"/>
            <w:vAlign w:val="center"/>
          </w:tcPr>
          <w:p w14:paraId="719EEB7E">
            <w:pPr>
              <w:tabs>
                <w:tab w:val="left" w:pos="360"/>
                <w:tab w:val="left" w:pos="18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毕业院校</w:t>
            </w:r>
          </w:p>
        </w:tc>
        <w:tc>
          <w:tcPr>
            <w:tcW w:w="7372" w:type="dxa"/>
            <w:gridSpan w:val="8"/>
            <w:tcBorders>
              <w:top w:val="single" w:color="auto" w:sz="4" w:space="0"/>
              <w:left w:val="single" w:color="auto" w:sz="4" w:space="0"/>
              <w:bottom w:val="single" w:color="auto" w:sz="4" w:space="0"/>
              <w:right w:val="single" w:color="auto" w:sz="4" w:space="0"/>
            </w:tcBorders>
            <w:noWrap w:val="0"/>
            <w:vAlign w:val="center"/>
          </w:tcPr>
          <w:p w14:paraId="69580C44">
            <w:pPr>
              <w:tabs>
                <w:tab w:val="left" w:pos="360"/>
                <w:tab w:val="left" w:pos="18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年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月毕业于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学校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专业，学制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p>
        </w:tc>
      </w:tr>
      <w:tr w14:paraId="156DD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14" w:type="dxa"/>
            <w:gridSpan w:val="2"/>
            <w:tcBorders>
              <w:top w:val="single" w:color="auto" w:sz="4" w:space="0"/>
              <w:left w:val="single" w:color="auto" w:sz="4" w:space="0"/>
              <w:bottom w:val="single" w:color="auto" w:sz="4" w:space="0"/>
              <w:right w:val="single" w:color="auto" w:sz="4" w:space="0"/>
            </w:tcBorders>
            <w:noWrap w:val="0"/>
            <w:vAlign w:val="center"/>
          </w:tcPr>
          <w:p w14:paraId="43907679">
            <w:pPr>
              <w:tabs>
                <w:tab w:val="left" w:pos="360"/>
                <w:tab w:val="left" w:pos="18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tc>
        <w:tc>
          <w:tcPr>
            <w:tcW w:w="2979" w:type="dxa"/>
            <w:gridSpan w:val="3"/>
            <w:tcBorders>
              <w:top w:val="single" w:color="auto" w:sz="4" w:space="0"/>
              <w:left w:val="single" w:color="auto" w:sz="4" w:space="0"/>
              <w:bottom w:val="single" w:color="auto" w:sz="4" w:space="0"/>
              <w:right w:val="single" w:color="auto" w:sz="4" w:space="0"/>
            </w:tcBorders>
            <w:noWrap w:val="0"/>
            <w:vAlign w:val="center"/>
          </w:tcPr>
          <w:p w14:paraId="0205C021">
            <w:pPr>
              <w:tabs>
                <w:tab w:val="left" w:pos="360"/>
                <w:tab w:val="left" w:pos="1800"/>
              </w:tabs>
              <w:jc w:val="center"/>
              <w:rPr>
                <w:rFonts w:hint="eastAsia" w:ascii="宋体" w:hAnsi="宋体" w:eastAsia="宋体" w:cs="宋体"/>
                <w:color w:val="auto"/>
                <w:sz w:val="24"/>
                <w:highlight w:val="none"/>
              </w:rPr>
            </w:pPr>
          </w:p>
        </w:tc>
        <w:tc>
          <w:tcPr>
            <w:tcW w:w="2880" w:type="dxa"/>
            <w:gridSpan w:val="4"/>
            <w:tcBorders>
              <w:top w:val="single" w:color="auto" w:sz="4" w:space="0"/>
              <w:left w:val="single" w:color="auto" w:sz="4" w:space="0"/>
              <w:bottom w:val="single" w:color="auto" w:sz="4" w:space="0"/>
              <w:right w:val="single" w:color="auto" w:sz="4" w:space="0"/>
            </w:tcBorders>
            <w:noWrap w:val="0"/>
            <w:vAlign w:val="center"/>
          </w:tcPr>
          <w:p w14:paraId="176D5FCE">
            <w:pPr>
              <w:tabs>
                <w:tab w:val="left" w:pos="360"/>
                <w:tab w:val="left" w:pos="18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从事本专业工作时间</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6ADF690F">
            <w:pPr>
              <w:tabs>
                <w:tab w:val="left" w:pos="360"/>
                <w:tab w:val="left" w:pos="1800"/>
              </w:tabs>
              <w:jc w:val="center"/>
              <w:rPr>
                <w:rFonts w:hint="eastAsia" w:ascii="宋体" w:hAnsi="宋体" w:eastAsia="宋体" w:cs="宋体"/>
                <w:color w:val="auto"/>
                <w:sz w:val="24"/>
                <w:highlight w:val="none"/>
              </w:rPr>
            </w:pPr>
          </w:p>
        </w:tc>
      </w:tr>
      <w:tr w14:paraId="0A5EA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386" w:type="dxa"/>
            <w:gridSpan w:val="10"/>
            <w:tcBorders>
              <w:top w:val="single" w:color="auto" w:sz="4" w:space="0"/>
              <w:left w:val="single" w:color="auto" w:sz="4" w:space="0"/>
              <w:bottom w:val="single" w:color="auto" w:sz="4" w:space="0"/>
              <w:right w:val="single" w:color="auto" w:sz="4" w:space="0"/>
            </w:tcBorders>
            <w:noWrap w:val="0"/>
            <w:vAlign w:val="center"/>
          </w:tcPr>
          <w:p w14:paraId="24E5B2E0">
            <w:pPr>
              <w:tabs>
                <w:tab w:val="left" w:pos="360"/>
                <w:tab w:val="left" w:pos="18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  要  经   历</w:t>
            </w:r>
          </w:p>
        </w:tc>
      </w:tr>
      <w:tr w14:paraId="7AB6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79" w:type="dxa"/>
            <w:tcBorders>
              <w:top w:val="single" w:color="auto" w:sz="4" w:space="0"/>
              <w:left w:val="single" w:color="auto" w:sz="4" w:space="0"/>
              <w:bottom w:val="single" w:color="auto" w:sz="4" w:space="0"/>
              <w:right w:val="single" w:color="auto" w:sz="4" w:space="0"/>
            </w:tcBorders>
            <w:noWrap w:val="0"/>
            <w:vAlign w:val="center"/>
          </w:tcPr>
          <w:p w14:paraId="56C8DD58">
            <w:pPr>
              <w:tabs>
                <w:tab w:val="left" w:pos="360"/>
                <w:tab w:val="left" w:pos="18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年～年</w:t>
            </w:r>
          </w:p>
        </w:tc>
        <w:tc>
          <w:tcPr>
            <w:tcW w:w="1716" w:type="dxa"/>
            <w:gridSpan w:val="2"/>
            <w:tcBorders>
              <w:top w:val="single" w:color="auto" w:sz="4" w:space="0"/>
              <w:left w:val="single" w:color="auto" w:sz="4" w:space="0"/>
              <w:bottom w:val="single" w:color="auto" w:sz="4" w:space="0"/>
              <w:right w:val="single" w:color="auto" w:sz="4" w:space="0"/>
            </w:tcBorders>
            <w:noWrap w:val="0"/>
            <w:vAlign w:val="center"/>
          </w:tcPr>
          <w:p w14:paraId="2B4D4055">
            <w:pPr>
              <w:tabs>
                <w:tab w:val="left" w:pos="360"/>
                <w:tab w:val="left" w:pos="18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参加过类似的项目名称</w:t>
            </w:r>
          </w:p>
        </w:tc>
        <w:tc>
          <w:tcPr>
            <w:tcW w:w="1954" w:type="dxa"/>
            <w:gridSpan w:val="3"/>
            <w:tcBorders>
              <w:top w:val="single" w:color="auto" w:sz="4" w:space="0"/>
              <w:left w:val="single" w:color="auto" w:sz="4" w:space="0"/>
              <w:bottom w:val="single" w:color="auto" w:sz="4" w:space="0"/>
              <w:right w:val="single" w:color="auto" w:sz="4" w:space="0"/>
            </w:tcBorders>
            <w:noWrap w:val="0"/>
            <w:vAlign w:val="center"/>
          </w:tcPr>
          <w:p w14:paraId="66FEF043">
            <w:pPr>
              <w:tabs>
                <w:tab w:val="left" w:pos="360"/>
                <w:tab w:val="left" w:pos="18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合同金额</w:t>
            </w:r>
          </w:p>
        </w:tc>
        <w:tc>
          <w:tcPr>
            <w:tcW w:w="2279" w:type="dxa"/>
            <w:gridSpan w:val="2"/>
            <w:tcBorders>
              <w:top w:val="single" w:color="auto" w:sz="4" w:space="0"/>
              <w:left w:val="single" w:color="auto" w:sz="4" w:space="0"/>
              <w:bottom w:val="single" w:color="auto" w:sz="4" w:space="0"/>
              <w:right w:val="single" w:color="auto" w:sz="4" w:space="0"/>
            </w:tcBorders>
            <w:noWrap w:val="0"/>
            <w:vAlign w:val="center"/>
          </w:tcPr>
          <w:p w14:paraId="76A04E83">
            <w:pPr>
              <w:tabs>
                <w:tab w:val="left" w:pos="360"/>
                <w:tab w:val="left" w:pos="18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担任何职</w:t>
            </w:r>
          </w:p>
        </w:tc>
        <w:tc>
          <w:tcPr>
            <w:tcW w:w="1858" w:type="dxa"/>
            <w:gridSpan w:val="2"/>
            <w:tcBorders>
              <w:top w:val="single" w:color="auto" w:sz="4" w:space="0"/>
              <w:left w:val="single" w:color="auto" w:sz="4" w:space="0"/>
              <w:bottom w:val="single" w:color="auto" w:sz="4" w:space="0"/>
              <w:right w:val="single" w:color="auto" w:sz="4" w:space="0"/>
            </w:tcBorders>
            <w:noWrap w:val="0"/>
            <w:vAlign w:val="center"/>
          </w:tcPr>
          <w:p w14:paraId="3C3259BE">
            <w:pPr>
              <w:tabs>
                <w:tab w:val="left" w:pos="360"/>
                <w:tab w:val="left" w:pos="18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6314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79" w:type="dxa"/>
            <w:tcBorders>
              <w:top w:val="single" w:color="auto" w:sz="4" w:space="0"/>
              <w:left w:val="single" w:color="auto" w:sz="4" w:space="0"/>
              <w:bottom w:val="single" w:color="auto" w:sz="4" w:space="0"/>
              <w:right w:val="single" w:color="auto" w:sz="4" w:space="0"/>
            </w:tcBorders>
            <w:noWrap w:val="0"/>
            <w:vAlign w:val="top"/>
          </w:tcPr>
          <w:p w14:paraId="318C07C8">
            <w:pPr>
              <w:tabs>
                <w:tab w:val="left" w:pos="360"/>
                <w:tab w:val="left" w:pos="1800"/>
              </w:tabs>
              <w:jc w:val="center"/>
              <w:rPr>
                <w:rFonts w:hint="eastAsia" w:ascii="宋体" w:hAnsi="宋体" w:eastAsia="宋体" w:cs="宋体"/>
                <w:color w:val="auto"/>
                <w:sz w:val="24"/>
                <w:highlight w:val="none"/>
              </w:rPr>
            </w:pPr>
          </w:p>
        </w:tc>
        <w:tc>
          <w:tcPr>
            <w:tcW w:w="1716" w:type="dxa"/>
            <w:gridSpan w:val="2"/>
            <w:tcBorders>
              <w:top w:val="single" w:color="auto" w:sz="4" w:space="0"/>
              <w:left w:val="single" w:color="auto" w:sz="4" w:space="0"/>
              <w:bottom w:val="single" w:color="auto" w:sz="4" w:space="0"/>
              <w:right w:val="single" w:color="auto" w:sz="4" w:space="0"/>
            </w:tcBorders>
            <w:noWrap w:val="0"/>
            <w:vAlign w:val="top"/>
          </w:tcPr>
          <w:p w14:paraId="275F0407">
            <w:pPr>
              <w:tabs>
                <w:tab w:val="left" w:pos="360"/>
                <w:tab w:val="left" w:pos="1800"/>
              </w:tabs>
              <w:jc w:val="center"/>
              <w:rPr>
                <w:rFonts w:hint="eastAsia" w:ascii="宋体" w:hAnsi="宋体" w:eastAsia="宋体" w:cs="宋体"/>
                <w:color w:val="auto"/>
                <w:sz w:val="24"/>
                <w:highlight w:val="none"/>
              </w:rPr>
            </w:pPr>
          </w:p>
        </w:tc>
        <w:tc>
          <w:tcPr>
            <w:tcW w:w="1954" w:type="dxa"/>
            <w:gridSpan w:val="3"/>
            <w:tcBorders>
              <w:top w:val="single" w:color="auto" w:sz="4" w:space="0"/>
              <w:left w:val="single" w:color="auto" w:sz="4" w:space="0"/>
              <w:bottom w:val="single" w:color="auto" w:sz="4" w:space="0"/>
              <w:right w:val="single" w:color="auto" w:sz="4" w:space="0"/>
            </w:tcBorders>
            <w:noWrap w:val="0"/>
            <w:vAlign w:val="top"/>
          </w:tcPr>
          <w:p w14:paraId="26EA3F30">
            <w:pPr>
              <w:tabs>
                <w:tab w:val="left" w:pos="360"/>
                <w:tab w:val="left" w:pos="1800"/>
              </w:tabs>
              <w:jc w:val="center"/>
              <w:rPr>
                <w:rFonts w:hint="eastAsia" w:ascii="宋体" w:hAnsi="宋体" w:eastAsia="宋体" w:cs="宋体"/>
                <w:color w:val="auto"/>
                <w:sz w:val="24"/>
                <w:highlight w:val="none"/>
              </w:rPr>
            </w:pPr>
          </w:p>
        </w:tc>
        <w:tc>
          <w:tcPr>
            <w:tcW w:w="2279" w:type="dxa"/>
            <w:gridSpan w:val="2"/>
            <w:tcBorders>
              <w:top w:val="single" w:color="auto" w:sz="4" w:space="0"/>
              <w:left w:val="single" w:color="auto" w:sz="4" w:space="0"/>
              <w:bottom w:val="single" w:color="auto" w:sz="4" w:space="0"/>
              <w:right w:val="single" w:color="auto" w:sz="4" w:space="0"/>
            </w:tcBorders>
            <w:noWrap w:val="0"/>
            <w:vAlign w:val="top"/>
          </w:tcPr>
          <w:p w14:paraId="0E5A067D">
            <w:pPr>
              <w:tabs>
                <w:tab w:val="left" w:pos="360"/>
                <w:tab w:val="left" w:pos="1800"/>
              </w:tabs>
              <w:jc w:val="center"/>
              <w:rPr>
                <w:rFonts w:hint="eastAsia" w:ascii="宋体" w:hAnsi="宋体" w:eastAsia="宋体" w:cs="宋体"/>
                <w:color w:val="auto"/>
                <w:sz w:val="24"/>
                <w:highlight w:val="none"/>
              </w:rPr>
            </w:pPr>
          </w:p>
        </w:tc>
        <w:tc>
          <w:tcPr>
            <w:tcW w:w="1858" w:type="dxa"/>
            <w:gridSpan w:val="2"/>
            <w:tcBorders>
              <w:top w:val="single" w:color="auto" w:sz="4" w:space="0"/>
              <w:left w:val="single" w:color="auto" w:sz="4" w:space="0"/>
              <w:bottom w:val="single" w:color="auto" w:sz="4" w:space="0"/>
              <w:right w:val="single" w:color="auto" w:sz="4" w:space="0"/>
            </w:tcBorders>
            <w:noWrap w:val="0"/>
            <w:vAlign w:val="top"/>
          </w:tcPr>
          <w:p w14:paraId="7BD2CC18">
            <w:pPr>
              <w:tabs>
                <w:tab w:val="left" w:pos="360"/>
                <w:tab w:val="left" w:pos="1800"/>
              </w:tabs>
              <w:jc w:val="center"/>
              <w:rPr>
                <w:rFonts w:hint="eastAsia" w:ascii="宋体" w:hAnsi="宋体" w:eastAsia="宋体" w:cs="宋体"/>
                <w:color w:val="auto"/>
                <w:sz w:val="24"/>
                <w:highlight w:val="none"/>
              </w:rPr>
            </w:pPr>
          </w:p>
        </w:tc>
      </w:tr>
      <w:tr w14:paraId="01D3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79" w:type="dxa"/>
            <w:tcBorders>
              <w:top w:val="single" w:color="auto" w:sz="4" w:space="0"/>
              <w:left w:val="single" w:color="auto" w:sz="4" w:space="0"/>
              <w:bottom w:val="single" w:color="auto" w:sz="4" w:space="0"/>
              <w:right w:val="single" w:color="auto" w:sz="4" w:space="0"/>
            </w:tcBorders>
            <w:noWrap w:val="0"/>
            <w:vAlign w:val="top"/>
          </w:tcPr>
          <w:p w14:paraId="7DE2C31E">
            <w:pPr>
              <w:tabs>
                <w:tab w:val="left" w:pos="360"/>
                <w:tab w:val="left" w:pos="1800"/>
              </w:tabs>
              <w:jc w:val="center"/>
              <w:rPr>
                <w:rFonts w:hint="eastAsia" w:ascii="宋体" w:hAnsi="宋体" w:eastAsia="宋体" w:cs="宋体"/>
                <w:color w:val="auto"/>
                <w:sz w:val="24"/>
                <w:highlight w:val="none"/>
              </w:rPr>
            </w:pPr>
          </w:p>
        </w:tc>
        <w:tc>
          <w:tcPr>
            <w:tcW w:w="1716" w:type="dxa"/>
            <w:gridSpan w:val="2"/>
            <w:tcBorders>
              <w:top w:val="single" w:color="auto" w:sz="4" w:space="0"/>
              <w:left w:val="single" w:color="auto" w:sz="4" w:space="0"/>
              <w:bottom w:val="single" w:color="auto" w:sz="4" w:space="0"/>
              <w:right w:val="single" w:color="auto" w:sz="4" w:space="0"/>
            </w:tcBorders>
            <w:noWrap w:val="0"/>
            <w:vAlign w:val="top"/>
          </w:tcPr>
          <w:p w14:paraId="5F3BD6CB">
            <w:pPr>
              <w:tabs>
                <w:tab w:val="left" w:pos="360"/>
                <w:tab w:val="left" w:pos="1800"/>
              </w:tabs>
              <w:jc w:val="center"/>
              <w:rPr>
                <w:rFonts w:hint="eastAsia" w:ascii="宋体" w:hAnsi="宋体" w:eastAsia="宋体" w:cs="宋体"/>
                <w:color w:val="auto"/>
                <w:sz w:val="24"/>
                <w:highlight w:val="none"/>
              </w:rPr>
            </w:pPr>
          </w:p>
        </w:tc>
        <w:tc>
          <w:tcPr>
            <w:tcW w:w="1954" w:type="dxa"/>
            <w:gridSpan w:val="3"/>
            <w:tcBorders>
              <w:top w:val="single" w:color="auto" w:sz="4" w:space="0"/>
              <w:left w:val="single" w:color="auto" w:sz="4" w:space="0"/>
              <w:bottom w:val="single" w:color="auto" w:sz="4" w:space="0"/>
              <w:right w:val="single" w:color="auto" w:sz="4" w:space="0"/>
            </w:tcBorders>
            <w:noWrap w:val="0"/>
            <w:vAlign w:val="top"/>
          </w:tcPr>
          <w:p w14:paraId="0AB763D8">
            <w:pPr>
              <w:tabs>
                <w:tab w:val="left" w:pos="360"/>
                <w:tab w:val="left" w:pos="1800"/>
              </w:tabs>
              <w:jc w:val="center"/>
              <w:rPr>
                <w:rFonts w:hint="eastAsia" w:ascii="宋体" w:hAnsi="宋体" w:eastAsia="宋体" w:cs="宋体"/>
                <w:color w:val="auto"/>
                <w:sz w:val="24"/>
                <w:highlight w:val="none"/>
              </w:rPr>
            </w:pPr>
          </w:p>
        </w:tc>
        <w:tc>
          <w:tcPr>
            <w:tcW w:w="2279" w:type="dxa"/>
            <w:gridSpan w:val="2"/>
            <w:tcBorders>
              <w:top w:val="single" w:color="auto" w:sz="4" w:space="0"/>
              <w:left w:val="single" w:color="auto" w:sz="4" w:space="0"/>
              <w:bottom w:val="single" w:color="auto" w:sz="4" w:space="0"/>
              <w:right w:val="single" w:color="auto" w:sz="4" w:space="0"/>
            </w:tcBorders>
            <w:noWrap w:val="0"/>
            <w:vAlign w:val="top"/>
          </w:tcPr>
          <w:p w14:paraId="40DF70E7">
            <w:pPr>
              <w:tabs>
                <w:tab w:val="left" w:pos="360"/>
                <w:tab w:val="left" w:pos="1800"/>
              </w:tabs>
              <w:jc w:val="center"/>
              <w:rPr>
                <w:rFonts w:hint="eastAsia" w:ascii="宋体" w:hAnsi="宋体" w:eastAsia="宋体" w:cs="宋体"/>
                <w:color w:val="auto"/>
                <w:sz w:val="24"/>
                <w:highlight w:val="none"/>
              </w:rPr>
            </w:pPr>
          </w:p>
        </w:tc>
        <w:tc>
          <w:tcPr>
            <w:tcW w:w="1858" w:type="dxa"/>
            <w:gridSpan w:val="2"/>
            <w:tcBorders>
              <w:top w:val="single" w:color="auto" w:sz="4" w:space="0"/>
              <w:left w:val="single" w:color="auto" w:sz="4" w:space="0"/>
              <w:bottom w:val="single" w:color="auto" w:sz="4" w:space="0"/>
              <w:right w:val="single" w:color="auto" w:sz="4" w:space="0"/>
            </w:tcBorders>
            <w:noWrap w:val="0"/>
            <w:vAlign w:val="top"/>
          </w:tcPr>
          <w:p w14:paraId="43E22DAA">
            <w:pPr>
              <w:tabs>
                <w:tab w:val="left" w:pos="360"/>
                <w:tab w:val="left" w:pos="1800"/>
              </w:tabs>
              <w:jc w:val="center"/>
              <w:rPr>
                <w:rFonts w:hint="eastAsia" w:ascii="宋体" w:hAnsi="宋体" w:eastAsia="宋体" w:cs="宋体"/>
                <w:color w:val="auto"/>
                <w:sz w:val="24"/>
                <w:highlight w:val="none"/>
              </w:rPr>
            </w:pPr>
          </w:p>
        </w:tc>
      </w:tr>
      <w:tr w14:paraId="5C854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79" w:type="dxa"/>
            <w:tcBorders>
              <w:top w:val="single" w:color="auto" w:sz="4" w:space="0"/>
              <w:left w:val="single" w:color="auto" w:sz="4" w:space="0"/>
              <w:bottom w:val="single" w:color="auto" w:sz="4" w:space="0"/>
              <w:right w:val="single" w:color="auto" w:sz="4" w:space="0"/>
            </w:tcBorders>
            <w:noWrap w:val="0"/>
            <w:vAlign w:val="top"/>
          </w:tcPr>
          <w:p w14:paraId="1B5CBCC9">
            <w:pPr>
              <w:tabs>
                <w:tab w:val="left" w:pos="360"/>
                <w:tab w:val="left" w:pos="1800"/>
              </w:tabs>
              <w:jc w:val="center"/>
              <w:rPr>
                <w:rFonts w:hint="eastAsia" w:ascii="宋体" w:hAnsi="宋体" w:eastAsia="宋体" w:cs="宋体"/>
                <w:color w:val="auto"/>
                <w:sz w:val="24"/>
                <w:highlight w:val="none"/>
              </w:rPr>
            </w:pPr>
          </w:p>
        </w:tc>
        <w:tc>
          <w:tcPr>
            <w:tcW w:w="1716" w:type="dxa"/>
            <w:gridSpan w:val="2"/>
            <w:tcBorders>
              <w:top w:val="single" w:color="auto" w:sz="4" w:space="0"/>
              <w:left w:val="single" w:color="auto" w:sz="4" w:space="0"/>
              <w:bottom w:val="single" w:color="auto" w:sz="4" w:space="0"/>
              <w:right w:val="single" w:color="auto" w:sz="4" w:space="0"/>
            </w:tcBorders>
            <w:noWrap w:val="0"/>
            <w:vAlign w:val="top"/>
          </w:tcPr>
          <w:p w14:paraId="4B2F5D6D">
            <w:pPr>
              <w:tabs>
                <w:tab w:val="left" w:pos="360"/>
                <w:tab w:val="left" w:pos="1800"/>
              </w:tabs>
              <w:jc w:val="center"/>
              <w:rPr>
                <w:rFonts w:hint="eastAsia" w:ascii="宋体" w:hAnsi="宋体" w:eastAsia="宋体" w:cs="宋体"/>
                <w:color w:val="auto"/>
                <w:sz w:val="24"/>
                <w:highlight w:val="none"/>
              </w:rPr>
            </w:pPr>
          </w:p>
        </w:tc>
        <w:tc>
          <w:tcPr>
            <w:tcW w:w="1954" w:type="dxa"/>
            <w:gridSpan w:val="3"/>
            <w:tcBorders>
              <w:top w:val="single" w:color="auto" w:sz="4" w:space="0"/>
              <w:left w:val="single" w:color="auto" w:sz="4" w:space="0"/>
              <w:bottom w:val="single" w:color="auto" w:sz="4" w:space="0"/>
              <w:right w:val="single" w:color="auto" w:sz="4" w:space="0"/>
            </w:tcBorders>
            <w:noWrap w:val="0"/>
            <w:vAlign w:val="top"/>
          </w:tcPr>
          <w:p w14:paraId="74491D64">
            <w:pPr>
              <w:tabs>
                <w:tab w:val="left" w:pos="360"/>
                <w:tab w:val="left" w:pos="1800"/>
              </w:tabs>
              <w:jc w:val="center"/>
              <w:rPr>
                <w:rFonts w:hint="eastAsia" w:ascii="宋体" w:hAnsi="宋体" w:eastAsia="宋体" w:cs="宋体"/>
                <w:color w:val="auto"/>
                <w:sz w:val="24"/>
                <w:highlight w:val="none"/>
              </w:rPr>
            </w:pPr>
          </w:p>
        </w:tc>
        <w:tc>
          <w:tcPr>
            <w:tcW w:w="2279" w:type="dxa"/>
            <w:gridSpan w:val="2"/>
            <w:tcBorders>
              <w:top w:val="single" w:color="auto" w:sz="4" w:space="0"/>
              <w:left w:val="single" w:color="auto" w:sz="4" w:space="0"/>
              <w:bottom w:val="single" w:color="auto" w:sz="4" w:space="0"/>
              <w:right w:val="single" w:color="auto" w:sz="4" w:space="0"/>
            </w:tcBorders>
            <w:noWrap w:val="0"/>
            <w:vAlign w:val="top"/>
          </w:tcPr>
          <w:p w14:paraId="06D1F756">
            <w:pPr>
              <w:tabs>
                <w:tab w:val="left" w:pos="360"/>
                <w:tab w:val="left" w:pos="1800"/>
              </w:tabs>
              <w:jc w:val="center"/>
              <w:rPr>
                <w:rFonts w:hint="eastAsia" w:ascii="宋体" w:hAnsi="宋体" w:eastAsia="宋体" w:cs="宋体"/>
                <w:color w:val="auto"/>
                <w:sz w:val="24"/>
                <w:highlight w:val="none"/>
              </w:rPr>
            </w:pPr>
          </w:p>
        </w:tc>
        <w:tc>
          <w:tcPr>
            <w:tcW w:w="1858" w:type="dxa"/>
            <w:gridSpan w:val="2"/>
            <w:tcBorders>
              <w:top w:val="single" w:color="auto" w:sz="4" w:space="0"/>
              <w:left w:val="single" w:color="auto" w:sz="4" w:space="0"/>
              <w:bottom w:val="single" w:color="auto" w:sz="4" w:space="0"/>
              <w:right w:val="single" w:color="auto" w:sz="4" w:space="0"/>
            </w:tcBorders>
            <w:noWrap w:val="0"/>
            <w:vAlign w:val="top"/>
          </w:tcPr>
          <w:p w14:paraId="6442DF96">
            <w:pPr>
              <w:tabs>
                <w:tab w:val="left" w:pos="360"/>
                <w:tab w:val="left" w:pos="1800"/>
              </w:tabs>
              <w:jc w:val="center"/>
              <w:rPr>
                <w:rFonts w:hint="eastAsia" w:ascii="宋体" w:hAnsi="宋体" w:eastAsia="宋体" w:cs="宋体"/>
                <w:color w:val="auto"/>
                <w:sz w:val="24"/>
                <w:highlight w:val="none"/>
              </w:rPr>
            </w:pPr>
          </w:p>
        </w:tc>
      </w:tr>
      <w:tr w14:paraId="08FC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79" w:type="dxa"/>
            <w:tcBorders>
              <w:top w:val="single" w:color="auto" w:sz="4" w:space="0"/>
              <w:left w:val="single" w:color="auto" w:sz="4" w:space="0"/>
              <w:bottom w:val="single" w:color="auto" w:sz="4" w:space="0"/>
              <w:right w:val="single" w:color="auto" w:sz="4" w:space="0"/>
            </w:tcBorders>
            <w:noWrap w:val="0"/>
            <w:vAlign w:val="top"/>
          </w:tcPr>
          <w:p w14:paraId="25F8AA48">
            <w:pPr>
              <w:tabs>
                <w:tab w:val="left" w:pos="360"/>
                <w:tab w:val="left" w:pos="1800"/>
              </w:tabs>
              <w:jc w:val="center"/>
              <w:rPr>
                <w:rFonts w:hint="eastAsia" w:ascii="宋体" w:hAnsi="宋体" w:eastAsia="宋体" w:cs="宋体"/>
                <w:color w:val="auto"/>
                <w:sz w:val="24"/>
                <w:highlight w:val="none"/>
              </w:rPr>
            </w:pPr>
          </w:p>
        </w:tc>
        <w:tc>
          <w:tcPr>
            <w:tcW w:w="1716" w:type="dxa"/>
            <w:gridSpan w:val="2"/>
            <w:tcBorders>
              <w:top w:val="single" w:color="auto" w:sz="4" w:space="0"/>
              <w:left w:val="single" w:color="auto" w:sz="4" w:space="0"/>
              <w:bottom w:val="single" w:color="auto" w:sz="4" w:space="0"/>
              <w:right w:val="single" w:color="auto" w:sz="4" w:space="0"/>
            </w:tcBorders>
            <w:noWrap w:val="0"/>
            <w:vAlign w:val="top"/>
          </w:tcPr>
          <w:p w14:paraId="33373A24">
            <w:pPr>
              <w:tabs>
                <w:tab w:val="left" w:pos="360"/>
                <w:tab w:val="left" w:pos="1800"/>
              </w:tabs>
              <w:jc w:val="center"/>
              <w:rPr>
                <w:rFonts w:hint="eastAsia" w:ascii="宋体" w:hAnsi="宋体" w:eastAsia="宋体" w:cs="宋体"/>
                <w:color w:val="auto"/>
                <w:sz w:val="24"/>
                <w:highlight w:val="none"/>
              </w:rPr>
            </w:pPr>
          </w:p>
        </w:tc>
        <w:tc>
          <w:tcPr>
            <w:tcW w:w="1954" w:type="dxa"/>
            <w:gridSpan w:val="3"/>
            <w:tcBorders>
              <w:top w:val="single" w:color="auto" w:sz="4" w:space="0"/>
              <w:left w:val="single" w:color="auto" w:sz="4" w:space="0"/>
              <w:bottom w:val="single" w:color="auto" w:sz="4" w:space="0"/>
              <w:right w:val="single" w:color="auto" w:sz="4" w:space="0"/>
            </w:tcBorders>
            <w:noWrap w:val="0"/>
            <w:vAlign w:val="top"/>
          </w:tcPr>
          <w:p w14:paraId="03669448">
            <w:pPr>
              <w:tabs>
                <w:tab w:val="left" w:pos="360"/>
                <w:tab w:val="left" w:pos="1800"/>
              </w:tabs>
              <w:jc w:val="center"/>
              <w:rPr>
                <w:rFonts w:hint="eastAsia" w:ascii="宋体" w:hAnsi="宋体" w:eastAsia="宋体" w:cs="宋体"/>
                <w:color w:val="auto"/>
                <w:sz w:val="24"/>
                <w:highlight w:val="none"/>
              </w:rPr>
            </w:pPr>
          </w:p>
        </w:tc>
        <w:tc>
          <w:tcPr>
            <w:tcW w:w="2279" w:type="dxa"/>
            <w:gridSpan w:val="2"/>
            <w:tcBorders>
              <w:top w:val="single" w:color="auto" w:sz="4" w:space="0"/>
              <w:left w:val="single" w:color="auto" w:sz="4" w:space="0"/>
              <w:bottom w:val="single" w:color="auto" w:sz="4" w:space="0"/>
              <w:right w:val="single" w:color="auto" w:sz="4" w:space="0"/>
            </w:tcBorders>
            <w:noWrap w:val="0"/>
            <w:vAlign w:val="top"/>
          </w:tcPr>
          <w:p w14:paraId="2D6DB1AE">
            <w:pPr>
              <w:tabs>
                <w:tab w:val="left" w:pos="360"/>
                <w:tab w:val="left" w:pos="1800"/>
              </w:tabs>
              <w:jc w:val="center"/>
              <w:rPr>
                <w:rFonts w:hint="eastAsia" w:ascii="宋体" w:hAnsi="宋体" w:eastAsia="宋体" w:cs="宋体"/>
                <w:color w:val="auto"/>
                <w:sz w:val="24"/>
                <w:highlight w:val="none"/>
              </w:rPr>
            </w:pPr>
          </w:p>
        </w:tc>
        <w:tc>
          <w:tcPr>
            <w:tcW w:w="1858" w:type="dxa"/>
            <w:gridSpan w:val="2"/>
            <w:tcBorders>
              <w:top w:val="single" w:color="auto" w:sz="4" w:space="0"/>
              <w:left w:val="single" w:color="auto" w:sz="4" w:space="0"/>
              <w:bottom w:val="single" w:color="auto" w:sz="4" w:space="0"/>
              <w:right w:val="single" w:color="auto" w:sz="4" w:space="0"/>
            </w:tcBorders>
            <w:noWrap w:val="0"/>
            <w:vAlign w:val="top"/>
          </w:tcPr>
          <w:p w14:paraId="0D3FBD6D">
            <w:pPr>
              <w:tabs>
                <w:tab w:val="left" w:pos="360"/>
                <w:tab w:val="left" w:pos="1800"/>
              </w:tabs>
              <w:jc w:val="center"/>
              <w:rPr>
                <w:rFonts w:hint="eastAsia" w:ascii="宋体" w:hAnsi="宋体" w:eastAsia="宋体" w:cs="宋体"/>
                <w:color w:val="auto"/>
                <w:sz w:val="24"/>
                <w:highlight w:val="none"/>
              </w:rPr>
            </w:pPr>
          </w:p>
        </w:tc>
      </w:tr>
      <w:tr w14:paraId="60FD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79" w:type="dxa"/>
            <w:tcBorders>
              <w:top w:val="single" w:color="auto" w:sz="4" w:space="0"/>
              <w:left w:val="single" w:color="auto" w:sz="4" w:space="0"/>
              <w:bottom w:val="single" w:color="auto" w:sz="4" w:space="0"/>
              <w:right w:val="single" w:color="auto" w:sz="4" w:space="0"/>
            </w:tcBorders>
            <w:noWrap w:val="0"/>
            <w:vAlign w:val="top"/>
          </w:tcPr>
          <w:p w14:paraId="6675BC68">
            <w:pPr>
              <w:tabs>
                <w:tab w:val="left" w:pos="360"/>
                <w:tab w:val="left" w:pos="1800"/>
              </w:tabs>
              <w:jc w:val="center"/>
              <w:rPr>
                <w:rFonts w:hint="eastAsia" w:ascii="宋体" w:hAnsi="宋体" w:eastAsia="宋体" w:cs="宋体"/>
                <w:color w:val="auto"/>
                <w:sz w:val="24"/>
                <w:highlight w:val="none"/>
              </w:rPr>
            </w:pPr>
          </w:p>
        </w:tc>
        <w:tc>
          <w:tcPr>
            <w:tcW w:w="1716" w:type="dxa"/>
            <w:gridSpan w:val="2"/>
            <w:tcBorders>
              <w:top w:val="single" w:color="auto" w:sz="4" w:space="0"/>
              <w:left w:val="single" w:color="auto" w:sz="4" w:space="0"/>
              <w:bottom w:val="single" w:color="auto" w:sz="4" w:space="0"/>
              <w:right w:val="single" w:color="auto" w:sz="4" w:space="0"/>
            </w:tcBorders>
            <w:noWrap w:val="0"/>
            <w:vAlign w:val="top"/>
          </w:tcPr>
          <w:p w14:paraId="2E7BF4FB">
            <w:pPr>
              <w:tabs>
                <w:tab w:val="left" w:pos="360"/>
                <w:tab w:val="left" w:pos="1800"/>
              </w:tabs>
              <w:jc w:val="center"/>
              <w:rPr>
                <w:rFonts w:hint="eastAsia" w:ascii="宋体" w:hAnsi="宋体" w:eastAsia="宋体" w:cs="宋体"/>
                <w:color w:val="auto"/>
                <w:sz w:val="24"/>
                <w:highlight w:val="none"/>
              </w:rPr>
            </w:pPr>
          </w:p>
        </w:tc>
        <w:tc>
          <w:tcPr>
            <w:tcW w:w="1954" w:type="dxa"/>
            <w:gridSpan w:val="3"/>
            <w:tcBorders>
              <w:top w:val="single" w:color="auto" w:sz="4" w:space="0"/>
              <w:left w:val="single" w:color="auto" w:sz="4" w:space="0"/>
              <w:bottom w:val="single" w:color="auto" w:sz="4" w:space="0"/>
              <w:right w:val="single" w:color="auto" w:sz="4" w:space="0"/>
            </w:tcBorders>
            <w:noWrap w:val="0"/>
            <w:vAlign w:val="top"/>
          </w:tcPr>
          <w:p w14:paraId="6001B419">
            <w:pPr>
              <w:tabs>
                <w:tab w:val="left" w:pos="360"/>
                <w:tab w:val="left" w:pos="1800"/>
              </w:tabs>
              <w:jc w:val="center"/>
              <w:rPr>
                <w:rFonts w:hint="eastAsia" w:ascii="宋体" w:hAnsi="宋体" w:eastAsia="宋体" w:cs="宋体"/>
                <w:color w:val="auto"/>
                <w:sz w:val="24"/>
                <w:highlight w:val="none"/>
              </w:rPr>
            </w:pPr>
          </w:p>
        </w:tc>
        <w:tc>
          <w:tcPr>
            <w:tcW w:w="2279" w:type="dxa"/>
            <w:gridSpan w:val="2"/>
            <w:tcBorders>
              <w:top w:val="single" w:color="auto" w:sz="4" w:space="0"/>
              <w:left w:val="single" w:color="auto" w:sz="4" w:space="0"/>
              <w:bottom w:val="single" w:color="auto" w:sz="4" w:space="0"/>
              <w:right w:val="single" w:color="auto" w:sz="4" w:space="0"/>
            </w:tcBorders>
            <w:noWrap w:val="0"/>
            <w:vAlign w:val="top"/>
          </w:tcPr>
          <w:p w14:paraId="33B53659">
            <w:pPr>
              <w:tabs>
                <w:tab w:val="left" w:pos="360"/>
                <w:tab w:val="left" w:pos="1800"/>
              </w:tabs>
              <w:jc w:val="center"/>
              <w:rPr>
                <w:rFonts w:hint="eastAsia" w:ascii="宋体" w:hAnsi="宋体" w:eastAsia="宋体" w:cs="宋体"/>
                <w:color w:val="auto"/>
                <w:sz w:val="24"/>
                <w:highlight w:val="none"/>
              </w:rPr>
            </w:pPr>
          </w:p>
        </w:tc>
        <w:tc>
          <w:tcPr>
            <w:tcW w:w="1858" w:type="dxa"/>
            <w:gridSpan w:val="2"/>
            <w:tcBorders>
              <w:top w:val="single" w:color="auto" w:sz="4" w:space="0"/>
              <w:left w:val="single" w:color="auto" w:sz="4" w:space="0"/>
              <w:bottom w:val="single" w:color="auto" w:sz="4" w:space="0"/>
              <w:right w:val="single" w:color="auto" w:sz="4" w:space="0"/>
            </w:tcBorders>
            <w:noWrap w:val="0"/>
            <w:vAlign w:val="top"/>
          </w:tcPr>
          <w:p w14:paraId="39B4B3B4">
            <w:pPr>
              <w:tabs>
                <w:tab w:val="left" w:pos="360"/>
                <w:tab w:val="left" w:pos="1800"/>
              </w:tabs>
              <w:jc w:val="center"/>
              <w:rPr>
                <w:rFonts w:hint="eastAsia" w:ascii="宋体" w:hAnsi="宋体" w:eastAsia="宋体" w:cs="宋体"/>
                <w:color w:val="auto"/>
                <w:sz w:val="24"/>
                <w:highlight w:val="none"/>
              </w:rPr>
            </w:pPr>
          </w:p>
        </w:tc>
      </w:tr>
      <w:tr w14:paraId="3C776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79" w:type="dxa"/>
            <w:tcBorders>
              <w:top w:val="single" w:color="auto" w:sz="4" w:space="0"/>
              <w:left w:val="single" w:color="auto" w:sz="4" w:space="0"/>
              <w:bottom w:val="single" w:color="auto" w:sz="4" w:space="0"/>
              <w:right w:val="single" w:color="auto" w:sz="4" w:space="0"/>
            </w:tcBorders>
            <w:noWrap w:val="0"/>
            <w:vAlign w:val="top"/>
          </w:tcPr>
          <w:p w14:paraId="5F5F244F">
            <w:pPr>
              <w:tabs>
                <w:tab w:val="left" w:pos="360"/>
                <w:tab w:val="left" w:pos="1800"/>
              </w:tabs>
              <w:jc w:val="center"/>
              <w:rPr>
                <w:rFonts w:hint="eastAsia" w:ascii="宋体" w:hAnsi="宋体" w:eastAsia="宋体" w:cs="宋体"/>
                <w:color w:val="auto"/>
                <w:sz w:val="24"/>
                <w:highlight w:val="none"/>
              </w:rPr>
            </w:pPr>
          </w:p>
        </w:tc>
        <w:tc>
          <w:tcPr>
            <w:tcW w:w="1716" w:type="dxa"/>
            <w:gridSpan w:val="2"/>
            <w:tcBorders>
              <w:top w:val="single" w:color="auto" w:sz="4" w:space="0"/>
              <w:left w:val="single" w:color="auto" w:sz="4" w:space="0"/>
              <w:bottom w:val="single" w:color="auto" w:sz="4" w:space="0"/>
              <w:right w:val="single" w:color="auto" w:sz="4" w:space="0"/>
            </w:tcBorders>
            <w:noWrap w:val="0"/>
            <w:vAlign w:val="top"/>
          </w:tcPr>
          <w:p w14:paraId="50073557">
            <w:pPr>
              <w:tabs>
                <w:tab w:val="left" w:pos="360"/>
                <w:tab w:val="left" w:pos="1800"/>
              </w:tabs>
              <w:jc w:val="center"/>
              <w:rPr>
                <w:rFonts w:hint="eastAsia" w:ascii="宋体" w:hAnsi="宋体" w:eastAsia="宋体" w:cs="宋体"/>
                <w:color w:val="auto"/>
                <w:sz w:val="24"/>
                <w:highlight w:val="none"/>
              </w:rPr>
            </w:pPr>
          </w:p>
        </w:tc>
        <w:tc>
          <w:tcPr>
            <w:tcW w:w="1954" w:type="dxa"/>
            <w:gridSpan w:val="3"/>
            <w:tcBorders>
              <w:top w:val="single" w:color="auto" w:sz="4" w:space="0"/>
              <w:left w:val="single" w:color="auto" w:sz="4" w:space="0"/>
              <w:bottom w:val="single" w:color="auto" w:sz="4" w:space="0"/>
              <w:right w:val="single" w:color="auto" w:sz="4" w:space="0"/>
            </w:tcBorders>
            <w:noWrap w:val="0"/>
            <w:vAlign w:val="top"/>
          </w:tcPr>
          <w:p w14:paraId="529009FE">
            <w:pPr>
              <w:tabs>
                <w:tab w:val="left" w:pos="360"/>
                <w:tab w:val="left" w:pos="1800"/>
              </w:tabs>
              <w:jc w:val="center"/>
              <w:rPr>
                <w:rFonts w:hint="eastAsia" w:ascii="宋体" w:hAnsi="宋体" w:eastAsia="宋体" w:cs="宋体"/>
                <w:color w:val="auto"/>
                <w:sz w:val="24"/>
                <w:highlight w:val="none"/>
              </w:rPr>
            </w:pPr>
          </w:p>
        </w:tc>
        <w:tc>
          <w:tcPr>
            <w:tcW w:w="2279" w:type="dxa"/>
            <w:gridSpan w:val="2"/>
            <w:tcBorders>
              <w:top w:val="single" w:color="auto" w:sz="4" w:space="0"/>
              <w:left w:val="single" w:color="auto" w:sz="4" w:space="0"/>
              <w:bottom w:val="single" w:color="auto" w:sz="4" w:space="0"/>
              <w:right w:val="single" w:color="auto" w:sz="4" w:space="0"/>
            </w:tcBorders>
            <w:noWrap w:val="0"/>
            <w:vAlign w:val="top"/>
          </w:tcPr>
          <w:p w14:paraId="0FCB37C1">
            <w:pPr>
              <w:tabs>
                <w:tab w:val="left" w:pos="360"/>
                <w:tab w:val="left" w:pos="1800"/>
              </w:tabs>
              <w:jc w:val="center"/>
              <w:rPr>
                <w:rFonts w:hint="eastAsia" w:ascii="宋体" w:hAnsi="宋体" w:eastAsia="宋体" w:cs="宋体"/>
                <w:color w:val="auto"/>
                <w:sz w:val="24"/>
                <w:highlight w:val="none"/>
              </w:rPr>
            </w:pPr>
          </w:p>
        </w:tc>
        <w:tc>
          <w:tcPr>
            <w:tcW w:w="1858" w:type="dxa"/>
            <w:gridSpan w:val="2"/>
            <w:tcBorders>
              <w:top w:val="single" w:color="auto" w:sz="4" w:space="0"/>
              <w:left w:val="single" w:color="auto" w:sz="4" w:space="0"/>
              <w:bottom w:val="single" w:color="auto" w:sz="4" w:space="0"/>
              <w:right w:val="single" w:color="auto" w:sz="4" w:space="0"/>
            </w:tcBorders>
            <w:noWrap w:val="0"/>
            <w:vAlign w:val="top"/>
          </w:tcPr>
          <w:p w14:paraId="48F2F344">
            <w:pPr>
              <w:tabs>
                <w:tab w:val="left" w:pos="360"/>
                <w:tab w:val="left" w:pos="1800"/>
              </w:tabs>
              <w:jc w:val="center"/>
              <w:rPr>
                <w:rFonts w:hint="eastAsia" w:ascii="宋体" w:hAnsi="宋体" w:eastAsia="宋体" w:cs="宋体"/>
                <w:color w:val="auto"/>
                <w:sz w:val="24"/>
                <w:highlight w:val="none"/>
              </w:rPr>
            </w:pPr>
          </w:p>
        </w:tc>
      </w:tr>
    </w:tbl>
    <w:p w14:paraId="361D7D85">
      <w:pPr>
        <w:pStyle w:val="17"/>
        <w:tabs>
          <w:tab w:val="left" w:pos="360"/>
          <w:tab w:val="left" w:pos="1800"/>
        </w:tabs>
        <w:ind w:left="0" w:leftChars="0" w:right="63"/>
        <w:rPr>
          <w:rFonts w:hint="eastAsia" w:ascii="宋体" w:hAnsi="宋体" w:cs="宋体"/>
          <w:color w:val="auto"/>
          <w:sz w:val="24"/>
          <w:szCs w:val="36"/>
          <w:highlight w:val="none"/>
        </w:rPr>
      </w:pPr>
    </w:p>
    <w:p w14:paraId="67C9AD83">
      <w:pPr>
        <w:pStyle w:val="17"/>
        <w:tabs>
          <w:tab w:val="left" w:pos="360"/>
          <w:tab w:val="left" w:pos="1800"/>
        </w:tabs>
        <w:ind w:left="0" w:leftChars="0" w:right="63"/>
        <w:rPr>
          <w:rFonts w:hint="eastAsia" w:ascii="宋体" w:hAnsi="宋体" w:cs="宋体"/>
          <w:color w:val="auto"/>
          <w:sz w:val="24"/>
          <w:szCs w:val="36"/>
          <w:highlight w:val="none"/>
        </w:rPr>
      </w:pPr>
      <w:r>
        <w:rPr>
          <w:rFonts w:hint="eastAsia" w:ascii="宋体" w:hAnsi="宋体" w:cs="宋体"/>
          <w:color w:val="auto"/>
          <w:sz w:val="24"/>
          <w:szCs w:val="36"/>
          <w:highlight w:val="none"/>
        </w:rPr>
        <w:t>注：需提供项目负责人相关证书（如学历或学位证书、岗位资格证等有利于人员能力的证明材料）。</w:t>
      </w:r>
    </w:p>
    <w:p w14:paraId="0445C36D">
      <w:pPr>
        <w:tabs>
          <w:tab w:val="left" w:pos="360"/>
          <w:tab w:val="left" w:pos="1800"/>
        </w:tabs>
        <w:spacing w:line="360" w:lineRule="auto"/>
        <w:ind w:right="960"/>
        <w:rPr>
          <w:rFonts w:hint="eastAsia" w:ascii="宋体" w:hAnsi="宋体" w:cs="宋体"/>
          <w:color w:val="auto"/>
          <w:highlight w:val="none"/>
        </w:rPr>
      </w:pPr>
    </w:p>
    <w:p w14:paraId="01A19D8D">
      <w:pPr>
        <w:pStyle w:val="35"/>
        <w:ind w:firstLine="400"/>
        <w:rPr>
          <w:rFonts w:hint="eastAsia" w:ascii="宋体" w:hAnsi="宋体" w:cs="宋体"/>
          <w:color w:val="auto"/>
          <w:highlight w:val="none"/>
        </w:rPr>
      </w:pPr>
    </w:p>
    <w:p w14:paraId="054F0B88">
      <w:pPr>
        <w:rPr>
          <w:rFonts w:hint="eastAsia"/>
          <w:color w:val="auto"/>
          <w:highlight w:val="none"/>
        </w:rPr>
      </w:pPr>
    </w:p>
    <w:p w14:paraId="1FFA66D1">
      <w:pPr>
        <w:snapToGrid w:val="0"/>
        <w:spacing w:line="48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供应商（公章）：</w:t>
      </w:r>
    </w:p>
    <w:p w14:paraId="07ECF055">
      <w:pPr>
        <w:snapToGrid w:val="0"/>
        <w:spacing w:line="48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法定代表人或委托代理人（签字或盖章）：</w:t>
      </w:r>
    </w:p>
    <w:p w14:paraId="0CE9D614">
      <w:pPr>
        <w:snapToGrid w:val="0"/>
        <w:spacing w:line="48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    </w:t>
      </w:r>
    </w:p>
    <w:p w14:paraId="7814ACED">
      <w:pPr>
        <w:pStyle w:val="6"/>
        <w:spacing w:line="360" w:lineRule="auto"/>
        <w:ind w:firstLine="0"/>
        <w:jc w:val="center"/>
        <w:rPr>
          <w:rFonts w:hint="eastAsia" w:ascii="宋体" w:hAnsi="宋体" w:cs="宋体"/>
          <w:b/>
          <w:bCs/>
          <w:color w:val="auto"/>
          <w:sz w:val="28"/>
          <w:szCs w:val="28"/>
          <w:highlight w:val="none"/>
        </w:rPr>
      </w:pPr>
      <w:r>
        <w:rPr>
          <w:rFonts w:hint="eastAsia" w:ascii="宋体" w:hAnsi="宋体" w:cs="宋体"/>
          <w:b/>
          <w:bCs/>
          <w:color w:val="auto"/>
          <w:sz w:val="24"/>
          <w:szCs w:val="24"/>
          <w:highlight w:val="none"/>
          <w:lang w:val="en-GB"/>
        </w:rPr>
        <w:br w:type="page"/>
      </w:r>
      <w:r>
        <w:rPr>
          <w:rFonts w:hint="eastAsia" w:ascii="宋体" w:hAnsi="宋体" w:cs="宋体"/>
          <w:b/>
          <w:bCs/>
          <w:color w:val="auto"/>
          <w:sz w:val="28"/>
          <w:szCs w:val="28"/>
          <w:highlight w:val="none"/>
        </w:rPr>
        <w:t>格式2</w:t>
      </w:r>
      <w:r>
        <w:rPr>
          <w:rFonts w:hint="eastAsia" w:ascii="宋体" w:hAnsi="宋体" w:cs="宋体"/>
          <w:b/>
          <w:bCs/>
          <w:color w:val="auto"/>
          <w:sz w:val="28"/>
          <w:szCs w:val="28"/>
          <w:highlight w:val="none"/>
          <w:lang w:val="en-US" w:eastAsia="zh-CN"/>
        </w:rPr>
        <w:t>0</w:t>
      </w:r>
      <w:r>
        <w:rPr>
          <w:rFonts w:hint="eastAsia" w:ascii="宋体" w:hAnsi="宋体" w:cs="宋体"/>
          <w:b/>
          <w:bCs/>
          <w:color w:val="auto"/>
          <w:sz w:val="28"/>
          <w:szCs w:val="28"/>
          <w:highlight w:val="none"/>
        </w:rPr>
        <w:t xml:space="preserve">  拟投入的专业技术人员一览表</w:t>
      </w:r>
    </w:p>
    <w:tbl>
      <w:tblPr>
        <w:tblStyle w:val="36"/>
        <w:tblW w:w="8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420"/>
        <w:gridCol w:w="1470"/>
        <w:gridCol w:w="1932"/>
        <w:gridCol w:w="1406"/>
        <w:gridCol w:w="1050"/>
      </w:tblGrid>
      <w:tr w14:paraId="147F8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jc w:val="center"/>
        </w:trPr>
        <w:tc>
          <w:tcPr>
            <w:tcW w:w="844" w:type="dxa"/>
            <w:noWrap w:val="0"/>
            <w:vAlign w:val="center"/>
          </w:tcPr>
          <w:p w14:paraId="5EB2403C">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420" w:type="dxa"/>
            <w:noWrap w:val="0"/>
            <w:vAlign w:val="center"/>
          </w:tcPr>
          <w:p w14:paraId="7550607D">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470" w:type="dxa"/>
            <w:noWrap w:val="0"/>
            <w:vAlign w:val="center"/>
          </w:tcPr>
          <w:p w14:paraId="0F677105">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学历、专业</w:t>
            </w:r>
          </w:p>
        </w:tc>
        <w:tc>
          <w:tcPr>
            <w:tcW w:w="1932" w:type="dxa"/>
            <w:noWrap w:val="0"/>
            <w:vAlign w:val="center"/>
          </w:tcPr>
          <w:p w14:paraId="47CF9039">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职称或技能证书</w:t>
            </w:r>
          </w:p>
        </w:tc>
        <w:tc>
          <w:tcPr>
            <w:tcW w:w="1406" w:type="dxa"/>
            <w:noWrap w:val="0"/>
            <w:vAlign w:val="center"/>
          </w:tcPr>
          <w:p w14:paraId="102AD4B9">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从事相关工作年限</w:t>
            </w:r>
          </w:p>
        </w:tc>
        <w:tc>
          <w:tcPr>
            <w:tcW w:w="1050" w:type="dxa"/>
            <w:noWrap w:val="0"/>
            <w:vAlign w:val="center"/>
          </w:tcPr>
          <w:p w14:paraId="75365C2D">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002F1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844" w:type="dxa"/>
            <w:noWrap w:val="0"/>
            <w:vAlign w:val="center"/>
          </w:tcPr>
          <w:p w14:paraId="10A9FD41">
            <w:pPr>
              <w:spacing w:line="288" w:lineRule="auto"/>
              <w:jc w:val="center"/>
              <w:rPr>
                <w:rFonts w:hint="eastAsia" w:ascii="宋体" w:hAnsi="宋体" w:eastAsia="宋体" w:cs="宋体"/>
                <w:color w:val="auto"/>
                <w:sz w:val="24"/>
                <w:highlight w:val="none"/>
              </w:rPr>
            </w:pPr>
          </w:p>
        </w:tc>
        <w:tc>
          <w:tcPr>
            <w:tcW w:w="1420" w:type="dxa"/>
            <w:noWrap w:val="0"/>
            <w:vAlign w:val="center"/>
          </w:tcPr>
          <w:p w14:paraId="73A4AC15">
            <w:pPr>
              <w:spacing w:line="288" w:lineRule="auto"/>
              <w:jc w:val="center"/>
              <w:rPr>
                <w:rFonts w:hint="eastAsia" w:ascii="宋体" w:hAnsi="宋体" w:eastAsia="宋体" w:cs="宋体"/>
                <w:color w:val="auto"/>
                <w:sz w:val="24"/>
                <w:highlight w:val="none"/>
              </w:rPr>
            </w:pPr>
          </w:p>
        </w:tc>
        <w:tc>
          <w:tcPr>
            <w:tcW w:w="1470" w:type="dxa"/>
            <w:noWrap w:val="0"/>
            <w:vAlign w:val="top"/>
          </w:tcPr>
          <w:p w14:paraId="7ACF4F62">
            <w:pPr>
              <w:spacing w:line="480" w:lineRule="auto"/>
              <w:jc w:val="center"/>
              <w:rPr>
                <w:rFonts w:hint="eastAsia" w:ascii="宋体" w:hAnsi="宋体" w:eastAsia="宋体" w:cs="宋体"/>
                <w:color w:val="auto"/>
                <w:sz w:val="24"/>
                <w:highlight w:val="none"/>
              </w:rPr>
            </w:pPr>
          </w:p>
        </w:tc>
        <w:tc>
          <w:tcPr>
            <w:tcW w:w="1932" w:type="dxa"/>
            <w:noWrap w:val="0"/>
            <w:vAlign w:val="top"/>
          </w:tcPr>
          <w:p w14:paraId="0937B698">
            <w:pPr>
              <w:spacing w:line="480" w:lineRule="auto"/>
              <w:jc w:val="center"/>
              <w:rPr>
                <w:rFonts w:hint="eastAsia" w:ascii="宋体" w:hAnsi="宋体" w:eastAsia="宋体" w:cs="宋体"/>
                <w:color w:val="auto"/>
                <w:sz w:val="24"/>
                <w:highlight w:val="none"/>
              </w:rPr>
            </w:pPr>
          </w:p>
        </w:tc>
        <w:tc>
          <w:tcPr>
            <w:tcW w:w="1406" w:type="dxa"/>
            <w:noWrap w:val="0"/>
            <w:vAlign w:val="top"/>
          </w:tcPr>
          <w:p w14:paraId="6C3232A4">
            <w:pPr>
              <w:spacing w:line="480" w:lineRule="auto"/>
              <w:jc w:val="center"/>
              <w:rPr>
                <w:rFonts w:hint="eastAsia" w:ascii="宋体" w:hAnsi="宋体" w:eastAsia="宋体" w:cs="宋体"/>
                <w:color w:val="auto"/>
                <w:sz w:val="24"/>
                <w:highlight w:val="none"/>
              </w:rPr>
            </w:pPr>
          </w:p>
        </w:tc>
        <w:tc>
          <w:tcPr>
            <w:tcW w:w="1050" w:type="dxa"/>
            <w:noWrap w:val="0"/>
            <w:vAlign w:val="top"/>
          </w:tcPr>
          <w:p w14:paraId="43E637E0">
            <w:pPr>
              <w:spacing w:line="480" w:lineRule="auto"/>
              <w:jc w:val="center"/>
              <w:rPr>
                <w:rFonts w:hint="eastAsia" w:ascii="宋体" w:hAnsi="宋体" w:eastAsia="宋体" w:cs="宋体"/>
                <w:color w:val="auto"/>
                <w:sz w:val="24"/>
                <w:highlight w:val="none"/>
              </w:rPr>
            </w:pPr>
          </w:p>
        </w:tc>
      </w:tr>
      <w:tr w14:paraId="11E1B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844" w:type="dxa"/>
            <w:noWrap w:val="0"/>
            <w:vAlign w:val="center"/>
          </w:tcPr>
          <w:p w14:paraId="15D362E8">
            <w:pPr>
              <w:spacing w:line="288" w:lineRule="auto"/>
              <w:jc w:val="center"/>
              <w:rPr>
                <w:rFonts w:hint="eastAsia" w:ascii="宋体" w:hAnsi="宋体" w:eastAsia="宋体" w:cs="宋体"/>
                <w:color w:val="auto"/>
                <w:sz w:val="24"/>
                <w:highlight w:val="none"/>
              </w:rPr>
            </w:pPr>
          </w:p>
        </w:tc>
        <w:tc>
          <w:tcPr>
            <w:tcW w:w="1420" w:type="dxa"/>
            <w:noWrap w:val="0"/>
            <w:vAlign w:val="center"/>
          </w:tcPr>
          <w:p w14:paraId="1614571B">
            <w:pPr>
              <w:spacing w:line="288" w:lineRule="auto"/>
              <w:jc w:val="center"/>
              <w:rPr>
                <w:rFonts w:hint="eastAsia" w:ascii="宋体" w:hAnsi="宋体" w:eastAsia="宋体" w:cs="宋体"/>
                <w:color w:val="auto"/>
                <w:sz w:val="24"/>
                <w:highlight w:val="none"/>
              </w:rPr>
            </w:pPr>
          </w:p>
        </w:tc>
        <w:tc>
          <w:tcPr>
            <w:tcW w:w="1470" w:type="dxa"/>
            <w:noWrap w:val="0"/>
            <w:vAlign w:val="top"/>
          </w:tcPr>
          <w:p w14:paraId="3CBEDA8E">
            <w:pPr>
              <w:spacing w:line="480" w:lineRule="auto"/>
              <w:jc w:val="center"/>
              <w:rPr>
                <w:rFonts w:hint="eastAsia" w:ascii="宋体" w:hAnsi="宋体" w:eastAsia="宋体" w:cs="宋体"/>
                <w:color w:val="auto"/>
                <w:sz w:val="24"/>
                <w:highlight w:val="none"/>
              </w:rPr>
            </w:pPr>
          </w:p>
        </w:tc>
        <w:tc>
          <w:tcPr>
            <w:tcW w:w="1932" w:type="dxa"/>
            <w:noWrap w:val="0"/>
            <w:vAlign w:val="top"/>
          </w:tcPr>
          <w:p w14:paraId="1457E8ED">
            <w:pPr>
              <w:spacing w:line="480" w:lineRule="auto"/>
              <w:jc w:val="center"/>
              <w:rPr>
                <w:rFonts w:hint="eastAsia" w:ascii="宋体" w:hAnsi="宋体" w:eastAsia="宋体" w:cs="宋体"/>
                <w:color w:val="auto"/>
                <w:sz w:val="24"/>
                <w:highlight w:val="none"/>
              </w:rPr>
            </w:pPr>
          </w:p>
        </w:tc>
        <w:tc>
          <w:tcPr>
            <w:tcW w:w="1406" w:type="dxa"/>
            <w:noWrap w:val="0"/>
            <w:vAlign w:val="top"/>
          </w:tcPr>
          <w:p w14:paraId="6D3E1D46">
            <w:pPr>
              <w:spacing w:line="480" w:lineRule="auto"/>
              <w:jc w:val="center"/>
              <w:rPr>
                <w:rFonts w:hint="eastAsia" w:ascii="宋体" w:hAnsi="宋体" w:eastAsia="宋体" w:cs="宋体"/>
                <w:color w:val="auto"/>
                <w:sz w:val="24"/>
                <w:highlight w:val="none"/>
              </w:rPr>
            </w:pPr>
          </w:p>
        </w:tc>
        <w:tc>
          <w:tcPr>
            <w:tcW w:w="1050" w:type="dxa"/>
            <w:noWrap w:val="0"/>
            <w:vAlign w:val="top"/>
          </w:tcPr>
          <w:p w14:paraId="1134A16D">
            <w:pPr>
              <w:spacing w:line="480" w:lineRule="auto"/>
              <w:jc w:val="center"/>
              <w:rPr>
                <w:rFonts w:hint="eastAsia" w:ascii="宋体" w:hAnsi="宋体" w:eastAsia="宋体" w:cs="宋体"/>
                <w:color w:val="auto"/>
                <w:sz w:val="24"/>
                <w:highlight w:val="none"/>
              </w:rPr>
            </w:pPr>
          </w:p>
        </w:tc>
      </w:tr>
      <w:tr w14:paraId="703E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844" w:type="dxa"/>
            <w:noWrap w:val="0"/>
            <w:vAlign w:val="center"/>
          </w:tcPr>
          <w:p w14:paraId="775AE74A">
            <w:pPr>
              <w:spacing w:line="288" w:lineRule="auto"/>
              <w:jc w:val="center"/>
              <w:rPr>
                <w:rFonts w:hint="eastAsia" w:ascii="宋体" w:hAnsi="宋体" w:eastAsia="宋体" w:cs="宋体"/>
                <w:color w:val="auto"/>
                <w:sz w:val="24"/>
                <w:highlight w:val="none"/>
              </w:rPr>
            </w:pPr>
          </w:p>
        </w:tc>
        <w:tc>
          <w:tcPr>
            <w:tcW w:w="1420" w:type="dxa"/>
            <w:noWrap w:val="0"/>
            <w:vAlign w:val="center"/>
          </w:tcPr>
          <w:p w14:paraId="7E21EC2B">
            <w:pPr>
              <w:spacing w:line="288" w:lineRule="auto"/>
              <w:jc w:val="center"/>
              <w:rPr>
                <w:rFonts w:hint="eastAsia" w:ascii="宋体" w:hAnsi="宋体" w:eastAsia="宋体" w:cs="宋体"/>
                <w:color w:val="auto"/>
                <w:sz w:val="24"/>
                <w:highlight w:val="none"/>
              </w:rPr>
            </w:pPr>
          </w:p>
        </w:tc>
        <w:tc>
          <w:tcPr>
            <w:tcW w:w="1470" w:type="dxa"/>
            <w:noWrap w:val="0"/>
            <w:vAlign w:val="top"/>
          </w:tcPr>
          <w:p w14:paraId="025436F5">
            <w:pPr>
              <w:spacing w:line="480" w:lineRule="auto"/>
              <w:jc w:val="center"/>
              <w:rPr>
                <w:rFonts w:hint="eastAsia" w:ascii="宋体" w:hAnsi="宋体" w:eastAsia="宋体" w:cs="宋体"/>
                <w:color w:val="auto"/>
                <w:sz w:val="24"/>
                <w:highlight w:val="none"/>
              </w:rPr>
            </w:pPr>
          </w:p>
        </w:tc>
        <w:tc>
          <w:tcPr>
            <w:tcW w:w="1932" w:type="dxa"/>
            <w:noWrap w:val="0"/>
            <w:vAlign w:val="top"/>
          </w:tcPr>
          <w:p w14:paraId="2D0937B4">
            <w:pPr>
              <w:spacing w:line="480" w:lineRule="auto"/>
              <w:jc w:val="center"/>
              <w:rPr>
                <w:rFonts w:hint="eastAsia" w:ascii="宋体" w:hAnsi="宋体" w:eastAsia="宋体" w:cs="宋体"/>
                <w:color w:val="auto"/>
                <w:sz w:val="24"/>
                <w:highlight w:val="none"/>
              </w:rPr>
            </w:pPr>
          </w:p>
        </w:tc>
        <w:tc>
          <w:tcPr>
            <w:tcW w:w="1406" w:type="dxa"/>
            <w:noWrap w:val="0"/>
            <w:vAlign w:val="top"/>
          </w:tcPr>
          <w:p w14:paraId="681CACA5">
            <w:pPr>
              <w:spacing w:line="480" w:lineRule="auto"/>
              <w:jc w:val="center"/>
              <w:rPr>
                <w:rFonts w:hint="eastAsia" w:ascii="宋体" w:hAnsi="宋体" w:eastAsia="宋体" w:cs="宋体"/>
                <w:color w:val="auto"/>
                <w:sz w:val="24"/>
                <w:highlight w:val="none"/>
              </w:rPr>
            </w:pPr>
          </w:p>
        </w:tc>
        <w:tc>
          <w:tcPr>
            <w:tcW w:w="1050" w:type="dxa"/>
            <w:noWrap w:val="0"/>
            <w:vAlign w:val="top"/>
          </w:tcPr>
          <w:p w14:paraId="357C78BE">
            <w:pPr>
              <w:spacing w:line="480" w:lineRule="auto"/>
              <w:jc w:val="center"/>
              <w:rPr>
                <w:rFonts w:hint="eastAsia" w:ascii="宋体" w:hAnsi="宋体" w:eastAsia="宋体" w:cs="宋体"/>
                <w:color w:val="auto"/>
                <w:sz w:val="24"/>
                <w:highlight w:val="none"/>
              </w:rPr>
            </w:pPr>
          </w:p>
        </w:tc>
      </w:tr>
      <w:tr w14:paraId="58005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844" w:type="dxa"/>
            <w:noWrap w:val="0"/>
            <w:vAlign w:val="center"/>
          </w:tcPr>
          <w:p w14:paraId="35CDD123">
            <w:pPr>
              <w:spacing w:line="288" w:lineRule="auto"/>
              <w:jc w:val="center"/>
              <w:rPr>
                <w:rFonts w:hint="eastAsia" w:ascii="宋体" w:hAnsi="宋体" w:eastAsia="宋体" w:cs="宋体"/>
                <w:color w:val="auto"/>
                <w:sz w:val="24"/>
                <w:highlight w:val="none"/>
              </w:rPr>
            </w:pPr>
          </w:p>
        </w:tc>
        <w:tc>
          <w:tcPr>
            <w:tcW w:w="1420" w:type="dxa"/>
            <w:noWrap w:val="0"/>
            <w:vAlign w:val="center"/>
          </w:tcPr>
          <w:p w14:paraId="38C5C8DB">
            <w:pPr>
              <w:spacing w:line="288" w:lineRule="auto"/>
              <w:jc w:val="center"/>
              <w:rPr>
                <w:rFonts w:hint="eastAsia" w:ascii="宋体" w:hAnsi="宋体" w:eastAsia="宋体" w:cs="宋体"/>
                <w:color w:val="auto"/>
                <w:sz w:val="24"/>
                <w:highlight w:val="none"/>
              </w:rPr>
            </w:pPr>
          </w:p>
        </w:tc>
        <w:tc>
          <w:tcPr>
            <w:tcW w:w="1470" w:type="dxa"/>
            <w:noWrap w:val="0"/>
            <w:vAlign w:val="top"/>
          </w:tcPr>
          <w:p w14:paraId="2CBB5480">
            <w:pPr>
              <w:spacing w:line="480" w:lineRule="auto"/>
              <w:jc w:val="center"/>
              <w:rPr>
                <w:rFonts w:hint="eastAsia" w:ascii="宋体" w:hAnsi="宋体" w:eastAsia="宋体" w:cs="宋体"/>
                <w:color w:val="auto"/>
                <w:sz w:val="24"/>
                <w:highlight w:val="none"/>
              </w:rPr>
            </w:pPr>
          </w:p>
        </w:tc>
        <w:tc>
          <w:tcPr>
            <w:tcW w:w="1932" w:type="dxa"/>
            <w:noWrap w:val="0"/>
            <w:vAlign w:val="top"/>
          </w:tcPr>
          <w:p w14:paraId="57B429DD">
            <w:pPr>
              <w:spacing w:line="480" w:lineRule="auto"/>
              <w:jc w:val="center"/>
              <w:rPr>
                <w:rFonts w:hint="eastAsia" w:ascii="宋体" w:hAnsi="宋体" w:eastAsia="宋体" w:cs="宋体"/>
                <w:color w:val="auto"/>
                <w:sz w:val="24"/>
                <w:highlight w:val="none"/>
              </w:rPr>
            </w:pPr>
          </w:p>
        </w:tc>
        <w:tc>
          <w:tcPr>
            <w:tcW w:w="1406" w:type="dxa"/>
            <w:noWrap w:val="0"/>
            <w:vAlign w:val="top"/>
          </w:tcPr>
          <w:p w14:paraId="51B80BBB">
            <w:pPr>
              <w:spacing w:line="480" w:lineRule="auto"/>
              <w:jc w:val="center"/>
              <w:rPr>
                <w:rFonts w:hint="eastAsia" w:ascii="宋体" w:hAnsi="宋体" w:eastAsia="宋体" w:cs="宋体"/>
                <w:color w:val="auto"/>
                <w:sz w:val="24"/>
                <w:highlight w:val="none"/>
              </w:rPr>
            </w:pPr>
          </w:p>
        </w:tc>
        <w:tc>
          <w:tcPr>
            <w:tcW w:w="1050" w:type="dxa"/>
            <w:noWrap w:val="0"/>
            <w:vAlign w:val="top"/>
          </w:tcPr>
          <w:p w14:paraId="50CF8861">
            <w:pPr>
              <w:spacing w:line="480" w:lineRule="auto"/>
              <w:jc w:val="center"/>
              <w:rPr>
                <w:rFonts w:hint="eastAsia" w:ascii="宋体" w:hAnsi="宋体" w:eastAsia="宋体" w:cs="宋体"/>
                <w:color w:val="auto"/>
                <w:sz w:val="24"/>
                <w:highlight w:val="none"/>
              </w:rPr>
            </w:pPr>
          </w:p>
        </w:tc>
      </w:tr>
      <w:tr w14:paraId="01F1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844" w:type="dxa"/>
            <w:noWrap w:val="0"/>
            <w:vAlign w:val="center"/>
          </w:tcPr>
          <w:p w14:paraId="3625E44C">
            <w:pPr>
              <w:spacing w:line="288" w:lineRule="auto"/>
              <w:jc w:val="center"/>
              <w:rPr>
                <w:rFonts w:hint="eastAsia" w:ascii="宋体" w:hAnsi="宋体" w:eastAsia="宋体" w:cs="宋体"/>
                <w:color w:val="auto"/>
                <w:sz w:val="24"/>
                <w:highlight w:val="none"/>
              </w:rPr>
            </w:pPr>
          </w:p>
        </w:tc>
        <w:tc>
          <w:tcPr>
            <w:tcW w:w="1420" w:type="dxa"/>
            <w:noWrap w:val="0"/>
            <w:vAlign w:val="center"/>
          </w:tcPr>
          <w:p w14:paraId="63554516">
            <w:pPr>
              <w:spacing w:line="288" w:lineRule="auto"/>
              <w:jc w:val="center"/>
              <w:rPr>
                <w:rFonts w:hint="eastAsia" w:ascii="宋体" w:hAnsi="宋体" w:eastAsia="宋体" w:cs="宋体"/>
                <w:color w:val="auto"/>
                <w:sz w:val="24"/>
                <w:highlight w:val="none"/>
              </w:rPr>
            </w:pPr>
          </w:p>
        </w:tc>
        <w:tc>
          <w:tcPr>
            <w:tcW w:w="1470" w:type="dxa"/>
            <w:noWrap w:val="0"/>
            <w:vAlign w:val="top"/>
          </w:tcPr>
          <w:p w14:paraId="0C1011C0">
            <w:pPr>
              <w:spacing w:line="480" w:lineRule="auto"/>
              <w:jc w:val="center"/>
              <w:rPr>
                <w:rFonts w:hint="eastAsia" w:ascii="宋体" w:hAnsi="宋体" w:eastAsia="宋体" w:cs="宋体"/>
                <w:color w:val="auto"/>
                <w:sz w:val="24"/>
                <w:highlight w:val="none"/>
              </w:rPr>
            </w:pPr>
          </w:p>
        </w:tc>
        <w:tc>
          <w:tcPr>
            <w:tcW w:w="1932" w:type="dxa"/>
            <w:noWrap w:val="0"/>
            <w:vAlign w:val="top"/>
          </w:tcPr>
          <w:p w14:paraId="18BFD304">
            <w:pPr>
              <w:spacing w:line="480" w:lineRule="auto"/>
              <w:jc w:val="center"/>
              <w:rPr>
                <w:rFonts w:hint="eastAsia" w:ascii="宋体" w:hAnsi="宋体" w:eastAsia="宋体" w:cs="宋体"/>
                <w:color w:val="auto"/>
                <w:sz w:val="24"/>
                <w:highlight w:val="none"/>
              </w:rPr>
            </w:pPr>
          </w:p>
        </w:tc>
        <w:tc>
          <w:tcPr>
            <w:tcW w:w="1406" w:type="dxa"/>
            <w:noWrap w:val="0"/>
            <w:vAlign w:val="top"/>
          </w:tcPr>
          <w:p w14:paraId="5073163B">
            <w:pPr>
              <w:spacing w:line="480" w:lineRule="auto"/>
              <w:jc w:val="center"/>
              <w:rPr>
                <w:rFonts w:hint="eastAsia" w:ascii="宋体" w:hAnsi="宋体" w:eastAsia="宋体" w:cs="宋体"/>
                <w:color w:val="auto"/>
                <w:sz w:val="24"/>
                <w:highlight w:val="none"/>
              </w:rPr>
            </w:pPr>
          </w:p>
        </w:tc>
        <w:tc>
          <w:tcPr>
            <w:tcW w:w="1050" w:type="dxa"/>
            <w:noWrap w:val="0"/>
            <w:vAlign w:val="top"/>
          </w:tcPr>
          <w:p w14:paraId="60B290C2">
            <w:pPr>
              <w:spacing w:line="480" w:lineRule="auto"/>
              <w:jc w:val="center"/>
              <w:rPr>
                <w:rFonts w:hint="eastAsia" w:ascii="宋体" w:hAnsi="宋体" w:eastAsia="宋体" w:cs="宋体"/>
                <w:color w:val="auto"/>
                <w:sz w:val="24"/>
                <w:highlight w:val="none"/>
              </w:rPr>
            </w:pPr>
          </w:p>
        </w:tc>
      </w:tr>
      <w:tr w14:paraId="38733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844" w:type="dxa"/>
            <w:noWrap w:val="0"/>
            <w:vAlign w:val="center"/>
          </w:tcPr>
          <w:p w14:paraId="62DEBF50">
            <w:pPr>
              <w:spacing w:line="288" w:lineRule="auto"/>
              <w:jc w:val="center"/>
              <w:rPr>
                <w:rFonts w:hint="eastAsia" w:ascii="宋体" w:hAnsi="宋体" w:eastAsia="宋体" w:cs="宋体"/>
                <w:color w:val="auto"/>
                <w:sz w:val="24"/>
                <w:highlight w:val="none"/>
              </w:rPr>
            </w:pPr>
          </w:p>
        </w:tc>
        <w:tc>
          <w:tcPr>
            <w:tcW w:w="1420" w:type="dxa"/>
            <w:noWrap w:val="0"/>
            <w:vAlign w:val="center"/>
          </w:tcPr>
          <w:p w14:paraId="608FB76E">
            <w:pPr>
              <w:spacing w:line="288" w:lineRule="auto"/>
              <w:jc w:val="center"/>
              <w:rPr>
                <w:rFonts w:hint="eastAsia" w:ascii="宋体" w:hAnsi="宋体" w:eastAsia="宋体" w:cs="宋体"/>
                <w:color w:val="auto"/>
                <w:sz w:val="24"/>
                <w:highlight w:val="none"/>
              </w:rPr>
            </w:pPr>
          </w:p>
        </w:tc>
        <w:tc>
          <w:tcPr>
            <w:tcW w:w="1470" w:type="dxa"/>
            <w:noWrap w:val="0"/>
            <w:vAlign w:val="top"/>
          </w:tcPr>
          <w:p w14:paraId="5CEF4CD3">
            <w:pPr>
              <w:spacing w:line="480" w:lineRule="auto"/>
              <w:jc w:val="center"/>
              <w:rPr>
                <w:rFonts w:hint="eastAsia" w:ascii="宋体" w:hAnsi="宋体" w:eastAsia="宋体" w:cs="宋体"/>
                <w:color w:val="auto"/>
                <w:sz w:val="24"/>
                <w:highlight w:val="none"/>
              </w:rPr>
            </w:pPr>
          </w:p>
        </w:tc>
        <w:tc>
          <w:tcPr>
            <w:tcW w:w="1932" w:type="dxa"/>
            <w:noWrap w:val="0"/>
            <w:vAlign w:val="top"/>
          </w:tcPr>
          <w:p w14:paraId="234897C6">
            <w:pPr>
              <w:spacing w:line="480" w:lineRule="auto"/>
              <w:jc w:val="center"/>
              <w:rPr>
                <w:rFonts w:hint="eastAsia" w:ascii="宋体" w:hAnsi="宋体" w:eastAsia="宋体" w:cs="宋体"/>
                <w:color w:val="auto"/>
                <w:sz w:val="24"/>
                <w:highlight w:val="none"/>
              </w:rPr>
            </w:pPr>
          </w:p>
        </w:tc>
        <w:tc>
          <w:tcPr>
            <w:tcW w:w="1406" w:type="dxa"/>
            <w:noWrap w:val="0"/>
            <w:vAlign w:val="top"/>
          </w:tcPr>
          <w:p w14:paraId="048CFFF9">
            <w:pPr>
              <w:spacing w:line="480" w:lineRule="auto"/>
              <w:jc w:val="center"/>
              <w:rPr>
                <w:rFonts w:hint="eastAsia" w:ascii="宋体" w:hAnsi="宋体" w:eastAsia="宋体" w:cs="宋体"/>
                <w:color w:val="auto"/>
                <w:sz w:val="24"/>
                <w:highlight w:val="none"/>
              </w:rPr>
            </w:pPr>
          </w:p>
        </w:tc>
        <w:tc>
          <w:tcPr>
            <w:tcW w:w="1050" w:type="dxa"/>
            <w:noWrap w:val="0"/>
            <w:vAlign w:val="top"/>
          </w:tcPr>
          <w:p w14:paraId="7B057FB5">
            <w:pPr>
              <w:spacing w:line="480" w:lineRule="auto"/>
              <w:jc w:val="center"/>
              <w:rPr>
                <w:rFonts w:hint="eastAsia" w:ascii="宋体" w:hAnsi="宋体" w:eastAsia="宋体" w:cs="宋体"/>
                <w:color w:val="auto"/>
                <w:sz w:val="24"/>
                <w:highlight w:val="none"/>
              </w:rPr>
            </w:pPr>
          </w:p>
        </w:tc>
      </w:tr>
      <w:tr w14:paraId="260C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844" w:type="dxa"/>
            <w:noWrap w:val="0"/>
            <w:vAlign w:val="center"/>
          </w:tcPr>
          <w:p w14:paraId="6F1B8026">
            <w:pPr>
              <w:spacing w:line="288" w:lineRule="auto"/>
              <w:jc w:val="center"/>
              <w:rPr>
                <w:rFonts w:hint="eastAsia" w:ascii="宋体" w:hAnsi="宋体" w:eastAsia="宋体" w:cs="宋体"/>
                <w:color w:val="auto"/>
                <w:sz w:val="24"/>
                <w:highlight w:val="none"/>
              </w:rPr>
            </w:pPr>
          </w:p>
        </w:tc>
        <w:tc>
          <w:tcPr>
            <w:tcW w:w="1420" w:type="dxa"/>
            <w:noWrap w:val="0"/>
            <w:vAlign w:val="center"/>
          </w:tcPr>
          <w:p w14:paraId="4E9F83BD">
            <w:pPr>
              <w:spacing w:line="288" w:lineRule="auto"/>
              <w:jc w:val="center"/>
              <w:rPr>
                <w:rFonts w:hint="eastAsia" w:ascii="宋体" w:hAnsi="宋体" w:eastAsia="宋体" w:cs="宋体"/>
                <w:color w:val="auto"/>
                <w:sz w:val="24"/>
                <w:highlight w:val="none"/>
              </w:rPr>
            </w:pPr>
          </w:p>
        </w:tc>
        <w:tc>
          <w:tcPr>
            <w:tcW w:w="1470" w:type="dxa"/>
            <w:noWrap w:val="0"/>
            <w:vAlign w:val="top"/>
          </w:tcPr>
          <w:p w14:paraId="6FA5C673">
            <w:pPr>
              <w:spacing w:line="480" w:lineRule="auto"/>
              <w:jc w:val="center"/>
              <w:rPr>
                <w:rFonts w:hint="eastAsia" w:ascii="宋体" w:hAnsi="宋体" w:eastAsia="宋体" w:cs="宋体"/>
                <w:color w:val="auto"/>
                <w:sz w:val="24"/>
                <w:highlight w:val="none"/>
              </w:rPr>
            </w:pPr>
          </w:p>
        </w:tc>
        <w:tc>
          <w:tcPr>
            <w:tcW w:w="1932" w:type="dxa"/>
            <w:noWrap w:val="0"/>
            <w:vAlign w:val="top"/>
          </w:tcPr>
          <w:p w14:paraId="28E6EF84">
            <w:pPr>
              <w:spacing w:line="480" w:lineRule="auto"/>
              <w:jc w:val="center"/>
              <w:rPr>
                <w:rFonts w:hint="eastAsia" w:ascii="宋体" w:hAnsi="宋体" w:eastAsia="宋体" w:cs="宋体"/>
                <w:color w:val="auto"/>
                <w:sz w:val="24"/>
                <w:highlight w:val="none"/>
              </w:rPr>
            </w:pPr>
          </w:p>
        </w:tc>
        <w:tc>
          <w:tcPr>
            <w:tcW w:w="1406" w:type="dxa"/>
            <w:noWrap w:val="0"/>
            <w:vAlign w:val="top"/>
          </w:tcPr>
          <w:p w14:paraId="0C608A10">
            <w:pPr>
              <w:spacing w:line="480" w:lineRule="auto"/>
              <w:jc w:val="center"/>
              <w:rPr>
                <w:rFonts w:hint="eastAsia" w:ascii="宋体" w:hAnsi="宋体" w:eastAsia="宋体" w:cs="宋体"/>
                <w:color w:val="auto"/>
                <w:sz w:val="24"/>
                <w:highlight w:val="none"/>
              </w:rPr>
            </w:pPr>
          </w:p>
        </w:tc>
        <w:tc>
          <w:tcPr>
            <w:tcW w:w="1050" w:type="dxa"/>
            <w:noWrap w:val="0"/>
            <w:vAlign w:val="top"/>
          </w:tcPr>
          <w:p w14:paraId="4448B17D">
            <w:pPr>
              <w:spacing w:line="480" w:lineRule="auto"/>
              <w:jc w:val="center"/>
              <w:rPr>
                <w:rFonts w:hint="eastAsia" w:ascii="宋体" w:hAnsi="宋体" w:eastAsia="宋体" w:cs="宋体"/>
                <w:color w:val="auto"/>
                <w:sz w:val="24"/>
                <w:highlight w:val="none"/>
              </w:rPr>
            </w:pPr>
          </w:p>
        </w:tc>
      </w:tr>
      <w:tr w14:paraId="2CA6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844" w:type="dxa"/>
            <w:noWrap w:val="0"/>
            <w:vAlign w:val="top"/>
          </w:tcPr>
          <w:p w14:paraId="5E5E2DDF">
            <w:pPr>
              <w:spacing w:line="480" w:lineRule="auto"/>
              <w:jc w:val="center"/>
              <w:rPr>
                <w:rFonts w:hint="eastAsia" w:ascii="宋体" w:hAnsi="宋体" w:eastAsia="宋体" w:cs="宋体"/>
                <w:color w:val="auto"/>
                <w:sz w:val="24"/>
                <w:highlight w:val="none"/>
              </w:rPr>
            </w:pPr>
          </w:p>
        </w:tc>
        <w:tc>
          <w:tcPr>
            <w:tcW w:w="1420" w:type="dxa"/>
            <w:noWrap w:val="0"/>
            <w:vAlign w:val="top"/>
          </w:tcPr>
          <w:p w14:paraId="1DF94692">
            <w:pPr>
              <w:spacing w:line="480" w:lineRule="auto"/>
              <w:jc w:val="center"/>
              <w:rPr>
                <w:rFonts w:hint="eastAsia" w:ascii="宋体" w:hAnsi="宋体" w:eastAsia="宋体" w:cs="宋体"/>
                <w:color w:val="auto"/>
                <w:sz w:val="24"/>
                <w:highlight w:val="none"/>
              </w:rPr>
            </w:pPr>
          </w:p>
        </w:tc>
        <w:tc>
          <w:tcPr>
            <w:tcW w:w="1470" w:type="dxa"/>
            <w:noWrap w:val="0"/>
            <w:vAlign w:val="top"/>
          </w:tcPr>
          <w:p w14:paraId="1BC04A94">
            <w:pPr>
              <w:spacing w:line="480" w:lineRule="auto"/>
              <w:jc w:val="center"/>
              <w:rPr>
                <w:rFonts w:hint="eastAsia" w:ascii="宋体" w:hAnsi="宋体" w:eastAsia="宋体" w:cs="宋体"/>
                <w:color w:val="auto"/>
                <w:sz w:val="24"/>
                <w:highlight w:val="none"/>
              </w:rPr>
            </w:pPr>
          </w:p>
        </w:tc>
        <w:tc>
          <w:tcPr>
            <w:tcW w:w="1932" w:type="dxa"/>
            <w:noWrap w:val="0"/>
            <w:vAlign w:val="top"/>
          </w:tcPr>
          <w:p w14:paraId="505C252D">
            <w:pPr>
              <w:spacing w:line="480" w:lineRule="auto"/>
              <w:jc w:val="center"/>
              <w:rPr>
                <w:rFonts w:hint="eastAsia" w:ascii="宋体" w:hAnsi="宋体" w:eastAsia="宋体" w:cs="宋体"/>
                <w:color w:val="auto"/>
                <w:sz w:val="24"/>
                <w:highlight w:val="none"/>
              </w:rPr>
            </w:pPr>
          </w:p>
        </w:tc>
        <w:tc>
          <w:tcPr>
            <w:tcW w:w="1406" w:type="dxa"/>
            <w:noWrap w:val="0"/>
            <w:vAlign w:val="top"/>
          </w:tcPr>
          <w:p w14:paraId="10B94063">
            <w:pPr>
              <w:spacing w:line="480" w:lineRule="auto"/>
              <w:jc w:val="center"/>
              <w:rPr>
                <w:rFonts w:hint="eastAsia" w:ascii="宋体" w:hAnsi="宋体" w:eastAsia="宋体" w:cs="宋体"/>
                <w:color w:val="auto"/>
                <w:sz w:val="24"/>
                <w:highlight w:val="none"/>
              </w:rPr>
            </w:pPr>
          </w:p>
        </w:tc>
        <w:tc>
          <w:tcPr>
            <w:tcW w:w="1050" w:type="dxa"/>
            <w:noWrap w:val="0"/>
            <w:vAlign w:val="top"/>
          </w:tcPr>
          <w:p w14:paraId="05666BE8">
            <w:pPr>
              <w:spacing w:line="480" w:lineRule="auto"/>
              <w:jc w:val="center"/>
              <w:rPr>
                <w:rFonts w:hint="eastAsia" w:ascii="宋体" w:hAnsi="宋体" w:eastAsia="宋体" w:cs="宋体"/>
                <w:color w:val="auto"/>
                <w:sz w:val="24"/>
                <w:highlight w:val="none"/>
              </w:rPr>
            </w:pPr>
          </w:p>
        </w:tc>
      </w:tr>
      <w:tr w14:paraId="28A35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844" w:type="dxa"/>
            <w:noWrap w:val="0"/>
            <w:vAlign w:val="top"/>
          </w:tcPr>
          <w:p w14:paraId="42E263A4">
            <w:pPr>
              <w:spacing w:line="480" w:lineRule="auto"/>
              <w:jc w:val="center"/>
              <w:rPr>
                <w:rFonts w:hint="eastAsia" w:ascii="宋体" w:hAnsi="宋体" w:eastAsia="宋体" w:cs="宋体"/>
                <w:color w:val="auto"/>
                <w:sz w:val="24"/>
                <w:highlight w:val="none"/>
              </w:rPr>
            </w:pPr>
          </w:p>
        </w:tc>
        <w:tc>
          <w:tcPr>
            <w:tcW w:w="1420" w:type="dxa"/>
            <w:noWrap w:val="0"/>
            <w:vAlign w:val="top"/>
          </w:tcPr>
          <w:p w14:paraId="54A8469A">
            <w:pPr>
              <w:spacing w:line="480" w:lineRule="auto"/>
              <w:jc w:val="center"/>
              <w:rPr>
                <w:rFonts w:hint="eastAsia" w:ascii="宋体" w:hAnsi="宋体" w:eastAsia="宋体" w:cs="宋体"/>
                <w:color w:val="auto"/>
                <w:sz w:val="24"/>
                <w:highlight w:val="none"/>
              </w:rPr>
            </w:pPr>
          </w:p>
        </w:tc>
        <w:tc>
          <w:tcPr>
            <w:tcW w:w="1470" w:type="dxa"/>
            <w:noWrap w:val="0"/>
            <w:vAlign w:val="top"/>
          </w:tcPr>
          <w:p w14:paraId="03E3B2BD">
            <w:pPr>
              <w:spacing w:line="480" w:lineRule="auto"/>
              <w:jc w:val="center"/>
              <w:rPr>
                <w:rFonts w:hint="eastAsia" w:ascii="宋体" w:hAnsi="宋体" w:eastAsia="宋体" w:cs="宋体"/>
                <w:color w:val="auto"/>
                <w:sz w:val="24"/>
                <w:highlight w:val="none"/>
              </w:rPr>
            </w:pPr>
          </w:p>
        </w:tc>
        <w:tc>
          <w:tcPr>
            <w:tcW w:w="1932" w:type="dxa"/>
            <w:noWrap w:val="0"/>
            <w:vAlign w:val="top"/>
          </w:tcPr>
          <w:p w14:paraId="1500346B">
            <w:pPr>
              <w:spacing w:line="480" w:lineRule="auto"/>
              <w:jc w:val="center"/>
              <w:rPr>
                <w:rFonts w:hint="eastAsia" w:ascii="宋体" w:hAnsi="宋体" w:eastAsia="宋体" w:cs="宋体"/>
                <w:color w:val="auto"/>
                <w:sz w:val="24"/>
                <w:highlight w:val="none"/>
              </w:rPr>
            </w:pPr>
          </w:p>
        </w:tc>
        <w:tc>
          <w:tcPr>
            <w:tcW w:w="1406" w:type="dxa"/>
            <w:noWrap w:val="0"/>
            <w:vAlign w:val="top"/>
          </w:tcPr>
          <w:p w14:paraId="28DA371A">
            <w:pPr>
              <w:spacing w:line="480" w:lineRule="auto"/>
              <w:jc w:val="center"/>
              <w:rPr>
                <w:rFonts w:hint="eastAsia" w:ascii="宋体" w:hAnsi="宋体" w:eastAsia="宋体" w:cs="宋体"/>
                <w:color w:val="auto"/>
                <w:sz w:val="24"/>
                <w:highlight w:val="none"/>
              </w:rPr>
            </w:pPr>
          </w:p>
        </w:tc>
        <w:tc>
          <w:tcPr>
            <w:tcW w:w="1050" w:type="dxa"/>
            <w:noWrap w:val="0"/>
            <w:vAlign w:val="top"/>
          </w:tcPr>
          <w:p w14:paraId="18500CC9">
            <w:pPr>
              <w:spacing w:line="480" w:lineRule="auto"/>
              <w:jc w:val="center"/>
              <w:rPr>
                <w:rFonts w:hint="eastAsia" w:ascii="宋体" w:hAnsi="宋体" w:eastAsia="宋体" w:cs="宋体"/>
                <w:color w:val="auto"/>
                <w:sz w:val="24"/>
                <w:highlight w:val="none"/>
              </w:rPr>
            </w:pPr>
          </w:p>
        </w:tc>
      </w:tr>
      <w:tr w14:paraId="40BE7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844" w:type="dxa"/>
            <w:noWrap w:val="0"/>
            <w:vAlign w:val="top"/>
          </w:tcPr>
          <w:p w14:paraId="6D25E3C6">
            <w:pPr>
              <w:spacing w:line="480" w:lineRule="auto"/>
              <w:jc w:val="center"/>
              <w:rPr>
                <w:rFonts w:hint="eastAsia" w:ascii="宋体" w:hAnsi="宋体" w:eastAsia="宋体" w:cs="宋体"/>
                <w:color w:val="auto"/>
                <w:sz w:val="24"/>
                <w:highlight w:val="none"/>
              </w:rPr>
            </w:pPr>
          </w:p>
        </w:tc>
        <w:tc>
          <w:tcPr>
            <w:tcW w:w="1420" w:type="dxa"/>
            <w:noWrap w:val="0"/>
            <w:vAlign w:val="top"/>
          </w:tcPr>
          <w:p w14:paraId="14FFADC9">
            <w:pPr>
              <w:spacing w:line="480" w:lineRule="auto"/>
              <w:jc w:val="center"/>
              <w:rPr>
                <w:rFonts w:hint="eastAsia" w:ascii="宋体" w:hAnsi="宋体" w:eastAsia="宋体" w:cs="宋体"/>
                <w:color w:val="auto"/>
                <w:sz w:val="24"/>
                <w:highlight w:val="none"/>
              </w:rPr>
            </w:pPr>
          </w:p>
        </w:tc>
        <w:tc>
          <w:tcPr>
            <w:tcW w:w="1470" w:type="dxa"/>
            <w:noWrap w:val="0"/>
            <w:vAlign w:val="top"/>
          </w:tcPr>
          <w:p w14:paraId="5547C48B">
            <w:pPr>
              <w:spacing w:line="480" w:lineRule="auto"/>
              <w:jc w:val="center"/>
              <w:rPr>
                <w:rFonts w:hint="eastAsia" w:ascii="宋体" w:hAnsi="宋体" w:eastAsia="宋体" w:cs="宋体"/>
                <w:color w:val="auto"/>
                <w:sz w:val="24"/>
                <w:highlight w:val="none"/>
              </w:rPr>
            </w:pPr>
          </w:p>
        </w:tc>
        <w:tc>
          <w:tcPr>
            <w:tcW w:w="1932" w:type="dxa"/>
            <w:noWrap w:val="0"/>
            <w:vAlign w:val="top"/>
          </w:tcPr>
          <w:p w14:paraId="3173EBEA">
            <w:pPr>
              <w:spacing w:line="480" w:lineRule="auto"/>
              <w:jc w:val="center"/>
              <w:rPr>
                <w:rFonts w:hint="eastAsia" w:ascii="宋体" w:hAnsi="宋体" w:eastAsia="宋体" w:cs="宋体"/>
                <w:color w:val="auto"/>
                <w:sz w:val="24"/>
                <w:highlight w:val="none"/>
              </w:rPr>
            </w:pPr>
          </w:p>
        </w:tc>
        <w:tc>
          <w:tcPr>
            <w:tcW w:w="1406" w:type="dxa"/>
            <w:noWrap w:val="0"/>
            <w:vAlign w:val="top"/>
          </w:tcPr>
          <w:p w14:paraId="0EFC2026">
            <w:pPr>
              <w:spacing w:line="480" w:lineRule="auto"/>
              <w:jc w:val="center"/>
              <w:rPr>
                <w:rFonts w:hint="eastAsia" w:ascii="宋体" w:hAnsi="宋体" w:eastAsia="宋体" w:cs="宋体"/>
                <w:color w:val="auto"/>
                <w:sz w:val="24"/>
                <w:highlight w:val="none"/>
              </w:rPr>
            </w:pPr>
          </w:p>
        </w:tc>
        <w:tc>
          <w:tcPr>
            <w:tcW w:w="1050" w:type="dxa"/>
            <w:noWrap w:val="0"/>
            <w:vAlign w:val="top"/>
          </w:tcPr>
          <w:p w14:paraId="45CEF68D">
            <w:pPr>
              <w:spacing w:line="480" w:lineRule="auto"/>
              <w:jc w:val="center"/>
              <w:rPr>
                <w:rFonts w:hint="eastAsia" w:ascii="宋体" w:hAnsi="宋体" w:eastAsia="宋体" w:cs="宋体"/>
                <w:color w:val="auto"/>
                <w:sz w:val="24"/>
                <w:highlight w:val="none"/>
              </w:rPr>
            </w:pPr>
          </w:p>
        </w:tc>
      </w:tr>
      <w:tr w14:paraId="6B14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844" w:type="dxa"/>
            <w:noWrap w:val="0"/>
            <w:vAlign w:val="top"/>
          </w:tcPr>
          <w:p w14:paraId="0A9FF22A">
            <w:pPr>
              <w:spacing w:line="480" w:lineRule="auto"/>
              <w:jc w:val="center"/>
              <w:rPr>
                <w:rFonts w:hint="eastAsia" w:ascii="宋体" w:hAnsi="宋体" w:eastAsia="宋体" w:cs="宋体"/>
                <w:color w:val="auto"/>
                <w:sz w:val="24"/>
                <w:highlight w:val="none"/>
              </w:rPr>
            </w:pPr>
          </w:p>
        </w:tc>
        <w:tc>
          <w:tcPr>
            <w:tcW w:w="1420" w:type="dxa"/>
            <w:noWrap w:val="0"/>
            <w:vAlign w:val="top"/>
          </w:tcPr>
          <w:p w14:paraId="23752FF3">
            <w:pPr>
              <w:spacing w:line="480" w:lineRule="auto"/>
              <w:jc w:val="center"/>
              <w:rPr>
                <w:rFonts w:hint="eastAsia" w:ascii="宋体" w:hAnsi="宋体" w:eastAsia="宋体" w:cs="宋体"/>
                <w:color w:val="auto"/>
                <w:sz w:val="24"/>
                <w:highlight w:val="none"/>
              </w:rPr>
            </w:pPr>
          </w:p>
        </w:tc>
        <w:tc>
          <w:tcPr>
            <w:tcW w:w="1470" w:type="dxa"/>
            <w:noWrap w:val="0"/>
            <w:vAlign w:val="top"/>
          </w:tcPr>
          <w:p w14:paraId="259F5716">
            <w:pPr>
              <w:spacing w:line="480" w:lineRule="auto"/>
              <w:jc w:val="center"/>
              <w:rPr>
                <w:rFonts w:hint="eastAsia" w:ascii="宋体" w:hAnsi="宋体" w:eastAsia="宋体" w:cs="宋体"/>
                <w:color w:val="auto"/>
                <w:sz w:val="24"/>
                <w:highlight w:val="none"/>
              </w:rPr>
            </w:pPr>
          </w:p>
        </w:tc>
        <w:tc>
          <w:tcPr>
            <w:tcW w:w="1932" w:type="dxa"/>
            <w:noWrap w:val="0"/>
            <w:vAlign w:val="top"/>
          </w:tcPr>
          <w:p w14:paraId="2786939A">
            <w:pPr>
              <w:spacing w:line="480" w:lineRule="auto"/>
              <w:jc w:val="center"/>
              <w:rPr>
                <w:rFonts w:hint="eastAsia" w:ascii="宋体" w:hAnsi="宋体" w:eastAsia="宋体" w:cs="宋体"/>
                <w:color w:val="auto"/>
                <w:sz w:val="24"/>
                <w:highlight w:val="none"/>
              </w:rPr>
            </w:pPr>
          </w:p>
        </w:tc>
        <w:tc>
          <w:tcPr>
            <w:tcW w:w="1406" w:type="dxa"/>
            <w:noWrap w:val="0"/>
            <w:vAlign w:val="top"/>
          </w:tcPr>
          <w:p w14:paraId="2006AFEB">
            <w:pPr>
              <w:spacing w:line="480" w:lineRule="auto"/>
              <w:jc w:val="center"/>
              <w:rPr>
                <w:rFonts w:hint="eastAsia" w:ascii="宋体" w:hAnsi="宋体" w:eastAsia="宋体" w:cs="宋体"/>
                <w:color w:val="auto"/>
                <w:sz w:val="24"/>
                <w:highlight w:val="none"/>
              </w:rPr>
            </w:pPr>
          </w:p>
        </w:tc>
        <w:tc>
          <w:tcPr>
            <w:tcW w:w="1050" w:type="dxa"/>
            <w:noWrap w:val="0"/>
            <w:vAlign w:val="top"/>
          </w:tcPr>
          <w:p w14:paraId="45EE3B88">
            <w:pPr>
              <w:spacing w:line="480" w:lineRule="auto"/>
              <w:jc w:val="center"/>
              <w:rPr>
                <w:rFonts w:hint="eastAsia" w:ascii="宋体" w:hAnsi="宋体" w:eastAsia="宋体" w:cs="宋体"/>
                <w:color w:val="auto"/>
                <w:sz w:val="24"/>
                <w:highlight w:val="none"/>
              </w:rPr>
            </w:pPr>
          </w:p>
        </w:tc>
      </w:tr>
    </w:tbl>
    <w:p w14:paraId="31ACE9BC">
      <w:pPr>
        <w:pStyle w:val="6"/>
        <w:spacing w:line="360" w:lineRule="auto"/>
        <w:ind w:firstLine="0"/>
        <w:jc w:val="center"/>
        <w:rPr>
          <w:rFonts w:hint="eastAsia" w:ascii="宋体" w:hAnsi="宋体" w:cs="宋体"/>
          <w:b/>
          <w:bCs/>
          <w:color w:val="auto"/>
          <w:sz w:val="28"/>
          <w:szCs w:val="28"/>
          <w:highlight w:val="none"/>
        </w:rPr>
      </w:pPr>
    </w:p>
    <w:p w14:paraId="530AB946">
      <w:pPr>
        <w:pStyle w:val="6"/>
        <w:spacing w:line="360" w:lineRule="auto"/>
        <w:ind w:firstLine="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注：各供应商根据项目情况自行拟派主要管理及技术工作人员，并附拟派人员的相关证书复印件（如学历或学位证书、岗位资格证等有利于人员能力的证明材料）。</w:t>
      </w:r>
    </w:p>
    <w:p w14:paraId="662BC9FD">
      <w:pPr>
        <w:snapToGrid w:val="0"/>
        <w:spacing w:line="360" w:lineRule="auto"/>
        <w:jc w:val="center"/>
        <w:rPr>
          <w:rFonts w:hint="eastAsia" w:ascii="宋体" w:hAnsi="宋体" w:cs="宋体"/>
          <w:color w:val="auto"/>
          <w:sz w:val="24"/>
          <w:highlight w:val="none"/>
        </w:rPr>
      </w:pPr>
    </w:p>
    <w:p w14:paraId="36A0790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5FA3A314">
      <w:pPr>
        <w:snapToGrid w:val="0"/>
        <w:spacing w:line="48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供应商（公章）：</w:t>
      </w:r>
    </w:p>
    <w:p w14:paraId="5F11E145">
      <w:pPr>
        <w:snapToGrid w:val="0"/>
        <w:spacing w:line="48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法定代表人或委托代理人（签字或盖章）：</w:t>
      </w:r>
    </w:p>
    <w:p w14:paraId="0E7BBCD2">
      <w:pPr>
        <w:snapToGrid w:val="0"/>
        <w:spacing w:line="48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    </w:t>
      </w:r>
    </w:p>
    <w:p w14:paraId="58E04C6E">
      <w:pPr>
        <w:jc w:val="center"/>
        <w:rPr>
          <w:rFonts w:hint="eastAsia" w:ascii="宋体" w:hAnsi="宋体" w:cs="宋体"/>
          <w:color w:val="auto"/>
          <w:sz w:val="24"/>
          <w:highlight w:val="none"/>
        </w:rPr>
      </w:pPr>
    </w:p>
    <w:p w14:paraId="742464C6">
      <w:pPr>
        <w:rPr>
          <w:rFonts w:hint="eastAsia" w:ascii="宋体" w:hAnsi="宋体" w:cs="宋体"/>
          <w:color w:val="auto"/>
          <w:highlight w:val="none"/>
        </w:rPr>
      </w:pPr>
      <w:r>
        <w:rPr>
          <w:rFonts w:hint="eastAsia" w:ascii="宋体" w:hAnsi="宋体" w:cs="宋体"/>
          <w:color w:val="auto"/>
          <w:highlight w:val="none"/>
        </w:rPr>
        <w:br w:type="page"/>
      </w:r>
    </w:p>
    <w:p w14:paraId="2B557E49">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格式2</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 xml:space="preserve">  近三年类似项目业绩表</w:t>
      </w:r>
    </w:p>
    <w:p w14:paraId="6F14DE54">
      <w:pPr>
        <w:spacing w:line="360" w:lineRule="auto"/>
        <w:jc w:val="center"/>
        <w:rPr>
          <w:rFonts w:hint="eastAsia" w:ascii="宋体" w:hAnsi="宋体" w:cs="宋体"/>
          <w:color w:val="auto"/>
          <w:sz w:val="24"/>
          <w:highlight w:val="none"/>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60"/>
        <w:gridCol w:w="1717"/>
        <w:gridCol w:w="1576"/>
        <w:gridCol w:w="1385"/>
        <w:gridCol w:w="1502"/>
        <w:gridCol w:w="1557"/>
      </w:tblGrid>
      <w:tr w14:paraId="49F2D7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1" w:hRule="atLeast"/>
          <w:jc w:val="center"/>
        </w:trPr>
        <w:tc>
          <w:tcPr>
            <w:tcW w:w="860" w:type="dxa"/>
            <w:tcBorders>
              <w:top w:val="single" w:color="auto" w:sz="4" w:space="0"/>
            </w:tcBorders>
            <w:noWrap w:val="0"/>
            <w:vAlign w:val="center"/>
          </w:tcPr>
          <w:p w14:paraId="3DB207CA">
            <w:pPr>
              <w:spacing w:line="360" w:lineRule="auto"/>
              <w:ind w:firstLine="120" w:firstLine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年份</w:t>
            </w:r>
          </w:p>
        </w:tc>
        <w:tc>
          <w:tcPr>
            <w:tcW w:w="1717" w:type="dxa"/>
            <w:noWrap w:val="0"/>
            <w:vAlign w:val="center"/>
          </w:tcPr>
          <w:p w14:paraId="33A890C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576" w:type="dxa"/>
            <w:noWrap w:val="0"/>
            <w:vAlign w:val="center"/>
          </w:tcPr>
          <w:p w14:paraId="167723F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w:t>
            </w:r>
          </w:p>
        </w:tc>
        <w:tc>
          <w:tcPr>
            <w:tcW w:w="1385" w:type="dxa"/>
            <w:noWrap w:val="0"/>
            <w:vAlign w:val="center"/>
          </w:tcPr>
          <w:p w14:paraId="40C071B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完成时间</w:t>
            </w:r>
          </w:p>
        </w:tc>
        <w:tc>
          <w:tcPr>
            <w:tcW w:w="1502" w:type="dxa"/>
            <w:noWrap w:val="0"/>
            <w:vAlign w:val="center"/>
          </w:tcPr>
          <w:p w14:paraId="66B98EBF">
            <w:pPr>
              <w:spacing w:line="360" w:lineRule="auto"/>
              <w:ind w:firstLine="120" w:firstLine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合同金额</w:t>
            </w:r>
          </w:p>
        </w:tc>
        <w:tc>
          <w:tcPr>
            <w:tcW w:w="1557" w:type="dxa"/>
            <w:tcBorders>
              <w:left w:val="single" w:color="auto" w:sz="4" w:space="0"/>
            </w:tcBorders>
            <w:noWrap w:val="0"/>
            <w:vAlign w:val="center"/>
          </w:tcPr>
          <w:p w14:paraId="23DD56C1">
            <w:pPr>
              <w:spacing w:line="360" w:lineRule="auto"/>
              <w:ind w:firstLine="117" w:firstLineChars="4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42A5CA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88" w:hRule="atLeast"/>
          <w:jc w:val="center"/>
        </w:trPr>
        <w:tc>
          <w:tcPr>
            <w:tcW w:w="860" w:type="dxa"/>
            <w:noWrap w:val="0"/>
            <w:vAlign w:val="center"/>
          </w:tcPr>
          <w:p w14:paraId="549C9B2F">
            <w:pPr>
              <w:spacing w:line="360" w:lineRule="auto"/>
              <w:jc w:val="center"/>
              <w:rPr>
                <w:rFonts w:hint="eastAsia" w:ascii="宋体" w:hAnsi="宋体" w:eastAsia="宋体" w:cs="宋体"/>
                <w:color w:val="auto"/>
                <w:sz w:val="24"/>
                <w:highlight w:val="none"/>
              </w:rPr>
            </w:pPr>
          </w:p>
        </w:tc>
        <w:tc>
          <w:tcPr>
            <w:tcW w:w="1717" w:type="dxa"/>
            <w:noWrap w:val="0"/>
            <w:vAlign w:val="center"/>
          </w:tcPr>
          <w:p w14:paraId="51B201F1">
            <w:pPr>
              <w:spacing w:line="360" w:lineRule="auto"/>
              <w:jc w:val="center"/>
              <w:rPr>
                <w:rFonts w:hint="eastAsia" w:ascii="宋体" w:hAnsi="宋体" w:eastAsia="宋体" w:cs="宋体"/>
                <w:color w:val="auto"/>
                <w:sz w:val="24"/>
                <w:highlight w:val="none"/>
              </w:rPr>
            </w:pPr>
          </w:p>
        </w:tc>
        <w:tc>
          <w:tcPr>
            <w:tcW w:w="1576" w:type="dxa"/>
            <w:noWrap w:val="0"/>
            <w:vAlign w:val="center"/>
          </w:tcPr>
          <w:p w14:paraId="6446DA1C">
            <w:pPr>
              <w:spacing w:line="360" w:lineRule="auto"/>
              <w:jc w:val="center"/>
              <w:rPr>
                <w:rFonts w:hint="eastAsia" w:ascii="宋体" w:hAnsi="宋体" w:eastAsia="宋体" w:cs="宋体"/>
                <w:color w:val="auto"/>
                <w:sz w:val="24"/>
                <w:highlight w:val="none"/>
              </w:rPr>
            </w:pPr>
          </w:p>
        </w:tc>
        <w:tc>
          <w:tcPr>
            <w:tcW w:w="1385" w:type="dxa"/>
            <w:noWrap w:val="0"/>
            <w:vAlign w:val="center"/>
          </w:tcPr>
          <w:p w14:paraId="4041BE51">
            <w:pPr>
              <w:spacing w:line="360" w:lineRule="auto"/>
              <w:jc w:val="center"/>
              <w:rPr>
                <w:rFonts w:hint="eastAsia" w:ascii="宋体" w:hAnsi="宋体" w:eastAsia="宋体" w:cs="宋体"/>
                <w:color w:val="auto"/>
                <w:sz w:val="24"/>
                <w:highlight w:val="none"/>
              </w:rPr>
            </w:pPr>
          </w:p>
        </w:tc>
        <w:tc>
          <w:tcPr>
            <w:tcW w:w="1502" w:type="dxa"/>
            <w:noWrap w:val="0"/>
            <w:vAlign w:val="center"/>
          </w:tcPr>
          <w:p w14:paraId="35A244C4">
            <w:pPr>
              <w:spacing w:line="360" w:lineRule="auto"/>
              <w:jc w:val="center"/>
              <w:rPr>
                <w:rFonts w:hint="eastAsia" w:ascii="宋体" w:hAnsi="宋体" w:eastAsia="宋体" w:cs="宋体"/>
                <w:color w:val="auto"/>
                <w:sz w:val="24"/>
                <w:highlight w:val="none"/>
              </w:rPr>
            </w:pPr>
          </w:p>
        </w:tc>
        <w:tc>
          <w:tcPr>
            <w:tcW w:w="1557" w:type="dxa"/>
            <w:tcBorders>
              <w:left w:val="single" w:color="auto" w:sz="4" w:space="0"/>
            </w:tcBorders>
            <w:noWrap w:val="0"/>
            <w:vAlign w:val="center"/>
          </w:tcPr>
          <w:p w14:paraId="139EE737">
            <w:pPr>
              <w:spacing w:line="360" w:lineRule="auto"/>
              <w:jc w:val="center"/>
              <w:rPr>
                <w:rFonts w:hint="eastAsia" w:ascii="宋体" w:hAnsi="宋体" w:eastAsia="宋体" w:cs="宋体"/>
                <w:color w:val="auto"/>
                <w:sz w:val="24"/>
                <w:highlight w:val="none"/>
              </w:rPr>
            </w:pPr>
          </w:p>
        </w:tc>
      </w:tr>
      <w:tr w14:paraId="19B0D3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6" w:hRule="atLeast"/>
          <w:jc w:val="center"/>
        </w:trPr>
        <w:tc>
          <w:tcPr>
            <w:tcW w:w="860" w:type="dxa"/>
            <w:noWrap w:val="0"/>
            <w:vAlign w:val="center"/>
          </w:tcPr>
          <w:p w14:paraId="506FD1FF">
            <w:pPr>
              <w:spacing w:line="360" w:lineRule="auto"/>
              <w:jc w:val="center"/>
              <w:rPr>
                <w:rFonts w:hint="eastAsia" w:ascii="宋体" w:hAnsi="宋体" w:eastAsia="宋体" w:cs="宋体"/>
                <w:color w:val="auto"/>
                <w:sz w:val="24"/>
                <w:highlight w:val="none"/>
              </w:rPr>
            </w:pPr>
          </w:p>
        </w:tc>
        <w:tc>
          <w:tcPr>
            <w:tcW w:w="1717" w:type="dxa"/>
            <w:noWrap w:val="0"/>
            <w:vAlign w:val="center"/>
          </w:tcPr>
          <w:p w14:paraId="084EEA1A">
            <w:pPr>
              <w:spacing w:line="360" w:lineRule="auto"/>
              <w:jc w:val="center"/>
              <w:rPr>
                <w:rFonts w:hint="eastAsia" w:ascii="宋体" w:hAnsi="宋体" w:eastAsia="宋体" w:cs="宋体"/>
                <w:color w:val="auto"/>
                <w:sz w:val="24"/>
                <w:highlight w:val="none"/>
              </w:rPr>
            </w:pPr>
          </w:p>
        </w:tc>
        <w:tc>
          <w:tcPr>
            <w:tcW w:w="1576" w:type="dxa"/>
            <w:noWrap w:val="0"/>
            <w:vAlign w:val="center"/>
          </w:tcPr>
          <w:p w14:paraId="511A4577">
            <w:pPr>
              <w:spacing w:line="360" w:lineRule="auto"/>
              <w:jc w:val="center"/>
              <w:rPr>
                <w:rFonts w:hint="eastAsia" w:ascii="宋体" w:hAnsi="宋体" w:eastAsia="宋体" w:cs="宋体"/>
                <w:color w:val="auto"/>
                <w:sz w:val="24"/>
                <w:highlight w:val="none"/>
              </w:rPr>
            </w:pPr>
          </w:p>
        </w:tc>
        <w:tc>
          <w:tcPr>
            <w:tcW w:w="1385" w:type="dxa"/>
            <w:noWrap w:val="0"/>
            <w:vAlign w:val="center"/>
          </w:tcPr>
          <w:p w14:paraId="3D174D15">
            <w:pPr>
              <w:spacing w:line="360" w:lineRule="auto"/>
              <w:jc w:val="center"/>
              <w:rPr>
                <w:rFonts w:hint="eastAsia" w:ascii="宋体" w:hAnsi="宋体" w:eastAsia="宋体" w:cs="宋体"/>
                <w:color w:val="auto"/>
                <w:sz w:val="24"/>
                <w:highlight w:val="none"/>
              </w:rPr>
            </w:pPr>
          </w:p>
        </w:tc>
        <w:tc>
          <w:tcPr>
            <w:tcW w:w="1502" w:type="dxa"/>
            <w:noWrap w:val="0"/>
            <w:vAlign w:val="center"/>
          </w:tcPr>
          <w:p w14:paraId="03AAA766">
            <w:pPr>
              <w:spacing w:line="360" w:lineRule="auto"/>
              <w:jc w:val="center"/>
              <w:rPr>
                <w:rFonts w:hint="eastAsia" w:ascii="宋体" w:hAnsi="宋体" w:eastAsia="宋体" w:cs="宋体"/>
                <w:color w:val="auto"/>
                <w:sz w:val="24"/>
                <w:highlight w:val="none"/>
              </w:rPr>
            </w:pPr>
          </w:p>
        </w:tc>
        <w:tc>
          <w:tcPr>
            <w:tcW w:w="1557" w:type="dxa"/>
            <w:tcBorders>
              <w:left w:val="single" w:color="auto" w:sz="4" w:space="0"/>
            </w:tcBorders>
            <w:noWrap w:val="0"/>
            <w:vAlign w:val="center"/>
          </w:tcPr>
          <w:p w14:paraId="14CD79B3">
            <w:pPr>
              <w:spacing w:line="360" w:lineRule="auto"/>
              <w:jc w:val="center"/>
              <w:rPr>
                <w:rFonts w:hint="eastAsia" w:ascii="宋体" w:hAnsi="宋体" w:eastAsia="宋体" w:cs="宋体"/>
                <w:color w:val="auto"/>
                <w:sz w:val="24"/>
                <w:highlight w:val="none"/>
              </w:rPr>
            </w:pPr>
          </w:p>
        </w:tc>
      </w:tr>
      <w:tr w14:paraId="3ABB7C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6" w:hRule="atLeast"/>
          <w:jc w:val="center"/>
        </w:trPr>
        <w:tc>
          <w:tcPr>
            <w:tcW w:w="860" w:type="dxa"/>
            <w:noWrap w:val="0"/>
            <w:vAlign w:val="center"/>
          </w:tcPr>
          <w:p w14:paraId="1E286052">
            <w:pPr>
              <w:spacing w:line="360" w:lineRule="auto"/>
              <w:jc w:val="center"/>
              <w:rPr>
                <w:rFonts w:hint="eastAsia" w:ascii="宋体" w:hAnsi="宋体" w:eastAsia="宋体" w:cs="宋体"/>
                <w:color w:val="auto"/>
                <w:sz w:val="24"/>
                <w:highlight w:val="none"/>
              </w:rPr>
            </w:pPr>
          </w:p>
        </w:tc>
        <w:tc>
          <w:tcPr>
            <w:tcW w:w="1717" w:type="dxa"/>
            <w:noWrap w:val="0"/>
            <w:vAlign w:val="center"/>
          </w:tcPr>
          <w:p w14:paraId="6DDD18A4">
            <w:pPr>
              <w:spacing w:line="360" w:lineRule="auto"/>
              <w:jc w:val="center"/>
              <w:rPr>
                <w:rFonts w:hint="eastAsia" w:ascii="宋体" w:hAnsi="宋体" w:eastAsia="宋体" w:cs="宋体"/>
                <w:color w:val="auto"/>
                <w:sz w:val="24"/>
                <w:highlight w:val="none"/>
              </w:rPr>
            </w:pPr>
          </w:p>
        </w:tc>
        <w:tc>
          <w:tcPr>
            <w:tcW w:w="1576" w:type="dxa"/>
            <w:noWrap w:val="0"/>
            <w:vAlign w:val="center"/>
          </w:tcPr>
          <w:p w14:paraId="459C5F0B">
            <w:pPr>
              <w:spacing w:line="360" w:lineRule="auto"/>
              <w:jc w:val="center"/>
              <w:rPr>
                <w:rFonts w:hint="eastAsia" w:ascii="宋体" w:hAnsi="宋体" w:eastAsia="宋体" w:cs="宋体"/>
                <w:color w:val="auto"/>
                <w:sz w:val="24"/>
                <w:highlight w:val="none"/>
              </w:rPr>
            </w:pPr>
          </w:p>
        </w:tc>
        <w:tc>
          <w:tcPr>
            <w:tcW w:w="1385" w:type="dxa"/>
            <w:noWrap w:val="0"/>
            <w:vAlign w:val="center"/>
          </w:tcPr>
          <w:p w14:paraId="0D25C088">
            <w:pPr>
              <w:spacing w:line="360" w:lineRule="auto"/>
              <w:jc w:val="center"/>
              <w:rPr>
                <w:rFonts w:hint="eastAsia" w:ascii="宋体" w:hAnsi="宋体" w:eastAsia="宋体" w:cs="宋体"/>
                <w:color w:val="auto"/>
                <w:sz w:val="24"/>
                <w:highlight w:val="none"/>
              </w:rPr>
            </w:pPr>
          </w:p>
        </w:tc>
        <w:tc>
          <w:tcPr>
            <w:tcW w:w="1502" w:type="dxa"/>
            <w:noWrap w:val="0"/>
            <w:vAlign w:val="center"/>
          </w:tcPr>
          <w:p w14:paraId="17F2AA32">
            <w:pPr>
              <w:spacing w:line="360" w:lineRule="auto"/>
              <w:jc w:val="center"/>
              <w:rPr>
                <w:rFonts w:hint="eastAsia" w:ascii="宋体" w:hAnsi="宋体" w:eastAsia="宋体" w:cs="宋体"/>
                <w:color w:val="auto"/>
                <w:sz w:val="24"/>
                <w:highlight w:val="none"/>
              </w:rPr>
            </w:pPr>
          </w:p>
        </w:tc>
        <w:tc>
          <w:tcPr>
            <w:tcW w:w="1557" w:type="dxa"/>
            <w:tcBorders>
              <w:left w:val="single" w:color="auto" w:sz="4" w:space="0"/>
            </w:tcBorders>
            <w:noWrap w:val="0"/>
            <w:vAlign w:val="center"/>
          </w:tcPr>
          <w:p w14:paraId="737952BB">
            <w:pPr>
              <w:spacing w:line="360" w:lineRule="auto"/>
              <w:jc w:val="center"/>
              <w:rPr>
                <w:rFonts w:hint="eastAsia" w:ascii="宋体" w:hAnsi="宋体" w:eastAsia="宋体" w:cs="宋体"/>
                <w:color w:val="auto"/>
                <w:sz w:val="24"/>
                <w:highlight w:val="none"/>
              </w:rPr>
            </w:pPr>
          </w:p>
        </w:tc>
      </w:tr>
      <w:tr w14:paraId="1A4EBF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6" w:hRule="atLeast"/>
          <w:jc w:val="center"/>
        </w:trPr>
        <w:tc>
          <w:tcPr>
            <w:tcW w:w="860" w:type="dxa"/>
            <w:noWrap w:val="0"/>
            <w:vAlign w:val="center"/>
          </w:tcPr>
          <w:p w14:paraId="378B5018">
            <w:pPr>
              <w:spacing w:line="360" w:lineRule="auto"/>
              <w:jc w:val="center"/>
              <w:rPr>
                <w:rFonts w:hint="eastAsia" w:ascii="宋体" w:hAnsi="宋体" w:eastAsia="宋体" w:cs="宋体"/>
                <w:color w:val="auto"/>
                <w:sz w:val="24"/>
                <w:highlight w:val="none"/>
              </w:rPr>
            </w:pPr>
          </w:p>
        </w:tc>
        <w:tc>
          <w:tcPr>
            <w:tcW w:w="1717" w:type="dxa"/>
            <w:tcBorders>
              <w:right w:val="single" w:color="auto" w:sz="4" w:space="0"/>
            </w:tcBorders>
            <w:noWrap w:val="0"/>
            <w:vAlign w:val="center"/>
          </w:tcPr>
          <w:p w14:paraId="08578C3F">
            <w:pPr>
              <w:spacing w:line="360" w:lineRule="auto"/>
              <w:jc w:val="center"/>
              <w:rPr>
                <w:rFonts w:hint="eastAsia" w:ascii="宋体" w:hAnsi="宋体" w:eastAsia="宋体" w:cs="宋体"/>
                <w:color w:val="auto"/>
                <w:sz w:val="24"/>
                <w:highlight w:val="none"/>
              </w:rPr>
            </w:pPr>
          </w:p>
        </w:tc>
        <w:tc>
          <w:tcPr>
            <w:tcW w:w="1576" w:type="dxa"/>
            <w:tcBorders>
              <w:left w:val="single" w:color="auto" w:sz="4" w:space="0"/>
            </w:tcBorders>
            <w:noWrap w:val="0"/>
            <w:vAlign w:val="center"/>
          </w:tcPr>
          <w:p w14:paraId="1CADF254">
            <w:pPr>
              <w:spacing w:line="360" w:lineRule="auto"/>
              <w:jc w:val="center"/>
              <w:rPr>
                <w:rFonts w:hint="eastAsia" w:ascii="宋体" w:hAnsi="宋体" w:eastAsia="宋体" w:cs="宋体"/>
                <w:color w:val="auto"/>
                <w:sz w:val="24"/>
                <w:highlight w:val="none"/>
              </w:rPr>
            </w:pPr>
          </w:p>
        </w:tc>
        <w:tc>
          <w:tcPr>
            <w:tcW w:w="1385" w:type="dxa"/>
            <w:noWrap w:val="0"/>
            <w:vAlign w:val="center"/>
          </w:tcPr>
          <w:p w14:paraId="037E8CD1">
            <w:pPr>
              <w:spacing w:line="360" w:lineRule="auto"/>
              <w:jc w:val="center"/>
              <w:rPr>
                <w:rFonts w:hint="eastAsia" w:ascii="宋体" w:hAnsi="宋体" w:eastAsia="宋体" w:cs="宋体"/>
                <w:color w:val="auto"/>
                <w:sz w:val="24"/>
                <w:highlight w:val="none"/>
              </w:rPr>
            </w:pPr>
          </w:p>
        </w:tc>
        <w:tc>
          <w:tcPr>
            <w:tcW w:w="1502" w:type="dxa"/>
            <w:noWrap w:val="0"/>
            <w:vAlign w:val="center"/>
          </w:tcPr>
          <w:p w14:paraId="0C35FE26">
            <w:pPr>
              <w:spacing w:line="360" w:lineRule="auto"/>
              <w:jc w:val="center"/>
              <w:rPr>
                <w:rFonts w:hint="eastAsia" w:ascii="宋体" w:hAnsi="宋体" w:eastAsia="宋体" w:cs="宋体"/>
                <w:color w:val="auto"/>
                <w:sz w:val="24"/>
                <w:highlight w:val="none"/>
              </w:rPr>
            </w:pPr>
          </w:p>
        </w:tc>
        <w:tc>
          <w:tcPr>
            <w:tcW w:w="1557" w:type="dxa"/>
            <w:tcBorders>
              <w:left w:val="single" w:color="auto" w:sz="4" w:space="0"/>
            </w:tcBorders>
            <w:noWrap w:val="0"/>
            <w:vAlign w:val="center"/>
          </w:tcPr>
          <w:p w14:paraId="716F1A2B">
            <w:pPr>
              <w:spacing w:line="360" w:lineRule="auto"/>
              <w:jc w:val="center"/>
              <w:rPr>
                <w:rFonts w:hint="eastAsia" w:ascii="宋体" w:hAnsi="宋体" w:eastAsia="宋体" w:cs="宋体"/>
                <w:color w:val="auto"/>
                <w:sz w:val="24"/>
                <w:highlight w:val="none"/>
              </w:rPr>
            </w:pPr>
          </w:p>
        </w:tc>
      </w:tr>
      <w:tr w14:paraId="4AFAD1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6" w:hRule="atLeast"/>
          <w:jc w:val="center"/>
        </w:trPr>
        <w:tc>
          <w:tcPr>
            <w:tcW w:w="860" w:type="dxa"/>
            <w:noWrap w:val="0"/>
            <w:vAlign w:val="center"/>
          </w:tcPr>
          <w:p w14:paraId="5CC858D2">
            <w:pPr>
              <w:spacing w:line="360" w:lineRule="auto"/>
              <w:jc w:val="center"/>
              <w:rPr>
                <w:rFonts w:hint="eastAsia" w:ascii="宋体" w:hAnsi="宋体" w:eastAsia="宋体" w:cs="宋体"/>
                <w:color w:val="auto"/>
                <w:sz w:val="24"/>
                <w:highlight w:val="none"/>
              </w:rPr>
            </w:pPr>
          </w:p>
        </w:tc>
        <w:tc>
          <w:tcPr>
            <w:tcW w:w="1717" w:type="dxa"/>
            <w:tcBorders>
              <w:right w:val="single" w:color="auto" w:sz="4" w:space="0"/>
            </w:tcBorders>
            <w:noWrap w:val="0"/>
            <w:vAlign w:val="center"/>
          </w:tcPr>
          <w:p w14:paraId="37B73291">
            <w:pPr>
              <w:spacing w:line="360" w:lineRule="auto"/>
              <w:jc w:val="center"/>
              <w:rPr>
                <w:rFonts w:hint="eastAsia" w:ascii="宋体" w:hAnsi="宋体" w:eastAsia="宋体" w:cs="宋体"/>
                <w:color w:val="auto"/>
                <w:sz w:val="24"/>
                <w:highlight w:val="none"/>
              </w:rPr>
            </w:pPr>
          </w:p>
        </w:tc>
        <w:tc>
          <w:tcPr>
            <w:tcW w:w="1576" w:type="dxa"/>
            <w:tcBorders>
              <w:left w:val="single" w:color="auto" w:sz="4" w:space="0"/>
            </w:tcBorders>
            <w:noWrap w:val="0"/>
            <w:vAlign w:val="center"/>
          </w:tcPr>
          <w:p w14:paraId="2004D340">
            <w:pPr>
              <w:spacing w:line="360" w:lineRule="auto"/>
              <w:jc w:val="center"/>
              <w:rPr>
                <w:rFonts w:hint="eastAsia" w:ascii="宋体" w:hAnsi="宋体" w:eastAsia="宋体" w:cs="宋体"/>
                <w:color w:val="auto"/>
                <w:sz w:val="24"/>
                <w:highlight w:val="none"/>
              </w:rPr>
            </w:pPr>
          </w:p>
        </w:tc>
        <w:tc>
          <w:tcPr>
            <w:tcW w:w="1385" w:type="dxa"/>
            <w:noWrap w:val="0"/>
            <w:vAlign w:val="center"/>
          </w:tcPr>
          <w:p w14:paraId="08773B36">
            <w:pPr>
              <w:spacing w:line="360" w:lineRule="auto"/>
              <w:jc w:val="center"/>
              <w:rPr>
                <w:rFonts w:hint="eastAsia" w:ascii="宋体" w:hAnsi="宋体" w:eastAsia="宋体" w:cs="宋体"/>
                <w:color w:val="auto"/>
                <w:sz w:val="24"/>
                <w:highlight w:val="none"/>
              </w:rPr>
            </w:pPr>
          </w:p>
        </w:tc>
        <w:tc>
          <w:tcPr>
            <w:tcW w:w="1502" w:type="dxa"/>
            <w:noWrap w:val="0"/>
            <w:vAlign w:val="center"/>
          </w:tcPr>
          <w:p w14:paraId="540818D5">
            <w:pPr>
              <w:spacing w:line="360" w:lineRule="auto"/>
              <w:jc w:val="center"/>
              <w:rPr>
                <w:rFonts w:hint="eastAsia" w:ascii="宋体" w:hAnsi="宋体" w:eastAsia="宋体" w:cs="宋体"/>
                <w:color w:val="auto"/>
                <w:sz w:val="24"/>
                <w:highlight w:val="none"/>
              </w:rPr>
            </w:pPr>
          </w:p>
        </w:tc>
        <w:tc>
          <w:tcPr>
            <w:tcW w:w="1557" w:type="dxa"/>
            <w:tcBorders>
              <w:left w:val="single" w:color="auto" w:sz="4" w:space="0"/>
            </w:tcBorders>
            <w:noWrap w:val="0"/>
            <w:vAlign w:val="center"/>
          </w:tcPr>
          <w:p w14:paraId="4A9D75F7">
            <w:pPr>
              <w:spacing w:line="360" w:lineRule="auto"/>
              <w:jc w:val="center"/>
              <w:rPr>
                <w:rFonts w:hint="eastAsia" w:ascii="宋体" w:hAnsi="宋体" w:eastAsia="宋体" w:cs="宋体"/>
                <w:color w:val="auto"/>
                <w:sz w:val="24"/>
                <w:highlight w:val="none"/>
              </w:rPr>
            </w:pPr>
          </w:p>
        </w:tc>
      </w:tr>
      <w:tr w14:paraId="59641A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6" w:hRule="atLeast"/>
          <w:jc w:val="center"/>
        </w:trPr>
        <w:tc>
          <w:tcPr>
            <w:tcW w:w="860" w:type="dxa"/>
            <w:noWrap w:val="0"/>
            <w:vAlign w:val="center"/>
          </w:tcPr>
          <w:p w14:paraId="5A40426F">
            <w:pPr>
              <w:spacing w:line="360" w:lineRule="auto"/>
              <w:jc w:val="center"/>
              <w:rPr>
                <w:rFonts w:hint="eastAsia" w:ascii="宋体" w:hAnsi="宋体" w:eastAsia="宋体" w:cs="宋体"/>
                <w:color w:val="auto"/>
                <w:sz w:val="24"/>
                <w:highlight w:val="none"/>
              </w:rPr>
            </w:pPr>
          </w:p>
        </w:tc>
        <w:tc>
          <w:tcPr>
            <w:tcW w:w="1717" w:type="dxa"/>
            <w:tcBorders>
              <w:right w:val="single" w:color="auto" w:sz="4" w:space="0"/>
            </w:tcBorders>
            <w:noWrap w:val="0"/>
            <w:vAlign w:val="center"/>
          </w:tcPr>
          <w:p w14:paraId="6507FEC0">
            <w:pPr>
              <w:spacing w:line="360" w:lineRule="auto"/>
              <w:jc w:val="center"/>
              <w:rPr>
                <w:rFonts w:hint="eastAsia" w:ascii="宋体" w:hAnsi="宋体" w:eastAsia="宋体" w:cs="宋体"/>
                <w:color w:val="auto"/>
                <w:sz w:val="24"/>
                <w:highlight w:val="none"/>
              </w:rPr>
            </w:pPr>
          </w:p>
        </w:tc>
        <w:tc>
          <w:tcPr>
            <w:tcW w:w="1576" w:type="dxa"/>
            <w:tcBorders>
              <w:left w:val="single" w:color="auto" w:sz="4" w:space="0"/>
            </w:tcBorders>
            <w:noWrap w:val="0"/>
            <w:vAlign w:val="center"/>
          </w:tcPr>
          <w:p w14:paraId="67887DD4">
            <w:pPr>
              <w:spacing w:line="360" w:lineRule="auto"/>
              <w:jc w:val="center"/>
              <w:rPr>
                <w:rFonts w:hint="eastAsia" w:ascii="宋体" w:hAnsi="宋体" w:eastAsia="宋体" w:cs="宋体"/>
                <w:color w:val="auto"/>
                <w:sz w:val="24"/>
                <w:highlight w:val="none"/>
              </w:rPr>
            </w:pPr>
          </w:p>
        </w:tc>
        <w:tc>
          <w:tcPr>
            <w:tcW w:w="1385" w:type="dxa"/>
            <w:noWrap w:val="0"/>
            <w:vAlign w:val="center"/>
          </w:tcPr>
          <w:p w14:paraId="59BFA70C">
            <w:pPr>
              <w:spacing w:line="360" w:lineRule="auto"/>
              <w:jc w:val="center"/>
              <w:rPr>
                <w:rFonts w:hint="eastAsia" w:ascii="宋体" w:hAnsi="宋体" w:eastAsia="宋体" w:cs="宋体"/>
                <w:color w:val="auto"/>
                <w:sz w:val="24"/>
                <w:highlight w:val="none"/>
              </w:rPr>
            </w:pPr>
          </w:p>
        </w:tc>
        <w:tc>
          <w:tcPr>
            <w:tcW w:w="1502" w:type="dxa"/>
            <w:noWrap w:val="0"/>
            <w:vAlign w:val="center"/>
          </w:tcPr>
          <w:p w14:paraId="360256D5">
            <w:pPr>
              <w:spacing w:line="360" w:lineRule="auto"/>
              <w:jc w:val="center"/>
              <w:rPr>
                <w:rFonts w:hint="eastAsia" w:ascii="宋体" w:hAnsi="宋体" w:eastAsia="宋体" w:cs="宋体"/>
                <w:color w:val="auto"/>
                <w:sz w:val="24"/>
                <w:highlight w:val="none"/>
              </w:rPr>
            </w:pPr>
          </w:p>
        </w:tc>
        <w:tc>
          <w:tcPr>
            <w:tcW w:w="1557" w:type="dxa"/>
            <w:tcBorders>
              <w:left w:val="single" w:color="auto" w:sz="4" w:space="0"/>
            </w:tcBorders>
            <w:noWrap w:val="0"/>
            <w:vAlign w:val="center"/>
          </w:tcPr>
          <w:p w14:paraId="576BBC10">
            <w:pPr>
              <w:spacing w:line="360" w:lineRule="auto"/>
              <w:jc w:val="center"/>
              <w:rPr>
                <w:rFonts w:hint="eastAsia" w:ascii="宋体" w:hAnsi="宋体" w:eastAsia="宋体" w:cs="宋体"/>
                <w:color w:val="auto"/>
                <w:sz w:val="24"/>
                <w:highlight w:val="none"/>
              </w:rPr>
            </w:pPr>
          </w:p>
        </w:tc>
      </w:tr>
      <w:tr w14:paraId="0AE1DE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6" w:hRule="atLeast"/>
          <w:jc w:val="center"/>
        </w:trPr>
        <w:tc>
          <w:tcPr>
            <w:tcW w:w="860" w:type="dxa"/>
            <w:noWrap w:val="0"/>
            <w:vAlign w:val="center"/>
          </w:tcPr>
          <w:p w14:paraId="0C979332">
            <w:pPr>
              <w:spacing w:line="360" w:lineRule="auto"/>
              <w:jc w:val="center"/>
              <w:rPr>
                <w:rFonts w:hint="eastAsia" w:ascii="宋体" w:hAnsi="宋体" w:eastAsia="宋体" w:cs="宋体"/>
                <w:color w:val="auto"/>
                <w:sz w:val="24"/>
                <w:highlight w:val="none"/>
              </w:rPr>
            </w:pPr>
          </w:p>
        </w:tc>
        <w:tc>
          <w:tcPr>
            <w:tcW w:w="1717" w:type="dxa"/>
            <w:tcBorders>
              <w:right w:val="single" w:color="auto" w:sz="4" w:space="0"/>
            </w:tcBorders>
            <w:noWrap w:val="0"/>
            <w:vAlign w:val="center"/>
          </w:tcPr>
          <w:p w14:paraId="1635EAEF">
            <w:pPr>
              <w:spacing w:line="360" w:lineRule="auto"/>
              <w:jc w:val="center"/>
              <w:rPr>
                <w:rFonts w:hint="eastAsia" w:ascii="宋体" w:hAnsi="宋体" w:eastAsia="宋体" w:cs="宋体"/>
                <w:color w:val="auto"/>
                <w:sz w:val="24"/>
                <w:highlight w:val="none"/>
              </w:rPr>
            </w:pPr>
          </w:p>
        </w:tc>
        <w:tc>
          <w:tcPr>
            <w:tcW w:w="1576" w:type="dxa"/>
            <w:tcBorders>
              <w:left w:val="single" w:color="auto" w:sz="4" w:space="0"/>
            </w:tcBorders>
            <w:noWrap w:val="0"/>
            <w:vAlign w:val="center"/>
          </w:tcPr>
          <w:p w14:paraId="76A46A6A">
            <w:pPr>
              <w:spacing w:line="360" w:lineRule="auto"/>
              <w:jc w:val="center"/>
              <w:rPr>
                <w:rFonts w:hint="eastAsia" w:ascii="宋体" w:hAnsi="宋体" w:eastAsia="宋体" w:cs="宋体"/>
                <w:color w:val="auto"/>
                <w:sz w:val="24"/>
                <w:highlight w:val="none"/>
              </w:rPr>
            </w:pPr>
          </w:p>
        </w:tc>
        <w:tc>
          <w:tcPr>
            <w:tcW w:w="1385" w:type="dxa"/>
            <w:noWrap w:val="0"/>
            <w:vAlign w:val="center"/>
          </w:tcPr>
          <w:p w14:paraId="771FDA01">
            <w:pPr>
              <w:spacing w:line="360" w:lineRule="auto"/>
              <w:jc w:val="center"/>
              <w:rPr>
                <w:rFonts w:hint="eastAsia" w:ascii="宋体" w:hAnsi="宋体" w:eastAsia="宋体" w:cs="宋体"/>
                <w:color w:val="auto"/>
                <w:sz w:val="24"/>
                <w:highlight w:val="none"/>
              </w:rPr>
            </w:pPr>
          </w:p>
        </w:tc>
        <w:tc>
          <w:tcPr>
            <w:tcW w:w="1502" w:type="dxa"/>
            <w:noWrap w:val="0"/>
            <w:vAlign w:val="center"/>
          </w:tcPr>
          <w:p w14:paraId="37C5F77E">
            <w:pPr>
              <w:spacing w:line="360" w:lineRule="auto"/>
              <w:jc w:val="center"/>
              <w:rPr>
                <w:rFonts w:hint="eastAsia" w:ascii="宋体" w:hAnsi="宋体" w:eastAsia="宋体" w:cs="宋体"/>
                <w:color w:val="auto"/>
                <w:sz w:val="24"/>
                <w:highlight w:val="none"/>
              </w:rPr>
            </w:pPr>
          </w:p>
        </w:tc>
        <w:tc>
          <w:tcPr>
            <w:tcW w:w="1557" w:type="dxa"/>
            <w:tcBorders>
              <w:left w:val="single" w:color="auto" w:sz="4" w:space="0"/>
            </w:tcBorders>
            <w:noWrap w:val="0"/>
            <w:vAlign w:val="center"/>
          </w:tcPr>
          <w:p w14:paraId="4D6EEF53">
            <w:pPr>
              <w:spacing w:line="360" w:lineRule="auto"/>
              <w:jc w:val="center"/>
              <w:rPr>
                <w:rFonts w:hint="eastAsia" w:ascii="宋体" w:hAnsi="宋体" w:eastAsia="宋体" w:cs="宋体"/>
                <w:color w:val="auto"/>
                <w:sz w:val="24"/>
                <w:highlight w:val="none"/>
              </w:rPr>
            </w:pPr>
          </w:p>
        </w:tc>
      </w:tr>
      <w:tr w14:paraId="213890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6" w:hRule="atLeast"/>
          <w:jc w:val="center"/>
        </w:trPr>
        <w:tc>
          <w:tcPr>
            <w:tcW w:w="860" w:type="dxa"/>
            <w:noWrap w:val="0"/>
            <w:vAlign w:val="center"/>
          </w:tcPr>
          <w:p w14:paraId="778319B1">
            <w:pPr>
              <w:spacing w:line="360" w:lineRule="auto"/>
              <w:jc w:val="center"/>
              <w:rPr>
                <w:rFonts w:hint="eastAsia" w:ascii="宋体" w:hAnsi="宋体" w:eastAsia="宋体" w:cs="宋体"/>
                <w:color w:val="auto"/>
                <w:sz w:val="24"/>
                <w:highlight w:val="none"/>
              </w:rPr>
            </w:pPr>
          </w:p>
        </w:tc>
        <w:tc>
          <w:tcPr>
            <w:tcW w:w="1717" w:type="dxa"/>
            <w:tcBorders>
              <w:right w:val="single" w:color="auto" w:sz="4" w:space="0"/>
            </w:tcBorders>
            <w:noWrap w:val="0"/>
            <w:vAlign w:val="center"/>
          </w:tcPr>
          <w:p w14:paraId="589B6035">
            <w:pPr>
              <w:spacing w:line="360" w:lineRule="auto"/>
              <w:jc w:val="center"/>
              <w:rPr>
                <w:rFonts w:hint="eastAsia" w:ascii="宋体" w:hAnsi="宋体" w:eastAsia="宋体" w:cs="宋体"/>
                <w:color w:val="auto"/>
                <w:sz w:val="24"/>
                <w:highlight w:val="none"/>
              </w:rPr>
            </w:pPr>
          </w:p>
        </w:tc>
        <w:tc>
          <w:tcPr>
            <w:tcW w:w="1576" w:type="dxa"/>
            <w:tcBorders>
              <w:left w:val="single" w:color="auto" w:sz="4" w:space="0"/>
            </w:tcBorders>
            <w:noWrap w:val="0"/>
            <w:vAlign w:val="center"/>
          </w:tcPr>
          <w:p w14:paraId="11F1EBDE">
            <w:pPr>
              <w:spacing w:line="360" w:lineRule="auto"/>
              <w:jc w:val="center"/>
              <w:rPr>
                <w:rFonts w:hint="eastAsia" w:ascii="宋体" w:hAnsi="宋体" w:eastAsia="宋体" w:cs="宋体"/>
                <w:color w:val="auto"/>
                <w:sz w:val="24"/>
                <w:highlight w:val="none"/>
              </w:rPr>
            </w:pPr>
          </w:p>
        </w:tc>
        <w:tc>
          <w:tcPr>
            <w:tcW w:w="1385" w:type="dxa"/>
            <w:noWrap w:val="0"/>
            <w:vAlign w:val="center"/>
          </w:tcPr>
          <w:p w14:paraId="14DF08D9">
            <w:pPr>
              <w:spacing w:line="360" w:lineRule="auto"/>
              <w:jc w:val="center"/>
              <w:rPr>
                <w:rFonts w:hint="eastAsia" w:ascii="宋体" w:hAnsi="宋体" w:eastAsia="宋体" w:cs="宋体"/>
                <w:color w:val="auto"/>
                <w:sz w:val="24"/>
                <w:highlight w:val="none"/>
              </w:rPr>
            </w:pPr>
          </w:p>
        </w:tc>
        <w:tc>
          <w:tcPr>
            <w:tcW w:w="1502" w:type="dxa"/>
            <w:noWrap w:val="0"/>
            <w:vAlign w:val="center"/>
          </w:tcPr>
          <w:p w14:paraId="1F743404">
            <w:pPr>
              <w:spacing w:line="360" w:lineRule="auto"/>
              <w:jc w:val="center"/>
              <w:rPr>
                <w:rFonts w:hint="eastAsia" w:ascii="宋体" w:hAnsi="宋体" w:eastAsia="宋体" w:cs="宋体"/>
                <w:color w:val="auto"/>
                <w:sz w:val="24"/>
                <w:highlight w:val="none"/>
              </w:rPr>
            </w:pPr>
          </w:p>
        </w:tc>
        <w:tc>
          <w:tcPr>
            <w:tcW w:w="1557" w:type="dxa"/>
            <w:tcBorders>
              <w:left w:val="single" w:color="auto" w:sz="4" w:space="0"/>
            </w:tcBorders>
            <w:noWrap w:val="0"/>
            <w:vAlign w:val="center"/>
          </w:tcPr>
          <w:p w14:paraId="7F7F5395">
            <w:pPr>
              <w:spacing w:line="360" w:lineRule="auto"/>
              <w:jc w:val="center"/>
              <w:rPr>
                <w:rFonts w:hint="eastAsia" w:ascii="宋体" w:hAnsi="宋体" w:eastAsia="宋体" w:cs="宋体"/>
                <w:color w:val="auto"/>
                <w:sz w:val="24"/>
                <w:highlight w:val="none"/>
              </w:rPr>
            </w:pPr>
          </w:p>
        </w:tc>
      </w:tr>
      <w:tr w14:paraId="08BE2B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6" w:hRule="atLeast"/>
          <w:jc w:val="center"/>
        </w:trPr>
        <w:tc>
          <w:tcPr>
            <w:tcW w:w="860" w:type="dxa"/>
            <w:noWrap w:val="0"/>
            <w:vAlign w:val="center"/>
          </w:tcPr>
          <w:p w14:paraId="62195781">
            <w:pPr>
              <w:spacing w:line="360" w:lineRule="auto"/>
              <w:jc w:val="center"/>
              <w:rPr>
                <w:rFonts w:hint="eastAsia" w:ascii="宋体" w:hAnsi="宋体" w:eastAsia="宋体" w:cs="宋体"/>
                <w:color w:val="auto"/>
                <w:sz w:val="24"/>
                <w:highlight w:val="none"/>
              </w:rPr>
            </w:pPr>
          </w:p>
        </w:tc>
        <w:tc>
          <w:tcPr>
            <w:tcW w:w="1717" w:type="dxa"/>
            <w:tcBorders>
              <w:right w:val="single" w:color="auto" w:sz="4" w:space="0"/>
            </w:tcBorders>
            <w:noWrap w:val="0"/>
            <w:vAlign w:val="center"/>
          </w:tcPr>
          <w:p w14:paraId="0D20FD3D">
            <w:pPr>
              <w:spacing w:line="360" w:lineRule="auto"/>
              <w:jc w:val="center"/>
              <w:rPr>
                <w:rFonts w:hint="eastAsia" w:ascii="宋体" w:hAnsi="宋体" w:eastAsia="宋体" w:cs="宋体"/>
                <w:color w:val="auto"/>
                <w:sz w:val="24"/>
                <w:highlight w:val="none"/>
              </w:rPr>
            </w:pPr>
          </w:p>
        </w:tc>
        <w:tc>
          <w:tcPr>
            <w:tcW w:w="1576" w:type="dxa"/>
            <w:tcBorders>
              <w:left w:val="single" w:color="auto" w:sz="4" w:space="0"/>
            </w:tcBorders>
            <w:noWrap w:val="0"/>
            <w:vAlign w:val="center"/>
          </w:tcPr>
          <w:p w14:paraId="74A7C853">
            <w:pPr>
              <w:spacing w:line="360" w:lineRule="auto"/>
              <w:jc w:val="center"/>
              <w:rPr>
                <w:rFonts w:hint="eastAsia" w:ascii="宋体" w:hAnsi="宋体" w:eastAsia="宋体" w:cs="宋体"/>
                <w:color w:val="auto"/>
                <w:sz w:val="24"/>
                <w:highlight w:val="none"/>
              </w:rPr>
            </w:pPr>
          </w:p>
        </w:tc>
        <w:tc>
          <w:tcPr>
            <w:tcW w:w="1385" w:type="dxa"/>
            <w:noWrap w:val="0"/>
            <w:vAlign w:val="center"/>
          </w:tcPr>
          <w:p w14:paraId="32462207">
            <w:pPr>
              <w:spacing w:line="360" w:lineRule="auto"/>
              <w:jc w:val="center"/>
              <w:rPr>
                <w:rFonts w:hint="eastAsia" w:ascii="宋体" w:hAnsi="宋体" w:eastAsia="宋体" w:cs="宋体"/>
                <w:color w:val="auto"/>
                <w:sz w:val="24"/>
                <w:highlight w:val="none"/>
              </w:rPr>
            </w:pPr>
          </w:p>
        </w:tc>
        <w:tc>
          <w:tcPr>
            <w:tcW w:w="1502" w:type="dxa"/>
            <w:noWrap w:val="0"/>
            <w:vAlign w:val="center"/>
          </w:tcPr>
          <w:p w14:paraId="34E1D02C">
            <w:pPr>
              <w:spacing w:line="360" w:lineRule="auto"/>
              <w:jc w:val="center"/>
              <w:rPr>
                <w:rFonts w:hint="eastAsia" w:ascii="宋体" w:hAnsi="宋体" w:eastAsia="宋体" w:cs="宋体"/>
                <w:color w:val="auto"/>
                <w:sz w:val="24"/>
                <w:highlight w:val="none"/>
              </w:rPr>
            </w:pPr>
          </w:p>
        </w:tc>
        <w:tc>
          <w:tcPr>
            <w:tcW w:w="1557" w:type="dxa"/>
            <w:tcBorders>
              <w:left w:val="single" w:color="auto" w:sz="4" w:space="0"/>
            </w:tcBorders>
            <w:noWrap w:val="0"/>
            <w:vAlign w:val="center"/>
          </w:tcPr>
          <w:p w14:paraId="23189E34">
            <w:pPr>
              <w:spacing w:line="360" w:lineRule="auto"/>
              <w:jc w:val="center"/>
              <w:rPr>
                <w:rFonts w:hint="eastAsia" w:ascii="宋体" w:hAnsi="宋体" w:eastAsia="宋体" w:cs="宋体"/>
                <w:color w:val="auto"/>
                <w:sz w:val="24"/>
                <w:highlight w:val="none"/>
              </w:rPr>
            </w:pPr>
          </w:p>
        </w:tc>
      </w:tr>
      <w:tr w14:paraId="5D6B09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6" w:hRule="atLeast"/>
          <w:jc w:val="center"/>
        </w:trPr>
        <w:tc>
          <w:tcPr>
            <w:tcW w:w="860" w:type="dxa"/>
            <w:noWrap w:val="0"/>
            <w:vAlign w:val="center"/>
          </w:tcPr>
          <w:p w14:paraId="79D9C3C8">
            <w:pPr>
              <w:spacing w:line="360" w:lineRule="auto"/>
              <w:jc w:val="center"/>
              <w:rPr>
                <w:rFonts w:hint="eastAsia" w:ascii="宋体" w:hAnsi="宋体" w:eastAsia="宋体" w:cs="宋体"/>
                <w:color w:val="auto"/>
                <w:sz w:val="24"/>
                <w:highlight w:val="none"/>
              </w:rPr>
            </w:pPr>
          </w:p>
        </w:tc>
        <w:tc>
          <w:tcPr>
            <w:tcW w:w="1717" w:type="dxa"/>
            <w:tcBorders>
              <w:right w:val="single" w:color="auto" w:sz="4" w:space="0"/>
            </w:tcBorders>
            <w:noWrap w:val="0"/>
            <w:vAlign w:val="center"/>
          </w:tcPr>
          <w:p w14:paraId="1ED633B2">
            <w:pPr>
              <w:spacing w:line="360" w:lineRule="auto"/>
              <w:jc w:val="center"/>
              <w:rPr>
                <w:rFonts w:hint="eastAsia" w:ascii="宋体" w:hAnsi="宋体" w:eastAsia="宋体" w:cs="宋体"/>
                <w:color w:val="auto"/>
                <w:sz w:val="24"/>
                <w:highlight w:val="none"/>
              </w:rPr>
            </w:pPr>
          </w:p>
        </w:tc>
        <w:tc>
          <w:tcPr>
            <w:tcW w:w="1576" w:type="dxa"/>
            <w:tcBorders>
              <w:left w:val="single" w:color="auto" w:sz="4" w:space="0"/>
            </w:tcBorders>
            <w:noWrap w:val="0"/>
            <w:vAlign w:val="center"/>
          </w:tcPr>
          <w:p w14:paraId="2831F53C">
            <w:pPr>
              <w:spacing w:line="360" w:lineRule="auto"/>
              <w:jc w:val="center"/>
              <w:rPr>
                <w:rFonts w:hint="eastAsia" w:ascii="宋体" w:hAnsi="宋体" w:eastAsia="宋体" w:cs="宋体"/>
                <w:color w:val="auto"/>
                <w:sz w:val="24"/>
                <w:highlight w:val="none"/>
              </w:rPr>
            </w:pPr>
          </w:p>
        </w:tc>
        <w:tc>
          <w:tcPr>
            <w:tcW w:w="1385" w:type="dxa"/>
            <w:noWrap w:val="0"/>
            <w:vAlign w:val="center"/>
          </w:tcPr>
          <w:p w14:paraId="334A3701">
            <w:pPr>
              <w:spacing w:line="360" w:lineRule="auto"/>
              <w:jc w:val="center"/>
              <w:rPr>
                <w:rFonts w:hint="eastAsia" w:ascii="宋体" w:hAnsi="宋体" w:eastAsia="宋体" w:cs="宋体"/>
                <w:color w:val="auto"/>
                <w:sz w:val="24"/>
                <w:highlight w:val="none"/>
              </w:rPr>
            </w:pPr>
          </w:p>
        </w:tc>
        <w:tc>
          <w:tcPr>
            <w:tcW w:w="1502" w:type="dxa"/>
            <w:noWrap w:val="0"/>
            <w:vAlign w:val="center"/>
          </w:tcPr>
          <w:p w14:paraId="145EE732">
            <w:pPr>
              <w:spacing w:line="360" w:lineRule="auto"/>
              <w:jc w:val="center"/>
              <w:rPr>
                <w:rFonts w:hint="eastAsia" w:ascii="宋体" w:hAnsi="宋体" w:eastAsia="宋体" w:cs="宋体"/>
                <w:color w:val="auto"/>
                <w:sz w:val="24"/>
                <w:highlight w:val="none"/>
              </w:rPr>
            </w:pPr>
          </w:p>
        </w:tc>
        <w:tc>
          <w:tcPr>
            <w:tcW w:w="1557" w:type="dxa"/>
            <w:tcBorders>
              <w:left w:val="single" w:color="auto" w:sz="4" w:space="0"/>
            </w:tcBorders>
            <w:noWrap w:val="0"/>
            <w:vAlign w:val="center"/>
          </w:tcPr>
          <w:p w14:paraId="4FB9C36D">
            <w:pPr>
              <w:spacing w:line="360" w:lineRule="auto"/>
              <w:jc w:val="center"/>
              <w:rPr>
                <w:rFonts w:hint="eastAsia" w:ascii="宋体" w:hAnsi="宋体" w:eastAsia="宋体" w:cs="宋体"/>
                <w:color w:val="auto"/>
                <w:sz w:val="24"/>
                <w:highlight w:val="none"/>
              </w:rPr>
            </w:pPr>
          </w:p>
        </w:tc>
      </w:tr>
      <w:tr w14:paraId="7DDF5E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6" w:hRule="atLeast"/>
          <w:jc w:val="center"/>
        </w:trPr>
        <w:tc>
          <w:tcPr>
            <w:tcW w:w="860" w:type="dxa"/>
            <w:noWrap w:val="0"/>
            <w:vAlign w:val="center"/>
          </w:tcPr>
          <w:p w14:paraId="6AA37AE0">
            <w:pPr>
              <w:spacing w:line="360" w:lineRule="auto"/>
              <w:jc w:val="center"/>
              <w:rPr>
                <w:rFonts w:hint="eastAsia" w:ascii="宋体" w:hAnsi="宋体" w:eastAsia="宋体" w:cs="宋体"/>
                <w:color w:val="auto"/>
                <w:sz w:val="24"/>
                <w:highlight w:val="none"/>
              </w:rPr>
            </w:pPr>
          </w:p>
        </w:tc>
        <w:tc>
          <w:tcPr>
            <w:tcW w:w="1717" w:type="dxa"/>
            <w:tcBorders>
              <w:right w:val="single" w:color="auto" w:sz="4" w:space="0"/>
            </w:tcBorders>
            <w:noWrap w:val="0"/>
            <w:vAlign w:val="center"/>
          </w:tcPr>
          <w:p w14:paraId="3BEA5474">
            <w:pPr>
              <w:spacing w:line="360" w:lineRule="auto"/>
              <w:jc w:val="center"/>
              <w:rPr>
                <w:rFonts w:hint="eastAsia" w:ascii="宋体" w:hAnsi="宋体" w:eastAsia="宋体" w:cs="宋体"/>
                <w:color w:val="auto"/>
                <w:sz w:val="24"/>
                <w:highlight w:val="none"/>
              </w:rPr>
            </w:pPr>
          </w:p>
        </w:tc>
        <w:tc>
          <w:tcPr>
            <w:tcW w:w="1576" w:type="dxa"/>
            <w:tcBorders>
              <w:left w:val="single" w:color="auto" w:sz="4" w:space="0"/>
            </w:tcBorders>
            <w:noWrap w:val="0"/>
            <w:vAlign w:val="center"/>
          </w:tcPr>
          <w:p w14:paraId="59F6C4F1">
            <w:pPr>
              <w:spacing w:line="360" w:lineRule="auto"/>
              <w:jc w:val="center"/>
              <w:rPr>
                <w:rFonts w:hint="eastAsia" w:ascii="宋体" w:hAnsi="宋体" w:eastAsia="宋体" w:cs="宋体"/>
                <w:color w:val="auto"/>
                <w:sz w:val="24"/>
                <w:highlight w:val="none"/>
              </w:rPr>
            </w:pPr>
          </w:p>
        </w:tc>
        <w:tc>
          <w:tcPr>
            <w:tcW w:w="1385" w:type="dxa"/>
            <w:noWrap w:val="0"/>
            <w:vAlign w:val="center"/>
          </w:tcPr>
          <w:p w14:paraId="4FCFA61D">
            <w:pPr>
              <w:spacing w:line="360" w:lineRule="auto"/>
              <w:jc w:val="center"/>
              <w:rPr>
                <w:rFonts w:hint="eastAsia" w:ascii="宋体" w:hAnsi="宋体" w:eastAsia="宋体" w:cs="宋体"/>
                <w:color w:val="auto"/>
                <w:sz w:val="24"/>
                <w:highlight w:val="none"/>
              </w:rPr>
            </w:pPr>
          </w:p>
        </w:tc>
        <w:tc>
          <w:tcPr>
            <w:tcW w:w="1502" w:type="dxa"/>
            <w:noWrap w:val="0"/>
            <w:vAlign w:val="center"/>
          </w:tcPr>
          <w:p w14:paraId="50050E33">
            <w:pPr>
              <w:spacing w:line="360" w:lineRule="auto"/>
              <w:jc w:val="center"/>
              <w:rPr>
                <w:rFonts w:hint="eastAsia" w:ascii="宋体" w:hAnsi="宋体" w:eastAsia="宋体" w:cs="宋体"/>
                <w:color w:val="auto"/>
                <w:sz w:val="24"/>
                <w:highlight w:val="none"/>
              </w:rPr>
            </w:pPr>
          </w:p>
        </w:tc>
        <w:tc>
          <w:tcPr>
            <w:tcW w:w="1557" w:type="dxa"/>
            <w:tcBorders>
              <w:left w:val="single" w:color="auto" w:sz="4" w:space="0"/>
            </w:tcBorders>
            <w:noWrap w:val="0"/>
            <w:vAlign w:val="center"/>
          </w:tcPr>
          <w:p w14:paraId="73C87DE9">
            <w:pPr>
              <w:spacing w:line="360" w:lineRule="auto"/>
              <w:jc w:val="center"/>
              <w:rPr>
                <w:rFonts w:hint="eastAsia" w:ascii="宋体" w:hAnsi="宋体" w:eastAsia="宋体" w:cs="宋体"/>
                <w:color w:val="auto"/>
                <w:sz w:val="24"/>
                <w:highlight w:val="none"/>
              </w:rPr>
            </w:pPr>
          </w:p>
        </w:tc>
      </w:tr>
      <w:tr w14:paraId="7ABB3A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6" w:hRule="atLeast"/>
          <w:jc w:val="center"/>
        </w:trPr>
        <w:tc>
          <w:tcPr>
            <w:tcW w:w="860" w:type="dxa"/>
            <w:noWrap w:val="0"/>
            <w:vAlign w:val="center"/>
          </w:tcPr>
          <w:p w14:paraId="48ED9BD7">
            <w:pPr>
              <w:spacing w:line="360" w:lineRule="auto"/>
              <w:jc w:val="center"/>
              <w:rPr>
                <w:rFonts w:hint="eastAsia" w:ascii="宋体" w:hAnsi="宋体" w:eastAsia="宋体" w:cs="宋体"/>
                <w:color w:val="auto"/>
                <w:sz w:val="24"/>
                <w:highlight w:val="none"/>
              </w:rPr>
            </w:pPr>
          </w:p>
        </w:tc>
        <w:tc>
          <w:tcPr>
            <w:tcW w:w="1717" w:type="dxa"/>
            <w:tcBorders>
              <w:right w:val="single" w:color="auto" w:sz="4" w:space="0"/>
            </w:tcBorders>
            <w:noWrap w:val="0"/>
            <w:vAlign w:val="center"/>
          </w:tcPr>
          <w:p w14:paraId="3BD378D0">
            <w:pPr>
              <w:spacing w:line="360" w:lineRule="auto"/>
              <w:jc w:val="center"/>
              <w:rPr>
                <w:rFonts w:hint="eastAsia" w:ascii="宋体" w:hAnsi="宋体" w:eastAsia="宋体" w:cs="宋体"/>
                <w:color w:val="auto"/>
                <w:sz w:val="24"/>
                <w:highlight w:val="none"/>
              </w:rPr>
            </w:pPr>
          </w:p>
        </w:tc>
        <w:tc>
          <w:tcPr>
            <w:tcW w:w="1576" w:type="dxa"/>
            <w:tcBorders>
              <w:left w:val="single" w:color="auto" w:sz="4" w:space="0"/>
            </w:tcBorders>
            <w:noWrap w:val="0"/>
            <w:vAlign w:val="center"/>
          </w:tcPr>
          <w:p w14:paraId="50BFC387">
            <w:pPr>
              <w:spacing w:line="360" w:lineRule="auto"/>
              <w:jc w:val="center"/>
              <w:rPr>
                <w:rFonts w:hint="eastAsia" w:ascii="宋体" w:hAnsi="宋体" w:eastAsia="宋体" w:cs="宋体"/>
                <w:color w:val="auto"/>
                <w:sz w:val="24"/>
                <w:highlight w:val="none"/>
              </w:rPr>
            </w:pPr>
          </w:p>
        </w:tc>
        <w:tc>
          <w:tcPr>
            <w:tcW w:w="1385" w:type="dxa"/>
            <w:noWrap w:val="0"/>
            <w:vAlign w:val="center"/>
          </w:tcPr>
          <w:p w14:paraId="1E8EA6A2">
            <w:pPr>
              <w:spacing w:line="360" w:lineRule="auto"/>
              <w:jc w:val="center"/>
              <w:rPr>
                <w:rFonts w:hint="eastAsia" w:ascii="宋体" w:hAnsi="宋体" w:eastAsia="宋体" w:cs="宋体"/>
                <w:color w:val="auto"/>
                <w:sz w:val="24"/>
                <w:highlight w:val="none"/>
              </w:rPr>
            </w:pPr>
          </w:p>
        </w:tc>
        <w:tc>
          <w:tcPr>
            <w:tcW w:w="1502" w:type="dxa"/>
            <w:noWrap w:val="0"/>
            <w:vAlign w:val="center"/>
          </w:tcPr>
          <w:p w14:paraId="101A2CD2">
            <w:pPr>
              <w:spacing w:line="360" w:lineRule="auto"/>
              <w:jc w:val="center"/>
              <w:rPr>
                <w:rFonts w:hint="eastAsia" w:ascii="宋体" w:hAnsi="宋体" w:eastAsia="宋体" w:cs="宋体"/>
                <w:color w:val="auto"/>
                <w:sz w:val="24"/>
                <w:highlight w:val="none"/>
              </w:rPr>
            </w:pPr>
          </w:p>
        </w:tc>
        <w:tc>
          <w:tcPr>
            <w:tcW w:w="1557" w:type="dxa"/>
            <w:tcBorders>
              <w:left w:val="single" w:color="auto" w:sz="4" w:space="0"/>
            </w:tcBorders>
            <w:noWrap w:val="0"/>
            <w:vAlign w:val="center"/>
          </w:tcPr>
          <w:p w14:paraId="10AA61EE">
            <w:pPr>
              <w:spacing w:line="360" w:lineRule="auto"/>
              <w:jc w:val="center"/>
              <w:rPr>
                <w:rFonts w:hint="eastAsia" w:ascii="宋体" w:hAnsi="宋体" w:eastAsia="宋体" w:cs="宋体"/>
                <w:color w:val="auto"/>
                <w:sz w:val="24"/>
                <w:highlight w:val="none"/>
              </w:rPr>
            </w:pPr>
          </w:p>
        </w:tc>
      </w:tr>
    </w:tbl>
    <w:p w14:paraId="5577EDFE">
      <w:pPr>
        <w:spacing w:before="114" w:line="331" w:lineRule="auto"/>
        <w:ind w:firstLine="234" w:firstLineChars="100"/>
        <w:rPr>
          <w:rFonts w:hint="eastAsia" w:ascii="宋体" w:hAnsi="宋体" w:cs="宋体"/>
          <w:color w:val="auto"/>
          <w:sz w:val="24"/>
          <w:highlight w:val="none"/>
        </w:rPr>
      </w:pPr>
      <w:r>
        <w:rPr>
          <w:rFonts w:hint="eastAsia" w:ascii="宋体" w:hAnsi="宋体" w:cs="宋体"/>
          <w:color w:val="auto"/>
          <w:spacing w:val="2"/>
          <w:sz w:val="23"/>
          <w:szCs w:val="23"/>
          <w:highlight w:val="none"/>
        </w:rPr>
        <w:t>注：供应商（仅限于供应商自身实施的已完成的）以上业绩需提供有关书面证明材料（如中标成交通知书或协议合同等）。</w:t>
      </w:r>
    </w:p>
    <w:p w14:paraId="41171EB9">
      <w:pPr>
        <w:tabs>
          <w:tab w:val="left" w:pos="555"/>
          <w:tab w:val="left" w:pos="2214"/>
          <w:tab w:val="left" w:pos="3774"/>
          <w:tab w:val="left" w:pos="4854"/>
          <w:tab w:val="left" w:pos="5934"/>
          <w:tab w:val="left" w:pos="7014"/>
          <w:tab w:val="left" w:pos="8214"/>
          <w:tab w:val="left" w:pos="10134"/>
          <w:tab w:val="left" w:pos="11124"/>
        </w:tabs>
        <w:spacing w:line="360" w:lineRule="auto"/>
        <w:rPr>
          <w:rFonts w:hint="eastAsia" w:ascii="宋体" w:hAnsi="宋体" w:cs="宋体"/>
          <w:color w:val="auto"/>
          <w:sz w:val="24"/>
          <w:highlight w:val="none"/>
        </w:rPr>
      </w:pPr>
    </w:p>
    <w:p w14:paraId="20FB15AE">
      <w:pPr>
        <w:pStyle w:val="12"/>
        <w:rPr>
          <w:rFonts w:hint="eastAsia" w:ascii="宋体" w:hAnsi="宋体" w:cs="宋体"/>
          <w:color w:val="auto"/>
          <w:highlight w:val="none"/>
        </w:rPr>
      </w:pPr>
    </w:p>
    <w:p w14:paraId="0EC007F7">
      <w:pPr>
        <w:tabs>
          <w:tab w:val="left" w:pos="555"/>
          <w:tab w:val="left" w:pos="2214"/>
          <w:tab w:val="left" w:pos="3774"/>
          <w:tab w:val="left" w:pos="4854"/>
          <w:tab w:val="left" w:pos="5934"/>
          <w:tab w:val="left" w:pos="7014"/>
          <w:tab w:val="left" w:pos="8214"/>
          <w:tab w:val="left" w:pos="10134"/>
          <w:tab w:val="left" w:pos="11124"/>
        </w:tabs>
        <w:spacing w:line="360" w:lineRule="auto"/>
        <w:ind w:firstLine="4080" w:firstLineChars="1700"/>
        <w:rPr>
          <w:rFonts w:hint="eastAsia" w:ascii="宋体" w:hAnsi="宋体" w:cs="宋体"/>
          <w:color w:val="auto"/>
          <w:sz w:val="24"/>
          <w:highlight w:val="none"/>
        </w:rPr>
      </w:pPr>
      <w:r>
        <w:rPr>
          <w:rFonts w:hint="eastAsia" w:ascii="宋体" w:hAnsi="宋体" w:cs="宋体"/>
          <w:color w:val="auto"/>
          <w:sz w:val="24"/>
          <w:highlight w:val="none"/>
        </w:rPr>
        <w:t>供应商（公章）：</w:t>
      </w:r>
    </w:p>
    <w:p w14:paraId="10D2845F">
      <w:pPr>
        <w:tabs>
          <w:tab w:val="left" w:pos="555"/>
          <w:tab w:val="left" w:pos="2214"/>
          <w:tab w:val="left" w:pos="3774"/>
          <w:tab w:val="left" w:pos="4854"/>
          <w:tab w:val="left" w:pos="5934"/>
          <w:tab w:val="left" w:pos="7014"/>
          <w:tab w:val="left" w:pos="8214"/>
          <w:tab w:val="left" w:pos="10134"/>
          <w:tab w:val="left" w:pos="11124"/>
        </w:tabs>
        <w:spacing w:line="360" w:lineRule="auto"/>
        <w:ind w:firstLine="4080" w:firstLineChars="1700"/>
        <w:rPr>
          <w:rFonts w:hint="eastAsia" w:ascii="宋体" w:hAnsi="宋体" w:cs="宋体"/>
          <w:color w:val="auto"/>
          <w:sz w:val="24"/>
          <w:highlight w:val="none"/>
        </w:rPr>
      </w:pPr>
      <w:r>
        <w:rPr>
          <w:rFonts w:hint="eastAsia" w:ascii="宋体" w:hAnsi="宋体" w:cs="宋体"/>
          <w:color w:val="auto"/>
          <w:sz w:val="24"/>
          <w:highlight w:val="none"/>
        </w:rPr>
        <w:t>法定代表人或委托代理人（签字或盖章）：</w:t>
      </w:r>
    </w:p>
    <w:p w14:paraId="71572218">
      <w:pPr>
        <w:tabs>
          <w:tab w:val="left" w:pos="555"/>
          <w:tab w:val="left" w:pos="2214"/>
          <w:tab w:val="left" w:pos="3774"/>
          <w:tab w:val="left" w:pos="4854"/>
          <w:tab w:val="left" w:pos="5934"/>
          <w:tab w:val="left" w:pos="7014"/>
          <w:tab w:val="left" w:pos="8214"/>
          <w:tab w:val="left" w:pos="10134"/>
          <w:tab w:val="left" w:pos="11124"/>
        </w:tabs>
        <w:spacing w:line="360" w:lineRule="auto"/>
        <w:ind w:firstLine="4080" w:firstLineChars="1700"/>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6DA1C075">
      <w:pPr>
        <w:pStyle w:val="6"/>
        <w:spacing w:line="360" w:lineRule="auto"/>
        <w:ind w:firstLine="0"/>
        <w:rPr>
          <w:rFonts w:hint="eastAsia" w:ascii="宋体" w:hAnsi="宋体" w:cs="宋体"/>
          <w:color w:val="auto"/>
          <w:sz w:val="24"/>
          <w:szCs w:val="24"/>
          <w:highlight w:val="none"/>
        </w:rPr>
      </w:pPr>
    </w:p>
    <w:p w14:paraId="5E5808B0">
      <w:pPr>
        <w:pStyle w:val="6"/>
        <w:ind w:firstLine="0"/>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6E83C350">
      <w:pPr>
        <w:pStyle w:val="6"/>
        <w:ind w:firstLine="0"/>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格式2</w:t>
      </w:r>
      <w:r>
        <w:rPr>
          <w:rFonts w:hint="eastAsia" w:ascii="宋体" w:hAnsi="宋体" w:cs="宋体"/>
          <w:b/>
          <w:bCs/>
          <w:color w:val="auto"/>
          <w:sz w:val="28"/>
          <w:szCs w:val="28"/>
          <w:highlight w:val="none"/>
          <w:lang w:val="en-US" w:eastAsia="zh-CN"/>
        </w:rPr>
        <w:t>2</w:t>
      </w:r>
      <w:r>
        <w:rPr>
          <w:rFonts w:hint="eastAsia" w:ascii="宋体" w:hAnsi="宋体" w:cs="宋体"/>
          <w:b/>
          <w:bCs/>
          <w:color w:val="auto"/>
          <w:sz w:val="28"/>
          <w:szCs w:val="28"/>
          <w:highlight w:val="none"/>
        </w:rPr>
        <w:t xml:space="preserve">  服务方案</w:t>
      </w:r>
    </w:p>
    <w:p w14:paraId="20C267C4">
      <w:pPr>
        <w:pStyle w:val="71"/>
        <w:rPr>
          <w:rFonts w:hint="eastAsia" w:ascii="宋体" w:hAnsi="宋体" w:eastAsia="宋体" w:cs="宋体"/>
          <w:color w:val="auto"/>
          <w:kern w:val="0"/>
          <w:highlight w:val="none"/>
        </w:rPr>
      </w:pPr>
    </w:p>
    <w:p w14:paraId="09034E79">
      <w:pPr>
        <w:pStyle w:val="71"/>
        <w:spacing w:line="360" w:lineRule="auto"/>
        <w:ind w:firstLine="56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实施方案内容应参照第六章详细评审评标标准（格式自拟）：</w:t>
      </w:r>
    </w:p>
    <w:p w14:paraId="0E1876C3">
      <w:pPr>
        <w:pStyle w:val="35"/>
        <w:ind w:left="0" w:leftChars="0" w:firstLine="0" w:firstLineChars="0"/>
        <w:rPr>
          <w:rFonts w:hint="default"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（一）服务方案</w:t>
      </w:r>
    </w:p>
    <w:p w14:paraId="5169DE83">
      <w:pPr>
        <w:pStyle w:val="35"/>
        <w:ind w:left="0" w:leftChars="0" w:firstLine="0" w:firstLineChars="0"/>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 xml:space="preserve">1、工作方案 </w:t>
      </w:r>
    </w:p>
    <w:p w14:paraId="1DE04755">
      <w:pPr>
        <w:pStyle w:val="35"/>
        <w:ind w:left="0" w:leftChars="0" w:firstLine="0" w:firstLineChars="0"/>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 xml:space="preserve">2、工作程序、标准、方法 </w:t>
      </w:r>
    </w:p>
    <w:p w14:paraId="15F93483">
      <w:pPr>
        <w:pStyle w:val="35"/>
        <w:ind w:left="0" w:leftChars="0" w:firstLine="0" w:firstLineChars="0"/>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 xml:space="preserve">3、时间计划安排 </w:t>
      </w:r>
    </w:p>
    <w:p w14:paraId="59ED4A5D">
      <w:pPr>
        <w:pStyle w:val="35"/>
        <w:ind w:left="0" w:leftChars="0" w:firstLine="0" w:firstLineChars="0"/>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4、各阶段工作任务划分</w:t>
      </w:r>
    </w:p>
    <w:p w14:paraId="7F7824B9">
      <w:pPr>
        <w:pStyle w:val="35"/>
        <w:ind w:left="0" w:leftChars="0" w:firstLine="0" w:firstLineChars="0"/>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5、项目特点及重难点分析指导</w:t>
      </w:r>
    </w:p>
    <w:p w14:paraId="32FF7E7B">
      <w:pPr>
        <w:pStyle w:val="35"/>
        <w:ind w:left="0" w:leftChars="0" w:firstLine="0" w:firstLineChars="0"/>
        <w:rPr>
          <w:rFonts w:hint="default"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（二）保障措施</w:t>
      </w:r>
    </w:p>
    <w:p w14:paraId="7D128434">
      <w:pPr>
        <w:pStyle w:val="35"/>
        <w:ind w:left="0" w:leftChars="0" w:firstLine="0" w:firstLineChars="0"/>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1、项目团队管理制度、纪律及要求</w:t>
      </w:r>
    </w:p>
    <w:p w14:paraId="59B170EA">
      <w:pPr>
        <w:pStyle w:val="35"/>
        <w:ind w:left="0" w:leftChars="0" w:firstLine="0" w:firstLineChars="0"/>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2、报告制定导则及流程</w:t>
      </w:r>
    </w:p>
    <w:p w14:paraId="61B8AF46">
      <w:pPr>
        <w:pStyle w:val="35"/>
        <w:ind w:left="0" w:leftChars="0" w:firstLine="0" w:firstLineChars="0"/>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3、进度保障措施</w:t>
      </w:r>
    </w:p>
    <w:p w14:paraId="6637368D">
      <w:pPr>
        <w:pStyle w:val="35"/>
        <w:ind w:left="0" w:leftChars="0" w:firstLine="0" w:firstLineChars="0"/>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4、信息安全及保密措施</w:t>
      </w:r>
    </w:p>
    <w:p w14:paraId="70C01890">
      <w:pPr>
        <w:pStyle w:val="35"/>
        <w:ind w:left="0" w:leftChars="0" w:firstLine="0" w:firstLineChars="0"/>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 xml:space="preserve">5、各种突发状况下的应急措施和预案保障措施（突发事件应急处理小组及人员分工、突发事件防范、可能突发的事件及处理、突发事件应急措施） </w:t>
      </w:r>
    </w:p>
    <w:p w14:paraId="7DAF8344">
      <w:pPr>
        <w:spacing w:line="360" w:lineRule="auto"/>
        <w:rPr>
          <w:rFonts w:hint="eastAsia" w:ascii="宋体" w:hAnsi="宋体" w:cs="宋体"/>
          <w:color w:val="auto"/>
          <w:sz w:val="28"/>
          <w:szCs w:val="28"/>
          <w:highlight w:val="none"/>
        </w:rPr>
      </w:pPr>
    </w:p>
    <w:p w14:paraId="1484B358">
      <w:pPr>
        <w:jc w:val="center"/>
        <w:rPr>
          <w:rFonts w:hint="eastAsia" w:ascii="宋体" w:hAnsi="宋体" w:cs="宋体"/>
          <w:b/>
          <w:bCs/>
          <w:color w:val="auto"/>
          <w:sz w:val="28"/>
          <w:szCs w:val="28"/>
          <w:highlight w:val="none"/>
        </w:rPr>
      </w:pPr>
    </w:p>
    <w:p w14:paraId="61060E01">
      <w:pPr>
        <w:jc w:val="center"/>
        <w:rPr>
          <w:rFonts w:hint="eastAsia" w:ascii="宋体" w:hAnsi="宋体" w:cs="宋体"/>
          <w:b/>
          <w:bCs/>
          <w:color w:val="auto"/>
          <w:sz w:val="28"/>
          <w:szCs w:val="28"/>
          <w:highlight w:val="none"/>
        </w:rPr>
      </w:pPr>
    </w:p>
    <w:p w14:paraId="1651973B">
      <w:pPr>
        <w:jc w:val="center"/>
        <w:rPr>
          <w:rFonts w:hint="eastAsia" w:ascii="宋体" w:hAnsi="宋体" w:cs="宋体"/>
          <w:b/>
          <w:bCs/>
          <w:color w:val="auto"/>
          <w:sz w:val="28"/>
          <w:szCs w:val="28"/>
          <w:highlight w:val="none"/>
        </w:rPr>
      </w:pPr>
    </w:p>
    <w:p w14:paraId="2D77A305">
      <w:pPr>
        <w:spacing w:line="360" w:lineRule="auto"/>
        <w:jc w:val="center"/>
        <w:rPr>
          <w:rStyle w:val="46"/>
          <w:rFonts w:hint="eastAsia" w:ascii="宋体" w:hAnsi="宋体" w:cs="宋体"/>
          <w:color w:val="auto"/>
          <w:kern w:val="0"/>
          <w:highlight w:val="none"/>
        </w:rPr>
      </w:pPr>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格式2</w:t>
      </w:r>
      <w:r>
        <w:rPr>
          <w:rFonts w:hint="eastAsia" w:ascii="宋体" w:hAnsi="宋体" w:cs="宋体"/>
          <w:b/>
          <w:bCs/>
          <w:color w:val="auto"/>
          <w:sz w:val="28"/>
          <w:szCs w:val="28"/>
          <w:highlight w:val="none"/>
          <w:lang w:val="en-US" w:eastAsia="zh-CN"/>
        </w:rPr>
        <w:t>3</w:t>
      </w:r>
      <w:r>
        <w:rPr>
          <w:rStyle w:val="46"/>
          <w:rFonts w:hint="eastAsia" w:ascii="宋体" w:hAnsi="宋体" w:cs="宋体"/>
          <w:color w:val="auto"/>
          <w:sz w:val="28"/>
          <w:szCs w:val="28"/>
          <w:highlight w:val="none"/>
        </w:rPr>
        <w:t xml:space="preserve">  其他材料</w:t>
      </w:r>
    </w:p>
    <w:p w14:paraId="2E485843">
      <w:pPr>
        <w:pStyle w:val="62"/>
        <w:spacing w:line="360" w:lineRule="auto"/>
        <w:ind w:firstLine="0" w:firstLineChars="0"/>
        <w:rPr>
          <w:rFonts w:hint="eastAsia" w:ascii="宋体" w:hAnsi="宋体" w:cs="宋体"/>
          <w:color w:val="auto"/>
          <w:sz w:val="24"/>
          <w:szCs w:val="24"/>
          <w:highlight w:val="none"/>
        </w:rPr>
      </w:pPr>
    </w:p>
    <w:p w14:paraId="1A0E0B04">
      <w:pPr>
        <w:pStyle w:val="12"/>
        <w:numPr>
          <w:ilvl w:val="0"/>
          <w:numId w:val="8"/>
        </w:numPr>
        <w:spacing w:line="360" w:lineRule="auto"/>
        <w:ind w:firstLine="482" w:firstLineChars="200"/>
        <w:rPr>
          <w:rFonts w:hint="eastAsia" w:ascii="宋体" w:hAnsi="宋体" w:cs="宋体"/>
          <w:b/>
          <w:bCs/>
          <w:color w:val="auto"/>
          <w:szCs w:val="24"/>
          <w:highlight w:val="none"/>
        </w:rPr>
      </w:pPr>
      <w:r>
        <w:rPr>
          <w:rFonts w:hint="eastAsia" w:ascii="宋体" w:hAnsi="宋体" w:cs="宋体"/>
          <w:b/>
          <w:bCs/>
          <w:color w:val="auto"/>
          <w:szCs w:val="24"/>
          <w:highlight w:val="none"/>
        </w:rPr>
        <w:t>项目采购需求、磋商文件、第六章评分表所需提供的其他材料</w:t>
      </w:r>
    </w:p>
    <w:p w14:paraId="77665FB6">
      <w:pPr>
        <w:spacing w:line="360" w:lineRule="auto"/>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2、供应商认为需要提供的材料</w:t>
      </w:r>
    </w:p>
    <w:p w14:paraId="3C3BD419">
      <w:pPr>
        <w:spacing w:line="360" w:lineRule="auto"/>
        <w:jc w:val="center"/>
        <w:rPr>
          <w:rFonts w:hint="eastAsia" w:ascii="宋体" w:hAnsi="宋体" w:cs="宋体"/>
          <w:b/>
          <w:bCs/>
          <w:color w:val="auto"/>
          <w:sz w:val="32"/>
          <w:szCs w:val="32"/>
          <w:highlight w:val="none"/>
        </w:rPr>
      </w:pPr>
      <w:r>
        <w:rPr>
          <w:rFonts w:hint="eastAsia" w:ascii="宋体" w:hAnsi="宋体" w:cs="宋体"/>
          <w:color w:val="auto"/>
          <w:sz w:val="32"/>
          <w:szCs w:val="32"/>
          <w:highlight w:val="none"/>
        </w:rPr>
        <w:br w:type="page"/>
      </w:r>
      <w:bookmarkStart w:id="546" w:name="_Toc31889"/>
      <w:bookmarkStart w:id="547" w:name="_Toc31686"/>
      <w:bookmarkStart w:id="548" w:name="_Toc13421"/>
      <w:bookmarkStart w:id="549" w:name="_Toc23178"/>
      <w:bookmarkStart w:id="550" w:name="_Toc22308"/>
      <w:r>
        <w:rPr>
          <w:rFonts w:hint="eastAsia" w:ascii="宋体" w:hAnsi="宋体" w:cs="宋体"/>
          <w:b/>
          <w:bCs/>
          <w:color w:val="auto"/>
          <w:sz w:val="32"/>
          <w:szCs w:val="32"/>
          <w:highlight w:val="none"/>
        </w:rPr>
        <w:t>第六章 评审标准（综合评分法）</w:t>
      </w:r>
      <w:bookmarkEnd w:id="546"/>
      <w:bookmarkEnd w:id="547"/>
      <w:bookmarkEnd w:id="548"/>
      <w:bookmarkEnd w:id="549"/>
      <w:bookmarkEnd w:id="550"/>
    </w:p>
    <w:p w14:paraId="5BFC6259">
      <w:pPr>
        <w:pStyle w:val="68"/>
        <w:spacing w:line="360" w:lineRule="auto"/>
        <w:ind w:firstLine="0" w:firstLineChars="0"/>
        <w:rPr>
          <w:rFonts w:hint="eastAsia" w:ascii="宋体" w:hAnsi="宋体" w:eastAsia="宋体" w:cs="宋体"/>
          <w:bCs/>
          <w:color w:val="auto"/>
          <w:highlight w:val="none"/>
        </w:rPr>
      </w:pPr>
      <w:bookmarkStart w:id="551" w:name="_Toc27915"/>
      <w:bookmarkStart w:id="552" w:name="_Toc20214"/>
      <w:bookmarkStart w:id="553" w:name="_Toc18956"/>
      <w:bookmarkStart w:id="554" w:name="_Toc38015048"/>
      <w:bookmarkStart w:id="555" w:name="_Toc1985"/>
      <w:bookmarkStart w:id="556" w:name="_Toc6374"/>
      <w:r>
        <w:rPr>
          <w:rFonts w:hint="eastAsia" w:ascii="宋体" w:hAnsi="宋体" w:eastAsia="宋体" w:cs="宋体"/>
          <w:bCs/>
          <w:color w:val="auto"/>
          <w:highlight w:val="none"/>
        </w:rPr>
        <w:t>一、评标方法</w:t>
      </w:r>
      <w:bookmarkEnd w:id="551"/>
      <w:bookmarkEnd w:id="552"/>
      <w:bookmarkEnd w:id="553"/>
      <w:bookmarkEnd w:id="554"/>
      <w:bookmarkEnd w:id="555"/>
      <w:bookmarkEnd w:id="556"/>
    </w:p>
    <w:p w14:paraId="43AF7338">
      <w:pPr>
        <w:pStyle w:val="68"/>
        <w:spacing w:line="360" w:lineRule="auto"/>
        <w:outlineLvl w:val="2"/>
        <w:rPr>
          <w:rFonts w:hint="eastAsia" w:ascii="宋体" w:hAnsi="宋体" w:eastAsia="宋体" w:cs="宋体"/>
          <w:b w:val="0"/>
          <w:color w:val="auto"/>
          <w:kern w:val="0"/>
          <w:highlight w:val="none"/>
        </w:rPr>
      </w:pPr>
      <w:bookmarkStart w:id="557" w:name="_Toc24218"/>
      <w:bookmarkStart w:id="558" w:name="_Toc27137"/>
      <w:bookmarkStart w:id="559" w:name="_Toc22155"/>
      <w:bookmarkStart w:id="560" w:name="_Toc15625"/>
      <w:r>
        <w:rPr>
          <w:rFonts w:hint="eastAsia" w:ascii="宋体" w:hAnsi="宋体" w:eastAsia="宋体" w:cs="宋体"/>
          <w:b w:val="0"/>
          <w:color w:val="auto"/>
          <w:kern w:val="0"/>
          <w:highlight w:val="none"/>
        </w:rPr>
        <w:t>1、评标方法定义</w:t>
      </w:r>
      <w:bookmarkEnd w:id="557"/>
      <w:bookmarkEnd w:id="558"/>
      <w:bookmarkEnd w:id="559"/>
      <w:bookmarkEnd w:id="560"/>
    </w:p>
    <w:p w14:paraId="1CB0A4D6">
      <w:pPr>
        <w:pStyle w:val="71"/>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本项目采用综合评分法进行评标。综合评分法是指投标响应文件满足采购文件全部实质性要求且按照评审因素的量化指标评审得分最高的供应商为中标人的评标方法。</w:t>
      </w:r>
    </w:p>
    <w:p w14:paraId="432DC7AF">
      <w:pPr>
        <w:pStyle w:val="71"/>
        <w:spacing w:line="360" w:lineRule="auto"/>
        <w:outlineLvl w:val="2"/>
        <w:rPr>
          <w:rFonts w:hint="eastAsia" w:ascii="宋体" w:hAnsi="宋体" w:eastAsia="宋体" w:cs="宋体"/>
          <w:color w:val="auto"/>
          <w:kern w:val="0"/>
          <w:highlight w:val="none"/>
        </w:rPr>
      </w:pPr>
      <w:r>
        <w:rPr>
          <w:rFonts w:hint="eastAsia" w:ascii="宋体" w:hAnsi="宋体" w:eastAsia="宋体" w:cs="宋体"/>
          <w:color w:val="auto"/>
          <w:kern w:val="0"/>
          <w:highlight w:val="none"/>
        </w:rPr>
        <w:t>2、评标程序</w:t>
      </w:r>
    </w:p>
    <w:p w14:paraId="7B2A6817">
      <w:pPr>
        <w:pStyle w:val="71"/>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评标工作由采购代理机构负责组织，评标专家随机抽取。</w:t>
      </w:r>
    </w:p>
    <w:p w14:paraId="20DFB075">
      <w:pPr>
        <w:pStyle w:val="71"/>
        <w:spacing w:line="360" w:lineRule="auto"/>
        <w:rPr>
          <w:rFonts w:hint="eastAsia" w:ascii="宋体" w:hAnsi="宋体" w:eastAsia="宋体" w:cs="宋体"/>
          <w:color w:val="auto"/>
          <w:highlight w:val="none"/>
        </w:rPr>
      </w:pPr>
      <w:r>
        <w:rPr>
          <w:rFonts w:hint="eastAsia" w:ascii="宋体" w:hAnsi="宋体" w:eastAsia="宋体" w:cs="宋体"/>
          <w:color w:val="auto"/>
          <w:kern w:val="0"/>
          <w:highlight w:val="none"/>
        </w:rPr>
        <w:t>由评标委员会全体成员推选一位评审专家担任评审组长，并由评审组长组织该项目评审工作。</w:t>
      </w:r>
    </w:p>
    <w:p w14:paraId="114CB3C4">
      <w:pPr>
        <w:pStyle w:val="71"/>
        <w:spacing w:line="360" w:lineRule="auto"/>
        <w:ind w:firstLine="0" w:firstLineChars="0"/>
        <w:outlineLvl w:val="1"/>
        <w:rPr>
          <w:rFonts w:hint="eastAsia" w:ascii="宋体" w:hAnsi="宋体" w:eastAsia="宋体" w:cs="宋体"/>
          <w:b/>
          <w:bCs/>
          <w:color w:val="auto"/>
          <w:highlight w:val="none"/>
        </w:rPr>
      </w:pPr>
      <w:bookmarkStart w:id="561" w:name="_Toc6461"/>
      <w:bookmarkStart w:id="562" w:name="_Toc9643"/>
      <w:bookmarkStart w:id="563" w:name="_Toc28933"/>
      <w:bookmarkStart w:id="564" w:name="_Toc6441"/>
      <w:bookmarkStart w:id="565" w:name="_Toc24480"/>
      <w:r>
        <w:rPr>
          <w:rFonts w:hint="eastAsia" w:ascii="宋体" w:hAnsi="宋体" w:eastAsia="宋体" w:cs="宋体"/>
          <w:b/>
          <w:bCs/>
          <w:color w:val="auto"/>
          <w:highlight w:val="none"/>
        </w:rPr>
        <w:t>二、信用查询</w:t>
      </w:r>
      <w:bookmarkEnd w:id="561"/>
      <w:bookmarkEnd w:id="562"/>
      <w:bookmarkEnd w:id="563"/>
      <w:bookmarkEnd w:id="564"/>
      <w:bookmarkEnd w:id="565"/>
    </w:p>
    <w:p w14:paraId="10073B64">
      <w:pPr>
        <w:pStyle w:val="71"/>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及其他不符合《中华人民共和国政府采购法》第二十二条规定的供应商，拒绝参与政府采购活动。</w:t>
      </w:r>
    </w:p>
    <w:p w14:paraId="34B941F5">
      <w:pPr>
        <w:widowControl/>
        <w:spacing w:line="360" w:lineRule="auto"/>
        <w:jc w:val="left"/>
        <w:outlineLvl w:val="1"/>
        <w:rPr>
          <w:rFonts w:hint="eastAsia" w:ascii="宋体" w:hAnsi="宋体" w:cs="宋体"/>
          <w:b/>
          <w:bCs/>
          <w:color w:val="auto"/>
          <w:sz w:val="24"/>
          <w:highlight w:val="none"/>
        </w:rPr>
      </w:pPr>
      <w:bookmarkStart w:id="566" w:name="_Toc7915"/>
      <w:bookmarkStart w:id="567" w:name="_Toc23404"/>
      <w:bookmarkStart w:id="568" w:name="_Toc4387"/>
      <w:bookmarkStart w:id="569" w:name="_Toc13218"/>
      <w:bookmarkStart w:id="570" w:name="_Toc8396"/>
      <w:r>
        <w:rPr>
          <w:rFonts w:hint="eastAsia" w:ascii="宋体" w:hAnsi="宋体" w:cs="宋体"/>
          <w:b/>
          <w:bCs/>
          <w:color w:val="auto"/>
          <w:sz w:val="24"/>
          <w:highlight w:val="none"/>
        </w:rPr>
        <w:t>三、初步评审</w:t>
      </w:r>
      <w:bookmarkEnd w:id="566"/>
      <w:bookmarkEnd w:id="567"/>
      <w:bookmarkEnd w:id="568"/>
      <w:bookmarkEnd w:id="569"/>
      <w:bookmarkEnd w:id="570"/>
    </w:p>
    <w:p w14:paraId="60B7E91D">
      <w:pPr>
        <w:spacing w:line="360" w:lineRule="auto"/>
        <w:rPr>
          <w:rFonts w:hint="eastAsia" w:ascii="宋体" w:hAnsi="宋体" w:cs="宋体"/>
          <w:color w:val="auto"/>
          <w:kern w:val="0"/>
          <w:sz w:val="24"/>
          <w:highlight w:val="none"/>
        </w:rPr>
      </w:pPr>
      <w:r>
        <w:rPr>
          <w:rFonts w:hint="eastAsia" w:ascii="宋体" w:hAnsi="宋体" w:cs="宋体"/>
          <w:b/>
          <w:bCs/>
          <w:color w:val="auto"/>
          <w:kern w:val="0"/>
          <w:sz w:val="24"/>
          <w:highlight w:val="none"/>
        </w:rPr>
        <w:t>1、资格性审查：</w:t>
      </w:r>
      <w:r>
        <w:rPr>
          <w:rFonts w:hint="eastAsia" w:ascii="宋体" w:hAnsi="宋体" w:cs="宋体"/>
          <w:color w:val="auto"/>
          <w:kern w:val="0"/>
          <w:sz w:val="24"/>
          <w:highlight w:val="none"/>
        </w:rPr>
        <w:t>依据法律法规和采购文件的规定，对投标响应文件中的资格证明等进行审查，以确定供应商是否具备投标资格。资格性审查不合格的，将失去供应商资格。</w:t>
      </w:r>
    </w:p>
    <w:p w14:paraId="45C0ED32">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资格性审查资料表如下：</w:t>
      </w:r>
    </w:p>
    <w:tbl>
      <w:tblPr>
        <w:tblStyle w:val="36"/>
        <w:tblW w:w="8819"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115"/>
        <w:gridCol w:w="4432"/>
        <w:gridCol w:w="2818"/>
      </w:tblGrid>
      <w:tr w14:paraId="320B3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454" w:type="dxa"/>
            <w:noWrap w:val="0"/>
            <w:vAlign w:val="center"/>
          </w:tcPr>
          <w:p w14:paraId="030BE657">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5547" w:type="dxa"/>
            <w:gridSpan w:val="2"/>
            <w:noWrap w:val="0"/>
            <w:vAlign w:val="center"/>
          </w:tcPr>
          <w:p w14:paraId="756E70CD">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评审因素</w:t>
            </w:r>
          </w:p>
        </w:tc>
        <w:tc>
          <w:tcPr>
            <w:tcW w:w="2818" w:type="dxa"/>
            <w:noWrap w:val="0"/>
            <w:vAlign w:val="center"/>
          </w:tcPr>
          <w:p w14:paraId="7A749941">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评审标准</w:t>
            </w:r>
          </w:p>
        </w:tc>
      </w:tr>
      <w:tr w14:paraId="6FD4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trPr>
        <w:tc>
          <w:tcPr>
            <w:tcW w:w="454" w:type="dxa"/>
            <w:vMerge w:val="restart"/>
            <w:noWrap w:val="0"/>
            <w:vAlign w:val="center"/>
          </w:tcPr>
          <w:p w14:paraId="63CE5255">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115" w:type="dxa"/>
            <w:vMerge w:val="restart"/>
            <w:noWrap w:val="0"/>
            <w:vAlign w:val="center"/>
          </w:tcPr>
          <w:p w14:paraId="4857E436">
            <w:pPr>
              <w:pStyle w:val="31"/>
              <w:spacing w:before="79" w:beforeLines="33" w:beforeAutospacing="0" w:after="0" w:afterAutospacing="0"/>
              <w:rPr>
                <w:rFonts w:hint="eastAsia"/>
                <w:color w:val="auto"/>
                <w:highlight w:val="none"/>
              </w:rPr>
            </w:pPr>
            <w:r>
              <w:rPr>
                <w:rStyle w:val="40"/>
                <w:rFonts w:hint="eastAsia"/>
                <w:b w:val="0"/>
                <w:bCs/>
                <w:color w:val="auto"/>
                <w:highlight w:val="none"/>
              </w:rPr>
              <w:t>满足《中华人民共和国政府采购法》第二十二条规定；</w:t>
            </w:r>
          </w:p>
        </w:tc>
        <w:tc>
          <w:tcPr>
            <w:tcW w:w="4432" w:type="dxa"/>
            <w:noWrap w:val="0"/>
            <w:vAlign w:val="center"/>
          </w:tcPr>
          <w:p w14:paraId="224DA0A8">
            <w:pPr>
              <w:pStyle w:val="31"/>
              <w:spacing w:before="79" w:beforeLines="33" w:beforeAutospacing="0" w:after="0" w:afterAutospacing="0"/>
              <w:rPr>
                <w:rFonts w:hint="eastAsia"/>
                <w:color w:val="auto"/>
                <w:highlight w:val="none"/>
              </w:rPr>
            </w:pPr>
            <w:r>
              <w:rPr>
                <w:rFonts w:hint="eastAsia"/>
                <w:color w:val="auto"/>
                <w:highlight w:val="none"/>
              </w:rPr>
              <w:t>具有独立承担民事责任的能力</w:t>
            </w:r>
          </w:p>
        </w:tc>
        <w:tc>
          <w:tcPr>
            <w:tcW w:w="2818" w:type="dxa"/>
            <w:noWrap w:val="0"/>
            <w:vAlign w:val="center"/>
          </w:tcPr>
          <w:p w14:paraId="4BD567E9">
            <w:pPr>
              <w:rPr>
                <w:rFonts w:hint="eastAsia" w:ascii="宋体" w:hAnsi="宋体" w:eastAsia="宋体" w:cs="宋体"/>
                <w:color w:val="auto"/>
                <w:kern w:val="0"/>
                <w:sz w:val="24"/>
                <w:highlight w:val="none"/>
              </w:rPr>
            </w:pPr>
            <w:r>
              <w:rPr>
                <w:rFonts w:hint="eastAsia" w:ascii="宋体" w:hAnsi="宋体" w:eastAsia="宋体" w:cs="宋体"/>
                <w:color w:val="auto"/>
                <w:spacing w:val="-1"/>
                <w:sz w:val="24"/>
                <w:highlight w:val="none"/>
              </w:rPr>
              <w:t>①</w:t>
            </w:r>
            <w:r>
              <w:rPr>
                <w:rFonts w:hint="eastAsia" w:ascii="宋体" w:hAnsi="宋体" w:eastAsia="宋体" w:cs="宋体"/>
                <w:color w:val="auto"/>
                <w:kern w:val="0"/>
                <w:sz w:val="24"/>
                <w:highlight w:val="none"/>
              </w:rPr>
              <w:t>供应商</w:t>
            </w:r>
            <w:r>
              <w:rPr>
                <w:rFonts w:hint="eastAsia" w:ascii="宋体" w:hAnsi="宋体" w:eastAsia="宋体" w:cs="宋体"/>
                <w:color w:val="auto"/>
                <w:spacing w:val="-1"/>
                <w:sz w:val="24"/>
                <w:highlight w:val="none"/>
              </w:rPr>
              <w:t>提供有效期内的</w:t>
            </w:r>
            <w:r>
              <w:rPr>
                <w:rFonts w:hint="eastAsia" w:ascii="宋体" w:hAnsi="宋体" w:eastAsia="宋体" w:cs="宋体"/>
                <w:color w:val="auto"/>
                <w:spacing w:val="-1"/>
                <w:sz w:val="24"/>
                <w:highlight w:val="none"/>
                <w:lang w:eastAsia="zh-CN"/>
              </w:rPr>
              <w:t>营业执照</w:t>
            </w:r>
            <w:r>
              <w:rPr>
                <w:rFonts w:hint="eastAsia" w:ascii="宋体" w:hAnsi="宋体" w:eastAsia="宋体" w:cs="宋体"/>
                <w:color w:val="auto"/>
                <w:spacing w:val="-1"/>
                <w:sz w:val="24"/>
                <w:highlight w:val="none"/>
                <w:lang w:val="en-US" w:eastAsia="zh-CN"/>
              </w:rPr>
              <w:t>和代理记账许可证</w:t>
            </w:r>
            <w:r>
              <w:rPr>
                <w:rFonts w:hint="eastAsia" w:ascii="宋体" w:hAnsi="宋体" w:eastAsia="宋体" w:cs="宋体"/>
                <w:color w:val="auto"/>
                <w:spacing w:val="-1"/>
                <w:sz w:val="24"/>
                <w:highlight w:val="none"/>
              </w:rPr>
              <w:t>复印件；②供应商法定代表人身份证明和法定代表人授权代表委托书；</w:t>
            </w:r>
          </w:p>
        </w:tc>
      </w:tr>
      <w:tr w14:paraId="58FB8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454" w:type="dxa"/>
            <w:vMerge w:val="continue"/>
            <w:noWrap w:val="0"/>
            <w:vAlign w:val="center"/>
          </w:tcPr>
          <w:p w14:paraId="433958A8">
            <w:pPr>
              <w:jc w:val="center"/>
              <w:rPr>
                <w:rFonts w:hint="eastAsia" w:ascii="宋体" w:hAnsi="宋体" w:eastAsia="宋体" w:cs="宋体"/>
                <w:color w:val="auto"/>
                <w:kern w:val="0"/>
                <w:sz w:val="24"/>
                <w:highlight w:val="none"/>
              </w:rPr>
            </w:pPr>
          </w:p>
        </w:tc>
        <w:tc>
          <w:tcPr>
            <w:tcW w:w="1115" w:type="dxa"/>
            <w:vMerge w:val="continue"/>
            <w:noWrap w:val="0"/>
            <w:vAlign w:val="center"/>
          </w:tcPr>
          <w:p w14:paraId="03E25645">
            <w:pPr>
              <w:rPr>
                <w:rFonts w:hint="eastAsia" w:ascii="宋体" w:hAnsi="宋体" w:eastAsia="宋体" w:cs="宋体"/>
                <w:color w:val="auto"/>
                <w:kern w:val="0"/>
                <w:sz w:val="24"/>
                <w:highlight w:val="none"/>
              </w:rPr>
            </w:pPr>
          </w:p>
        </w:tc>
        <w:tc>
          <w:tcPr>
            <w:tcW w:w="4432" w:type="dxa"/>
            <w:noWrap w:val="0"/>
            <w:vAlign w:val="center"/>
          </w:tcPr>
          <w:p w14:paraId="0A1F7EC9">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具有良好的商业信誉和健全的财务会计制度</w:t>
            </w:r>
          </w:p>
        </w:tc>
        <w:tc>
          <w:tcPr>
            <w:tcW w:w="2818" w:type="dxa"/>
            <w:noWrap w:val="0"/>
            <w:vAlign w:val="center"/>
          </w:tcPr>
          <w:p w14:paraId="35028809">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提供</w:t>
            </w:r>
            <w:r>
              <w:rPr>
                <w:rFonts w:hint="eastAsia" w:ascii="宋体" w:hAnsi="宋体" w:eastAsia="宋体" w:cs="宋体"/>
                <w:color w:val="auto"/>
                <w:kern w:val="0"/>
                <w:sz w:val="24"/>
                <w:highlight w:val="none"/>
                <w:lang w:val="en-US" w:eastAsia="zh-CN"/>
              </w:rPr>
              <w:t>近</w:t>
            </w:r>
            <w:r>
              <w:rPr>
                <w:rFonts w:hint="eastAsia" w:ascii="宋体" w:hAnsi="宋体" w:cs="宋体"/>
                <w:color w:val="auto"/>
                <w:kern w:val="0"/>
                <w:sz w:val="24"/>
                <w:highlight w:val="none"/>
                <w:lang w:val="en-US" w:eastAsia="zh-CN"/>
              </w:rPr>
              <w:t>2024</w:t>
            </w:r>
            <w:r>
              <w:rPr>
                <w:rFonts w:hint="eastAsia" w:ascii="宋体" w:hAnsi="宋体" w:eastAsia="宋体" w:cs="宋体"/>
                <w:color w:val="auto"/>
                <w:kern w:val="0"/>
                <w:sz w:val="24"/>
                <w:highlight w:val="none"/>
                <w:lang w:eastAsia="zh-CN"/>
              </w:rPr>
              <w:t>年</w:t>
            </w:r>
            <w:r>
              <w:rPr>
                <w:rFonts w:hint="eastAsia" w:ascii="宋体" w:hAnsi="宋体" w:eastAsia="宋体" w:cs="宋体"/>
                <w:color w:val="auto"/>
                <w:kern w:val="0"/>
                <w:sz w:val="24"/>
                <w:highlight w:val="none"/>
              </w:rPr>
              <w:t>度财务审计报告或财务报表；</w:t>
            </w:r>
          </w:p>
        </w:tc>
      </w:tr>
      <w:tr w14:paraId="7E235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454" w:type="dxa"/>
            <w:vMerge w:val="continue"/>
            <w:noWrap w:val="0"/>
            <w:vAlign w:val="center"/>
          </w:tcPr>
          <w:p w14:paraId="5A488898">
            <w:pPr>
              <w:jc w:val="center"/>
              <w:rPr>
                <w:rFonts w:hint="eastAsia" w:ascii="宋体" w:hAnsi="宋体" w:eastAsia="宋体" w:cs="宋体"/>
                <w:color w:val="auto"/>
                <w:kern w:val="0"/>
                <w:sz w:val="24"/>
                <w:highlight w:val="none"/>
              </w:rPr>
            </w:pPr>
          </w:p>
        </w:tc>
        <w:tc>
          <w:tcPr>
            <w:tcW w:w="1115" w:type="dxa"/>
            <w:vMerge w:val="continue"/>
            <w:noWrap w:val="0"/>
            <w:vAlign w:val="center"/>
          </w:tcPr>
          <w:p w14:paraId="3B8DDFFF">
            <w:pPr>
              <w:rPr>
                <w:rFonts w:hint="eastAsia" w:ascii="宋体" w:hAnsi="宋体" w:eastAsia="宋体" w:cs="宋体"/>
                <w:color w:val="auto"/>
                <w:kern w:val="0"/>
                <w:sz w:val="24"/>
                <w:highlight w:val="none"/>
              </w:rPr>
            </w:pPr>
          </w:p>
        </w:tc>
        <w:tc>
          <w:tcPr>
            <w:tcW w:w="4432" w:type="dxa"/>
            <w:noWrap w:val="0"/>
            <w:vAlign w:val="center"/>
          </w:tcPr>
          <w:p w14:paraId="5F4F3BF5">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具有履行合同所必需的设备和专业技术能力</w:t>
            </w:r>
          </w:p>
        </w:tc>
        <w:tc>
          <w:tcPr>
            <w:tcW w:w="2818" w:type="dxa"/>
            <w:noWrap w:val="0"/>
            <w:vAlign w:val="center"/>
          </w:tcPr>
          <w:p w14:paraId="373E34F7">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提供书面声明（见格式文件）或相关证明材料；</w:t>
            </w:r>
          </w:p>
        </w:tc>
      </w:tr>
      <w:tr w14:paraId="73BB3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454" w:type="dxa"/>
            <w:vMerge w:val="continue"/>
            <w:noWrap w:val="0"/>
            <w:vAlign w:val="center"/>
          </w:tcPr>
          <w:p w14:paraId="022F0A36">
            <w:pPr>
              <w:jc w:val="center"/>
              <w:rPr>
                <w:rFonts w:hint="eastAsia" w:ascii="宋体" w:hAnsi="宋体" w:eastAsia="宋体" w:cs="宋体"/>
                <w:color w:val="auto"/>
                <w:kern w:val="0"/>
                <w:sz w:val="24"/>
                <w:highlight w:val="none"/>
              </w:rPr>
            </w:pPr>
          </w:p>
        </w:tc>
        <w:tc>
          <w:tcPr>
            <w:tcW w:w="1115" w:type="dxa"/>
            <w:vMerge w:val="restart"/>
            <w:noWrap w:val="0"/>
            <w:vAlign w:val="center"/>
          </w:tcPr>
          <w:p w14:paraId="7F05C7FB">
            <w:pPr>
              <w:rPr>
                <w:rFonts w:hint="eastAsia" w:ascii="宋体" w:hAnsi="宋体" w:eastAsia="宋体" w:cs="宋体"/>
                <w:color w:val="auto"/>
                <w:kern w:val="0"/>
                <w:sz w:val="24"/>
                <w:highlight w:val="none"/>
              </w:rPr>
            </w:pPr>
          </w:p>
        </w:tc>
        <w:tc>
          <w:tcPr>
            <w:tcW w:w="4432" w:type="dxa"/>
            <w:noWrap w:val="0"/>
            <w:vAlign w:val="center"/>
          </w:tcPr>
          <w:p w14:paraId="03EC4741">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有依法缴纳税收和社会保障资金的良好记录</w:t>
            </w:r>
          </w:p>
        </w:tc>
        <w:tc>
          <w:tcPr>
            <w:tcW w:w="2818" w:type="dxa"/>
            <w:noWrap w:val="0"/>
            <w:vAlign w:val="center"/>
          </w:tcPr>
          <w:p w14:paraId="52672503">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提供书面声明（见格式文件）或相关证明材料；</w:t>
            </w:r>
          </w:p>
        </w:tc>
      </w:tr>
      <w:tr w14:paraId="3B821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454" w:type="dxa"/>
            <w:vMerge w:val="continue"/>
            <w:noWrap w:val="0"/>
            <w:vAlign w:val="center"/>
          </w:tcPr>
          <w:p w14:paraId="3325D5D3">
            <w:pPr>
              <w:jc w:val="center"/>
              <w:rPr>
                <w:rFonts w:hint="eastAsia" w:ascii="宋体" w:hAnsi="宋体" w:eastAsia="宋体" w:cs="宋体"/>
                <w:color w:val="auto"/>
                <w:kern w:val="0"/>
                <w:sz w:val="24"/>
                <w:highlight w:val="none"/>
              </w:rPr>
            </w:pPr>
          </w:p>
        </w:tc>
        <w:tc>
          <w:tcPr>
            <w:tcW w:w="1115" w:type="dxa"/>
            <w:vMerge w:val="continue"/>
            <w:noWrap w:val="0"/>
            <w:vAlign w:val="center"/>
          </w:tcPr>
          <w:p w14:paraId="66DD8AED">
            <w:pPr>
              <w:rPr>
                <w:rFonts w:hint="eastAsia" w:ascii="宋体" w:hAnsi="宋体" w:eastAsia="宋体" w:cs="宋体"/>
                <w:color w:val="auto"/>
                <w:kern w:val="0"/>
                <w:sz w:val="24"/>
                <w:highlight w:val="none"/>
              </w:rPr>
            </w:pPr>
          </w:p>
        </w:tc>
        <w:tc>
          <w:tcPr>
            <w:tcW w:w="4432" w:type="dxa"/>
            <w:noWrap w:val="0"/>
            <w:vAlign w:val="center"/>
          </w:tcPr>
          <w:p w14:paraId="1D20FEFB">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参加招投标活动前三年内，在经营活动中没有重大违法记录；</w:t>
            </w:r>
          </w:p>
        </w:tc>
        <w:tc>
          <w:tcPr>
            <w:tcW w:w="2818" w:type="dxa"/>
            <w:noWrap w:val="0"/>
            <w:vAlign w:val="center"/>
          </w:tcPr>
          <w:p w14:paraId="20E19B62">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提供书面声明（见格式文件）或相关证明材料；</w:t>
            </w:r>
          </w:p>
        </w:tc>
      </w:tr>
      <w:tr w14:paraId="106D6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trPr>
        <w:tc>
          <w:tcPr>
            <w:tcW w:w="454" w:type="dxa"/>
            <w:noWrap w:val="0"/>
            <w:vAlign w:val="center"/>
          </w:tcPr>
          <w:p w14:paraId="1FA57E7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5547" w:type="dxa"/>
            <w:gridSpan w:val="2"/>
            <w:noWrap w:val="0"/>
            <w:vAlign w:val="center"/>
          </w:tcPr>
          <w:p w14:paraId="33F03C64">
            <w:pPr>
              <w:wordWrap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未被“信用中国”（www.creditchina.gov.cn）中国政府采购网（www.ccgp.gov.cn）列入失信被执行人、重大税收违法失信主体、政府采购严重违法失信行为记录名单</w:t>
            </w:r>
          </w:p>
        </w:tc>
        <w:tc>
          <w:tcPr>
            <w:tcW w:w="2818" w:type="dxa"/>
            <w:noWrap w:val="0"/>
            <w:vAlign w:val="center"/>
          </w:tcPr>
          <w:p w14:paraId="3DF2C234">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提供“信用中国”“中国政府采购网”信用查询截图；</w:t>
            </w:r>
          </w:p>
        </w:tc>
      </w:tr>
      <w:tr w14:paraId="56AAD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454" w:type="dxa"/>
            <w:noWrap w:val="0"/>
            <w:vAlign w:val="center"/>
          </w:tcPr>
          <w:p w14:paraId="1FCE53BD">
            <w:pPr>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w:t>
            </w:r>
          </w:p>
        </w:tc>
        <w:tc>
          <w:tcPr>
            <w:tcW w:w="5547" w:type="dxa"/>
            <w:gridSpan w:val="2"/>
            <w:noWrap w:val="0"/>
            <w:vAlign w:val="center"/>
          </w:tcPr>
          <w:p w14:paraId="5142EAD0">
            <w:pPr>
              <w:spacing w:before="132"/>
              <w:ind w:right="4"/>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供应商为中小企业</w:t>
            </w:r>
          </w:p>
        </w:tc>
        <w:tc>
          <w:tcPr>
            <w:tcW w:w="2818" w:type="dxa"/>
            <w:noWrap w:val="0"/>
            <w:vAlign w:val="center"/>
          </w:tcPr>
          <w:p w14:paraId="4FCB0E83">
            <w:pPr>
              <w:jc w:val="left"/>
              <w:rPr>
                <w:rFonts w:hint="eastAsia" w:ascii="宋体" w:hAnsi="宋体" w:eastAsia="宋体" w:cs="宋体"/>
                <w:color w:val="auto"/>
                <w:kern w:val="0"/>
                <w:sz w:val="24"/>
                <w:highlight w:val="none"/>
              </w:rPr>
            </w:pPr>
            <w:r>
              <w:rPr>
                <w:rFonts w:hint="eastAsia" w:ascii="宋体" w:hAnsi="宋体" w:eastAsia="宋体" w:cs="宋体"/>
                <w:color w:val="auto"/>
                <w:spacing w:val="-1"/>
                <w:sz w:val="24"/>
                <w:highlight w:val="none"/>
              </w:rPr>
              <w:t>提供中小企业声明（</w:t>
            </w:r>
            <w:r>
              <w:rPr>
                <w:rFonts w:hint="eastAsia" w:ascii="宋体" w:hAnsi="宋体" w:eastAsia="宋体" w:cs="宋体"/>
                <w:color w:val="auto"/>
                <w:kern w:val="0"/>
                <w:sz w:val="24"/>
                <w:highlight w:val="none"/>
              </w:rPr>
              <w:t>见格式文件）；</w:t>
            </w:r>
          </w:p>
        </w:tc>
      </w:tr>
      <w:tr w14:paraId="65B2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454" w:type="dxa"/>
            <w:noWrap w:val="0"/>
            <w:vAlign w:val="center"/>
          </w:tcPr>
          <w:p w14:paraId="53A82E58">
            <w:pPr>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c>
          <w:tcPr>
            <w:tcW w:w="5547" w:type="dxa"/>
            <w:gridSpan w:val="2"/>
            <w:noWrap w:val="0"/>
            <w:vAlign w:val="center"/>
          </w:tcPr>
          <w:p w14:paraId="44855BF3">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本项目不接受联合体供应商</w:t>
            </w:r>
          </w:p>
        </w:tc>
        <w:tc>
          <w:tcPr>
            <w:tcW w:w="2818" w:type="dxa"/>
            <w:noWrap w:val="0"/>
            <w:vAlign w:val="center"/>
          </w:tcPr>
          <w:p w14:paraId="5868BE5B">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满足采购文件规定。</w:t>
            </w:r>
          </w:p>
        </w:tc>
      </w:tr>
    </w:tbl>
    <w:p w14:paraId="6CFCDB06">
      <w:pPr>
        <w:pStyle w:val="71"/>
        <w:spacing w:line="240" w:lineRule="auto"/>
        <w:ind w:firstLine="0" w:firstLineChars="0"/>
        <w:rPr>
          <w:rFonts w:hint="eastAsia" w:ascii="宋体" w:hAnsi="宋体" w:eastAsia="宋体" w:cs="宋体"/>
          <w:b/>
          <w:bCs/>
          <w:color w:val="auto"/>
          <w:kern w:val="0"/>
          <w:highlight w:val="none"/>
        </w:rPr>
      </w:pPr>
    </w:p>
    <w:p w14:paraId="699610E8">
      <w:pPr>
        <w:pStyle w:val="71"/>
        <w:spacing w:line="360" w:lineRule="auto"/>
        <w:ind w:right="105" w:rightChars="50" w:firstLine="0" w:firstLineChars="0"/>
        <w:outlineLvl w:val="2"/>
        <w:rPr>
          <w:rFonts w:hint="eastAsia" w:ascii="宋体" w:hAnsi="宋体" w:eastAsia="宋体" w:cs="宋体"/>
          <w:color w:val="auto"/>
          <w:kern w:val="0"/>
          <w:highlight w:val="none"/>
        </w:rPr>
      </w:pPr>
      <w:bookmarkStart w:id="571" w:name="_Toc5631"/>
      <w:bookmarkStart w:id="572" w:name="_Toc1653"/>
      <w:r>
        <w:rPr>
          <w:rFonts w:hint="eastAsia" w:ascii="宋体" w:hAnsi="宋体" w:eastAsia="宋体" w:cs="宋体"/>
          <w:b/>
          <w:bCs/>
          <w:color w:val="auto"/>
          <w:kern w:val="0"/>
          <w:highlight w:val="none"/>
        </w:rPr>
        <w:t>2、符合性审查：</w:t>
      </w:r>
      <w:r>
        <w:rPr>
          <w:rFonts w:hint="eastAsia" w:ascii="宋体" w:hAnsi="宋体" w:eastAsia="宋体" w:cs="宋体"/>
          <w:color w:val="auto"/>
          <w:kern w:val="0"/>
          <w:highlight w:val="none"/>
        </w:rPr>
        <w:t>依据采购文件的规定，从投标响应文件的有效性、完整性和对采购文件的响应程度进行审查，以确定是否对采购文件的实质性要求作出响应。符合性审查不合格的，将按无效投标处理。符合性审查表内容如下：</w:t>
      </w:r>
      <w:bookmarkEnd w:id="571"/>
      <w:bookmarkEnd w:id="572"/>
    </w:p>
    <w:tbl>
      <w:tblPr>
        <w:tblStyle w:val="36"/>
        <w:tblW w:w="9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970"/>
        <w:gridCol w:w="2389"/>
        <w:gridCol w:w="5329"/>
      </w:tblGrid>
      <w:tr w14:paraId="28B3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51" w:type="dxa"/>
            <w:noWrap w:val="0"/>
            <w:vAlign w:val="center"/>
          </w:tcPr>
          <w:p w14:paraId="19436C9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3359" w:type="dxa"/>
            <w:gridSpan w:val="2"/>
            <w:noWrap w:val="0"/>
            <w:vAlign w:val="center"/>
          </w:tcPr>
          <w:p w14:paraId="79B73F58">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评审因素</w:t>
            </w:r>
          </w:p>
        </w:tc>
        <w:tc>
          <w:tcPr>
            <w:tcW w:w="5329" w:type="dxa"/>
            <w:noWrap w:val="0"/>
            <w:vAlign w:val="center"/>
          </w:tcPr>
          <w:p w14:paraId="01D63831">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评标方法</w:t>
            </w:r>
          </w:p>
        </w:tc>
      </w:tr>
      <w:tr w14:paraId="0229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51" w:type="dxa"/>
            <w:vMerge w:val="restart"/>
            <w:noWrap w:val="0"/>
            <w:vAlign w:val="center"/>
          </w:tcPr>
          <w:p w14:paraId="0C1DC2FD">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970" w:type="dxa"/>
            <w:vMerge w:val="restart"/>
            <w:noWrap w:val="0"/>
            <w:vAlign w:val="center"/>
          </w:tcPr>
          <w:p w14:paraId="62D645CF">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有效性</w:t>
            </w:r>
          </w:p>
          <w:p w14:paraId="34DD6FE8">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审查</w:t>
            </w:r>
          </w:p>
        </w:tc>
        <w:tc>
          <w:tcPr>
            <w:tcW w:w="2389" w:type="dxa"/>
            <w:noWrap w:val="0"/>
            <w:vAlign w:val="center"/>
          </w:tcPr>
          <w:p w14:paraId="7857D390">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投标报价</w:t>
            </w:r>
          </w:p>
        </w:tc>
        <w:tc>
          <w:tcPr>
            <w:tcW w:w="5329" w:type="dxa"/>
            <w:noWrap w:val="0"/>
            <w:vAlign w:val="center"/>
          </w:tcPr>
          <w:p w14:paraId="2F29DAD4">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投标报价</w:t>
            </w:r>
            <w:r>
              <w:rPr>
                <w:rFonts w:hint="eastAsia" w:ascii="宋体" w:hAnsi="宋体" w:eastAsia="宋体" w:cs="宋体"/>
                <w:color w:val="auto"/>
                <w:kern w:val="0"/>
                <w:sz w:val="24"/>
                <w:highlight w:val="none"/>
                <w:lang w:val="zh-CN"/>
              </w:rPr>
              <w:t>在采购项目预算范围内</w:t>
            </w:r>
            <w:r>
              <w:rPr>
                <w:rFonts w:hint="eastAsia" w:ascii="宋体" w:hAnsi="宋体" w:eastAsia="宋体" w:cs="宋体"/>
                <w:color w:val="auto"/>
                <w:kern w:val="0"/>
                <w:sz w:val="24"/>
                <w:highlight w:val="none"/>
              </w:rPr>
              <w:t>，否则为不合格；</w:t>
            </w:r>
          </w:p>
        </w:tc>
      </w:tr>
      <w:tr w14:paraId="104EE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51" w:type="dxa"/>
            <w:vMerge w:val="continue"/>
            <w:noWrap w:val="0"/>
            <w:vAlign w:val="center"/>
          </w:tcPr>
          <w:p w14:paraId="3FC95B46">
            <w:pPr>
              <w:jc w:val="center"/>
              <w:rPr>
                <w:rFonts w:hint="eastAsia" w:ascii="宋体" w:hAnsi="宋体" w:eastAsia="宋体" w:cs="宋体"/>
                <w:color w:val="auto"/>
                <w:kern w:val="0"/>
                <w:sz w:val="24"/>
                <w:highlight w:val="none"/>
              </w:rPr>
            </w:pPr>
          </w:p>
        </w:tc>
        <w:tc>
          <w:tcPr>
            <w:tcW w:w="970" w:type="dxa"/>
            <w:vMerge w:val="continue"/>
            <w:noWrap w:val="0"/>
            <w:vAlign w:val="center"/>
          </w:tcPr>
          <w:p w14:paraId="76B1D5EE">
            <w:pPr>
              <w:rPr>
                <w:rFonts w:hint="eastAsia" w:ascii="宋体" w:hAnsi="宋体" w:eastAsia="宋体" w:cs="宋体"/>
                <w:color w:val="auto"/>
                <w:kern w:val="0"/>
                <w:sz w:val="24"/>
                <w:highlight w:val="none"/>
              </w:rPr>
            </w:pPr>
          </w:p>
        </w:tc>
        <w:tc>
          <w:tcPr>
            <w:tcW w:w="2389" w:type="dxa"/>
            <w:noWrap w:val="0"/>
            <w:vAlign w:val="center"/>
          </w:tcPr>
          <w:p w14:paraId="23B2EDB0">
            <w:pP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法定代表人身份证明及授权委托书</w:t>
            </w:r>
          </w:p>
        </w:tc>
        <w:tc>
          <w:tcPr>
            <w:tcW w:w="5329" w:type="dxa"/>
            <w:noWrap w:val="0"/>
            <w:vAlign w:val="center"/>
          </w:tcPr>
          <w:p w14:paraId="0FA6AE24">
            <w:pP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法定代表人身份证明及授权委托书有效，签字、盖章齐全，符合采购文件规定的格式，否则为不合格；</w:t>
            </w:r>
          </w:p>
        </w:tc>
      </w:tr>
      <w:tr w14:paraId="01FEF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51" w:type="dxa"/>
            <w:vMerge w:val="restart"/>
            <w:noWrap w:val="0"/>
            <w:vAlign w:val="center"/>
          </w:tcPr>
          <w:p w14:paraId="24BC5035">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970" w:type="dxa"/>
            <w:vMerge w:val="restart"/>
            <w:noWrap w:val="0"/>
            <w:vAlign w:val="center"/>
          </w:tcPr>
          <w:p w14:paraId="52AD8B26">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完整性</w:t>
            </w:r>
          </w:p>
          <w:p w14:paraId="25D886DA">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审查</w:t>
            </w:r>
          </w:p>
        </w:tc>
        <w:tc>
          <w:tcPr>
            <w:tcW w:w="2389" w:type="dxa"/>
            <w:noWrap w:val="0"/>
            <w:vAlign w:val="center"/>
          </w:tcPr>
          <w:p w14:paraId="5C42E749">
            <w:pP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响应文件的</w:t>
            </w:r>
            <w:r>
              <w:rPr>
                <w:rFonts w:hint="eastAsia" w:ascii="宋体" w:hAnsi="宋体" w:eastAsia="宋体" w:cs="宋体"/>
                <w:color w:val="auto"/>
                <w:kern w:val="0"/>
                <w:sz w:val="24"/>
                <w:highlight w:val="none"/>
              </w:rPr>
              <w:t>签署</w:t>
            </w:r>
          </w:p>
        </w:tc>
        <w:tc>
          <w:tcPr>
            <w:tcW w:w="5329" w:type="dxa"/>
            <w:noWrap w:val="0"/>
            <w:vAlign w:val="center"/>
          </w:tcPr>
          <w:p w14:paraId="41CC8BB1">
            <w:pP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响应文件签字、盖章齐全无遗漏，否则为不合格；</w:t>
            </w:r>
          </w:p>
        </w:tc>
      </w:tr>
      <w:tr w14:paraId="28B0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1" w:type="dxa"/>
            <w:vMerge w:val="continue"/>
            <w:noWrap w:val="0"/>
            <w:vAlign w:val="center"/>
          </w:tcPr>
          <w:p w14:paraId="41F18DD0">
            <w:pPr>
              <w:jc w:val="center"/>
              <w:rPr>
                <w:rFonts w:hint="eastAsia" w:ascii="宋体" w:hAnsi="宋体" w:eastAsia="宋体" w:cs="宋体"/>
                <w:color w:val="auto"/>
                <w:kern w:val="0"/>
                <w:sz w:val="24"/>
                <w:highlight w:val="none"/>
              </w:rPr>
            </w:pPr>
          </w:p>
        </w:tc>
        <w:tc>
          <w:tcPr>
            <w:tcW w:w="970" w:type="dxa"/>
            <w:vMerge w:val="continue"/>
            <w:noWrap w:val="0"/>
            <w:vAlign w:val="center"/>
          </w:tcPr>
          <w:p w14:paraId="34FE94F2">
            <w:pPr>
              <w:rPr>
                <w:rFonts w:hint="eastAsia" w:ascii="宋体" w:hAnsi="宋体" w:eastAsia="宋体" w:cs="宋体"/>
                <w:color w:val="auto"/>
                <w:kern w:val="0"/>
                <w:sz w:val="24"/>
                <w:highlight w:val="none"/>
              </w:rPr>
            </w:pPr>
          </w:p>
        </w:tc>
        <w:tc>
          <w:tcPr>
            <w:tcW w:w="2389" w:type="dxa"/>
            <w:noWrap w:val="0"/>
            <w:vAlign w:val="center"/>
          </w:tcPr>
          <w:p w14:paraId="76444030">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zh-CN"/>
              </w:rPr>
              <w:t>响应</w:t>
            </w:r>
            <w:r>
              <w:rPr>
                <w:rFonts w:hint="eastAsia" w:ascii="宋体" w:hAnsi="宋体" w:eastAsia="宋体" w:cs="宋体"/>
                <w:color w:val="auto"/>
                <w:kern w:val="0"/>
                <w:sz w:val="24"/>
                <w:highlight w:val="none"/>
                <w:lang w:val="zh-CN"/>
              </w:rPr>
              <w:t>文件内容</w:t>
            </w:r>
            <w:r>
              <w:rPr>
                <w:rFonts w:hint="eastAsia" w:ascii="宋体" w:hAnsi="宋体" w:eastAsia="宋体" w:cs="宋体"/>
                <w:color w:val="auto"/>
                <w:kern w:val="0"/>
                <w:sz w:val="24"/>
                <w:highlight w:val="none"/>
              </w:rPr>
              <w:t>完整性</w:t>
            </w:r>
          </w:p>
        </w:tc>
        <w:tc>
          <w:tcPr>
            <w:tcW w:w="5329" w:type="dxa"/>
            <w:noWrap w:val="0"/>
            <w:vAlign w:val="center"/>
          </w:tcPr>
          <w:p w14:paraId="7A0D5B8B">
            <w:pP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响应文件内容齐全、无遗漏，</w:t>
            </w:r>
            <w:r>
              <w:rPr>
                <w:rFonts w:hint="eastAsia" w:ascii="宋体" w:hAnsi="宋体" w:eastAsia="宋体" w:cs="宋体"/>
                <w:color w:val="auto"/>
                <w:kern w:val="0"/>
                <w:sz w:val="24"/>
                <w:highlight w:val="none"/>
              </w:rPr>
              <w:t>否则为不合格；</w:t>
            </w:r>
          </w:p>
        </w:tc>
      </w:tr>
      <w:tr w14:paraId="4CD9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51" w:type="dxa"/>
            <w:vMerge w:val="restart"/>
            <w:noWrap w:val="0"/>
            <w:vAlign w:val="center"/>
          </w:tcPr>
          <w:p w14:paraId="2F405F1D">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970" w:type="dxa"/>
            <w:vMerge w:val="restart"/>
            <w:noWrap w:val="0"/>
            <w:vAlign w:val="center"/>
          </w:tcPr>
          <w:p w14:paraId="0D8569D1">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采购文件的响应程度审查</w:t>
            </w:r>
          </w:p>
        </w:tc>
        <w:tc>
          <w:tcPr>
            <w:tcW w:w="2389" w:type="dxa"/>
            <w:noWrap w:val="0"/>
            <w:vAlign w:val="center"/>
          </w:tcPr>
          <w:p w14:paraId="0718E072">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投标响应</w:t>
            </w:r>
            <w:r>
              <w:rPr>
                <w:rFonts w:hint="eastAsia" w:ascii="宋体" w:hAnsi="宋体" w:eastAsia="宋体" w:cs="宋体"/>
                <w:color w:val="auto"/>
                <w:kern w:val="0"/>
                <w:sz w:val="24"/>
                <w:highlight w:val="none"/>
                <w:lang w:val="zh-CN"/>
              </w:rPr>
              <w:t>文件内容</w:t>
            </w:r>
            <w:r>
              <w:rPr>
                <w:rFonts w:hint="eastAsia" w:ascii="宋体" w:hAnsi="宋体" w:eastAsia="宋体" w:cs="宋体"/>
                <w:color w:val="auto"/>
                <w:sz w:val="24"/>
                <w:highlight w:val="none"/>
                <w:lang w:val="zh-CN"/>
              </w:rPr>
              <w:t>响应</w:t>
            </w:r>
            <w:r>
              <w:rPr>
                <w:rFonts w:hint="eastAsia" w:ascii="宋体" w:hAnsi="宋体" w:eastAsia="宋体" w:cs="宋体"/>
                <w:color w:val="auto"/>
                <w:sz w:val="24"/>
                <w:highlight w:val="none"/>
              </w:rPr>
              <w:t>性</w:t>
            </w:r>
          </w:p>
        </w:tc>
        <w:tc>
          <w:tcPr>
            <w:tcW w:w="5329" w:type="dxa"/>
            <w:noWrap w:val="0"/>
            <w:vAlign w:val="center"/>
          </w:tcPr>
          <w:p w14:paraId="6DE2C389">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对采购文件规定的内容全部作出响应，否则为不合格；</w:t>
            </w:r>
          </w:p>
        </w:tc>
      </w:tr>
      <w:tr w14:paraId="1396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51" w:type="dxa"/>
            <w:vMerge w:val="continue"/>
            <w:noWrap w:val="0"/>
            <w:vAlign w:val="center"/>
          </w:tcPr>
          <w:p w14:paraId="390A94AF">
            <w:pPr>
              <w:rPr>
                <w:rFonts w:hint="eastAsia" w:ascii="宋体" w:hAnsi="宋体" w:eastAsia="宋体" w:cs="宋体"/>
                <w:color w:val="auto"/>
                <w:kern w:val="0"/>
                <w:sz w:val="24"/>
                <w:highlight w:val="none"/>
              </w:rPr>
            </w:pPr>
          </w:p>
        </w:tc>
        <w:tc>
          <w:tcPr>
            <w:tcW w:w="970" w:type="dxa"/>
            <w:vMerge w:val="continue"/>
            <w:noWrap w:val="0"/>
            <w:vAlign w:val="center"/>
          </w:tcPr>
          <w:p w14:paraId="3FC1277E">
            <w:pPr>
              <w:rPr>
                <w:rFonts w:hint="eastAsia" w:ascii="宋体" w:hAnsi="宋体" w:eastAsia="宋体" w:cs="宋体"/>
                <w:color w:val="auto"/>
                <w:kern w:val="0"/>
                <w:sz w:val="24"/>
                <w:highlight w:val="none"/>
              </w:rPr>
            </w:pPr>
          </w:p>
        </w:tc>
        <w:tc>
          <w:tcPr>
            <w:tcW w:w="2389" w:type="dxa"/>
            <w:noWrap w:val="0"/>
            <w:vAlign w:val="center"/>
          </w:tcPr>
          <w:p w14:paraId="1C50899F">
            <w:pP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质量技术</w:t>
            </w:r>
          </w:p>
        </w:tc>
        <w:tc>
          <w:tcPr>
            <w:tcW w:w="5329" w:type="dxa"/>
            <w:noWrap w:val="0"/>
            <w:vAlign w:val="center"/>
          </w:tcPr>
          <w:p w14:paraId="7263E3A5">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满足采购文件提出的质量、技术要求，否则为不合格；</w:t>
            </w:r>
          </w:p>
        </w:tc>
      </w:tr>
      <w:tr w14:paraId="791FD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51" w:type="dxa"/>
            <w:vMerge w:val="continue"/>
            <w:noWrap w:val="0"/>
            <w:vAlign w:val="center"/>
          </w:tcPr>
          <w:p w14:paraId="3E12935E">
            <w:pPr>
              <w:rPr>
                <w:rFonts w:hint="eastAsia" w:ascii="宋体" w:hAnsi="宋体" w:eastAsia="宋体" w:cs="宋体"/>
                <w:color w:val="auto"/>
                <w:kern w:val="0"/>
                <w:sz w:val="24"/>
                <w:highlight w:val="none"/>
              </w:rPr>
            </w:pPr>
          </w:p>
        </w:tc>
        <w:tc>
          <w:tcPr>
            <w:tcW w:w="970" w:type="dxa"/>
            <w:vMerge w:val="continue"/>
            <w:noWrap w:val="0"/>
            <w:vAlign w:val="center"/>
          </w:tcPr>
          <w:p w14:paraId="387C4B73">
            <w:pPr>
              <w:rPr>
                <w:rFonts w:hint="eastAsia" w:ascii="宋体" w:hAnsi="宋体" w:eastAsia="宋体" w:cs="宋体"/>
                <w:color w:val="auto"/>
                <w:kern w:val="0"/>
                <w:sz w:val="24"/>
                <w:highlight w:val="none"/>
              </w:rPr>
            </w:pPr>
          </w:p>
        </w:tc>
        <w:tc>
          <w:tcPr>
            <w:tcW w:w="2389" w:type="dxa"/>
            <w:noWrap w:val="0"/>
            <w:vAlign w:val="center"/>
          </w:tcPr>
          <w:p w14:paraId="736F66D5">
            <w:pP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服务期限</w:t>
            </w:r>
          </w:p>
        </w:tc>
        <w:tc>
          <w:tcPr>
            <w:tcW w:w="5329" w:type="dxa"/>
            <w:noWrap w:val="0"/>
            <w:vAlign w:val="center"/>
          </w:tcPr>
          <w:p w14:paraId="5C2E3C33">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满足采购文件规定，否则为不合格；</w:t>
            </w:r>
          </w:p>
        </w:tc>
      </w:tr>
      <w:tr w14:paraId="5D7B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51" w:type="dxa"/>
            <w:vMerge w:val="continue"/>
            <w:noWrap w:val="0"/>
            <w:vAlign w:val="center"/>
          </w:tcPr>
          <w:p w14:paraId="3E61DAF6">
            <w:pPr>
              <w:rPr>
                <w:rFonts w:hint="eastAsia" w:ascii="宋体" w:hAnsi="宋体" w:eastAsia="宋体" w:cs="宋体"/>
                <w:color w:val="auto"/>
                <w:kern w:val="0"/>
                <w:sz w:val="24"/>
                <w:highlight w:val="none"/>
              </w:rPr>
            </w:pPr>
          </w:p>
        </w:tc>
        <w:tc>
          <w:tcPr>
            <w:tcW w:w="970" w:type="dxa"/>
            <w:vMerge w:val="continue"/>
            <w:noWrap w:val="0"/>
            <w:vAlign w:val="center"/>
          </w:tcPr>
          <w:p w14:paraId="0B3BF5F5">
            <w:pPr>
              <w:rPr>
                <w:rFonts w:hint="eastAsia" w:ascii="宋体" w:hAnsi="宋体" w:eastAsia="宋体" w:cs="宋体"/>
                <w:color w:val="auto"/>
                <w:kern w:val="0"/>
                <w:sz w:val="24"/>
                <w:highlight w:val="none"/>
              </w:rPr>
            </w:pPr>
          </w:p>
        </w:tc>
        <w:tc>
          <w:tcPr>
            <w:tcW w:w="2389" w:type="dxa"/>
            <w:noWrap w:val="0"/>
            <w:vAlign w:val="center"/>
          </w:tcPr>
          <w:p w14:paraId="6A17C694">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w:t>
            </w:r>
            <w:r>
              <w:rPr>
                <w:rFonts w:hint="eastAsia" w:ascii="宋体" w:hAnsi="宋体" w:eastAsia="宋体" w:cs="宋体"/>
                <w:color w:val="auto"/>
                <w:kern w:val="0"/>
                <w:sz w:val="24"/>
                <w:highlight w:val="none"/>
                <w:lang w:val="zh-CN"/>
              </w:rPr>
              <w:t>文件</w:t>
            </w:r>
            <w:r>
              <w:rPr>
                <w:rFonts w:hint="eastAsia" w:ascii="宋体" w:hAnsi="宋体" w:eastAsia="宋体" w:cs="宋体"/>
                <w:color w:val="auto"/>
                <w:kern w:val="0"/>
                <w:sz w:val="24"/>
                <w:highlight w:val="none"/>
              </w:rPr>
              <w:t>有效期</w:t>
            </w:r>
          </w:p>
        </w:tc>
        <w:tc>
          <w:tcPr>
            <w:tcW w:w="5329" w:type="dxa"/>
            <w:noWrap w:val="0"/>
            <w:vAlign w:val="center"/>
          </w:tcPr>
          <w:p w14:paraId="202CB7D1">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满足采购文件规定，否则为不合格；</w:t>
            </w:r>
          </w:p>
        </w:tc>
      </w:tr>
      <w:tr w14:paraId="43C4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51" w:type="dxa"/>
            <w:vMerge w:val="continue"/>
            <w:noWrap w:val="0"/>
            <w:vAlign w:val="center"/>
          </w:tcPr>
          <w:p w14:paraId="062845DA">
            <w:pPr>
              <w:rPr>
                <w:rFonts w:hint="eastAsia" w:ascii="宋体" w:hAnsi="宋体" w:eastAsia="宋体" w:cs="宋体"/>
                <w:color w:val="auto"/>
                <w:kern w:val="0"/>
                <w:sz w:val="24"/>
                <w:highlight w:val="none"/>
              </w:rPr>
            </w:pPr>
          </w:p>
        </w:tc>
        <w:tc>
          <w:tcPr>
            <w:tcW w:w="970" w:type="dxa"/>
            <w:vMerge w:val="continue"/>
            <w:noWrap w:val="0"/>
            <w:vAlign w:val="center"/>
          </w:tcPr>
          <w:p w14:paraId="6A0381B7">
            <w:pPr>
              <w:rPr>
                <w:rFonts w:hint="eastAsia" w:ascii="宋体" w:hAnsi="宋体" w:eastAsia="宋体" w:cs="宋体"/>
                <w:color w:val="auto"/>
                <w:kern w:val="0"/>
                <w:sz w:val="24"/>
                <w:highlight w:val="none"/>
              </w:rPr>
            </w:pPr>
          </w:p>
        </w:tc>
        <w:tc>
          <w:tcPr>
            <w:tcW w:w="2389" w:type="dxa"/>
            <w:noWrap w:val="0"/>
            <w:vAlign w:val="center"/>
          </w:tcPr>
          <w:p w14:paraId="0CFEE8AE">
            <w:pP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其他</w:t>
            </w:r>
          </w:p>
        </w:tc>
        <w:tc>
          <w:tcPr>
            <w:tcW w:w="5329" w:type="dxa"/>
            <w:noWrap w:val="0"/>
            <w:vAlign w:val="center"/>
          </w:tcPr>
          <w:p w14:paraId="3B4796BF">
            <w:pP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满足</w:t>
            </w:r>
            <w:r>
              <w:rPr>
                <w:rFonts w:hint="eastAsia" w:ascii="宋体" w:hAnsi="宋体" w:eastAsia="宋体" w:cs="宋体"/>
                <w:color w:val="auto"/>
                <w:kern w:val="0"/>
                <w:sz w:val="24"/>
                <w:highlight w:val="none"/>
              </w:rPr>
              <w:t>采购文件要求，否则为不合格。</w:t>
            </w:r>
          </w:p>
        </w:tc>
      </w:tr>
    </w:tbl>
    <w:p w14:paraId="5F06FFF6">
      <w:pPr>
        <w:spacing w:line="360" w:lineRule="auto"/>
        <w:outlineLvl w:val="1"/>
        <w:rPr>
          <w:rFonts w:hint="eastAsia" w:ascii="宋体" w:hAnsi="宋体" w:cs="宋体"/>
          <w:b/>
          <w:bCs/>
          <w:color w:val="auto"/>
          <w:sz w:val="24"/>
          <w:highlight w:val="none"/>
        </w:rPr>
      </w:pPr>
      <w:bookmarkStart w:id="573" w:name="_Toc11136"/>
      <w:bookmarkStart w:id="574" w:name="_Toc14047"/>
      <w:bookmarkStart w:id="575" w:name="_Toc10807"/>
      <w:r>
        <w:rPr>
          <w:rFonts w:hint="eastAsia" w:ascii="宋体" w:hAnsi="宋体" w:cs="宋体"/>
          <w:color w:val="auto"/>
          <w:kern w:val="0"/>
          <w:sz w:val="24"/>
          <w:szCs w:val="24"/>
          <w:highlight w:val="none"/>
        </w:rPr>
        <w:t>注：</w:t>
      </w:r>
      <w:r>
        <w:rPr>
          <w:rFonts w:hint="eastAsia" w:ascii="宋体" w:hAnsi="宋体" w:cs="宋体"/>
          <w:color w:val="auto"/>
          <w:sz w:val="24"/>
          <w:szCs w:val="24"/>
          <w:highlight w:val="none"/>
        </w:rPr>
        <w:t>初步评审</w:t>
      </w:r>
      <w:r>
        <w:rPr>
          <w:rFonts w:hint="eastAsia" w:ascii="宋体" w:hAnsi="宋体" w:cs="宋体"/>
          <w:color w:val="auto"/>
          <w:kern w:val="0"/>
          <w:sz w:val="24"/>
          <w:szCs w:val="24"/>
          <w:highlight w:val="none"/>
        </w:rPr>
        <w:t>内容，有一项不通过者，视为供应商初步评审不通过，未通过初审的其他投标（响应）文件将按照无效响应处理。</w:t>
      </w:r>
      <w:bookmarkStart w:id="576" w:name="_Toc32345"/>
      <w:bookmarkStart w:id="577" w:name="_Toc16878"/>
      <w:r>
        <w:rPr>
          <w:rFonts w:hint="eastAsia" w:ascii="宋体" w:hAnsi="宋体" w:cs="宋体"/>
          <w:b/>
          <w:bCs/>
          <w:color w:val="auto"/>
          <w:sz w:val="24"/>
          <w:highlight w:val="none"/>
        </w:rPr>
        <w:br w:type="page"/>
      </w:r>
      <w:r>
        <w:rPr>
          <w:rFonts w:hint="eastAsia" w:ascii="宋体" w:hAnsi="宋体" w:cs="宋体"/>
          <w:b/>
          <w:bCs/>
          <w:color w:val="auto"/>
          <w:sz w:val="24"/>
          <w:highlight w:val="none"/>
        </w:rPr>
        <w:t>四、详细评审</w:t>
      </w:r>
      <w:bookmarkEnd w:id="573"/>
      <w:bookmarkEnd w:id="574"/>
      <w:bookmarkEnd w:id="575"/>
      <w:bookmarkEnd w:id="576"/>
      <w:bookmarkEnd w:id="577"/>
    </w:p>
    <w:tbl>
      <w:tblPr>
        <w:tblStyle w:val="36"/>
        <w:tblW w:w="9127" w:type="dxa"/>
        <w:tblInd w:w="19" w:type="dxa"/>
        <w:tblLayout w:type="fixed"/>
        <w:tblCellMar>
          <w:top w:w="0" w:type="dxa"/>
          <w:left w:w="0" w:type="dxa"/>
          <w:bottom w:w="0" w:type="dxa"/>
          <w:right w:w="0" w:type="dxa"/>
        </w:tblCellMar>
      </w:tblPr>
      <w:tblGrid>
        <w:gridCol w:w="542"/>
        <w:gridCol w:w="1258"/>
        <w:gridCol w:w="686"/>
        <w:gridCol w:w="6641"/>
      </w:tblGrid>
      <w:tr w14:paraId="3EC0C256">
        <w:tblPrEx>
          <w:tblCellMar>
            <w:top w:w="0" w:type="dxa"/>
            <w:left w:w="0" w:type="dxa"/>
            <w:bottom w:w="0" w:type="dxa"/>
            <w:right w:w="0" w:type="dxa"/>
          </w:tblCellMar>
        </w:tblPrEx>
        <w:trPr>
          <w:trHeight w:val="289" w:hRule="atLeast"/>
        </w:trPr>
        <w:tc>
          <w:tcPr>
            <w:tcW w:w="5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5630D99">
            <w:pPr>
              <w:pStyle w:val="12"/>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序号</w:t>
            </w:r>
          </w:p>
        </w:tc>
        <w:tc>
          <w:tcPr>
            <w:tcW w:w="1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E90AB1C">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评分项</w:t>
            </w:r>
          </w:p>
        </w:tc>
        <w:tc>
          <w:tcPr>
            <w:tcW w:w="6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721F26D">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分值</w:t>
            </w:r>
          </w:p>
          <w:p w14:paraId="2E8075B7">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（分）</w:t>
            </w:r>
          </w:p>
        </w:tc>
        <w:tc>
          <w:tcPr>
            <w:tcW w:w="66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49CDE80">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评标标准</w:t>
            </w:r>
          </w:p>
        </w:tc>
      </w:tr>
      <w:tr w14:paraId="6F60B2F9">
        <w:tblPrEx>
          <w:tblCellMar>
            <w:top w:w="0" w:type="dxa"/>
            <w:left w:w="0" w:type="dxa"/>
            <w:bottom w:w="0" w:type="dxa"/>
            <w:right w:w="0" w:type="dxa"/>
          </w:tblCellMar>
        </w:tblPrEx>
        <w:trPr>
          <w:trHeight w:val="1001" w:hRule="atLeast"/>
        </w:trPr>
        <w:tc>
          <w:tcPr>
            <w:tcW w:w="542" w:type="dxa"/>
            <w:tcBorders>
              <w:top w:val="single" w:color="000000" w:sz="4" w:space="0"/>
              <w:left w:val="single" w:color="000000" w:sz="4" w:space="0"/>
              <w:right w:val="single" w:color="000000" w:sz="4" w:space="0"/>
            </w:tcBorders>
            <w:noWrap w:val="0"/>
            <w:tcMar>
              <w:top w:w="12" w:type="dxa"/>
              <w:left w:w="12" w:type="dxa"/>
              <w:right w:w="12" w:type="dxa"/>
            </w:tcMar>
            <w:vAlign w:val="center"/>
          </w:tcPr>
          <w:p w14:paraId="411CEFA2">
            <w:pPr>
              <w:widowControl/>
              <w:numPr>
                <w:ilvl w:val="0"/>
                <w:numId w:val="9"/>
              </w:numPr>
              <w:tabs>
                <w:tab w:val="left" w:pos="397"/>
              </w:tabs>
              <w:ind w:left="454"/>
              <w:jc w:val="center"/>
              <w:textAlignment w:val="center"/>
              <w:rPr>
                <w:rFonts w:hint="eastAsia" w:ascii="宋体" w:hAnsi="宋体" w:eastAsia="宋体" w:cs="宋体"/>
                <w:color w:val="auto"/>
                <w:kern w:val="0"/>
                <w:sz w:val="24"/>
                <w:highlight w:val="none"/>
                <w:lang w:bidi="ar"/>
              </w:rPr>
            </w:pPr>
          </w:p>
        </w:tc>
        <w:tc>
          <w:tcPr>
            <w:tcW w:w="1258" w:type="dxa"/>
            <w:tcBorders>
              <w:top w:val="single" w:color="000000" w:sz="4" w:space="0"/>
              <w:left w:val="single" w:color="000000" w:sz="4" w:space="0"/>
              <w:right w:val="single" w:color="000000" w:sz="4" w:space="0"/>
            </w:tcBorders>
            <w:noWrap w:val="0"/>
            <w:tcMar>
              <w:top w:w="12" w:type="dxa"/>
              <w:left w:w="12" w:type="dxa"/>
              <w:right w:w="12" w:type="dxa"/>
            </w:tcMar>
            <w:vAlign w:val="center"/>
          </w:tcPr>
          <w:p w14:paraId="4CB8A727">
            <w:pPr>
              <w:tabs>
                <w:tab w:val="left" w:pos="6300"/>
              </w:tabs>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w:t>
            </w:r>
          </w:p>
          <w:p w14:paraId="2F10767E">
            <w:pPr>
              <w:tabs>
                <w:tab w:val="left" w:pos="6300"/>
              </w:tabs>
              <w:snapToGrid w:val="0"/>
              <w:jc w:val="center"/>
              <w:rPr>
                <w:rFonts w:hint="eastAsia" w:ascii="宋体" w:hAnsi="宋体" w:eastAsia="宋体" w:cs="宋体"/>
                <w:color w:val="auto"/>
                <w:kern w:val="0"/>
                <w:sz w:val="24"/>
                <w:highlight w:val="none"/>
                <w:lang w:bidi="ar"/>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ascii="宋体" w:hAnsi="宋体" w:eastAsia="宋体" w:cs="宋体"/>
                <w:color w:val="auto"/>
                <w:sz w:val="24"/>
                <w:highlight w:val="none"/>
              </w:rPr>
              <w:t>0</w:t>
            </w:r>
            <w:r>
              <w:rPr>
                <w:rFonts w:hint="eastAsia" w:ascii="宋体" w:hAnsi="宋体" w:eastAsia="宋体" w:cs="宋体"/>
                <w:color w:val="auto"/>
                <w:sz w:val="24"/>
                <w:highlight w:val="none"/>
              </w:rPr>
              <w:t>分）</w:t>
            </w:r>
          </w:p>
        </w:tc>
        <w:tc>
          <w:tcPr>
            <w:tcW w:w="686"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14:paraId="731A97A7">
            <w:pPr>
              <w:widowControl/>
              <w:jc w:val="center"/>
              <w:textAlignment w:val="center"/>
              <w:rPr>
                <w:rFonts w:ascii="宋体" w:hAnsi="宋体" w:eastAsia="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ascii="宋体" w:hAnsi="宋体" w:eastAsia="宋体" w:cs="宋体"/>
                <w:color w:val="auto"/>
                <w:kern w:val="0"/>
                <w:sz w:val="24"/>
                <w:highlight w:val="none"/>
                <w:lang w:bidi="ar"/>
              </w:rPr>
              <w:t>0</w:t>
            </w:r>
          </w:p>
        </w:tc>
        <w:tc>
          <w:tcPr>
            <w:tcW w:w="6641"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14:paraId="71B283FD">
            <w:pPr>
              <w:widowControl/>
              <w:ind w:left="105" w:leftChars="5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满足招标文件要求且报价最低的供应商的价格为评标基准价，其价格分为满分，其他供应商的价格得分按公式计算：</w:t>
            </w:r>
          </w:p>
          <w:p w14:paraId="772C6A74">
            <w:pPr>
              <w:widowControl/>
              <w:ind w:left="105" w:leftChars="5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投标报价得分=（评标基准价/投标报价）×</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%×100</w:t>
            </w:r>
          </w:p>
        </w:tc>
      </w:tr>
      <w:tr w14:paraId="23A74166">
        <w:tblPrEx>
          <w:tblCellMar>
            <w:top w:w="0" w:type="dxa"/>
            <w:left w:w="0" w:type="dxa"/>
            <w:bottom w:w="0" w:type="dxa"/>
            <w:right w:w="0" w:type="dxa"/>
          </w:tblCellMar>
        </w:tblPrEx>
        <w:trPr>
          <w:trHeight w:val="1010" w:hRule="atLeast"/>
        </w:trPr>
        <w:tc>
          <w:tcPr>
            <w:tcW w:w="542"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2520BA43">
            <w:pPr>
              <w:widowControl/>
              <w:numPr>
                <w:ilvl w:val="0"/>
                <w:numId w:val="9"/>
              </w:numPr>
              <w:tabs>
                <w:tab w:val="left" w:pos="397"/>
              </w:tabs>
              <w:ind w:left="454"/>
              <w:jc w:val="center"/>
              <w:textAlignment w:val="center"/>
              <w:rPr>
                <w:rFonts w:hint="eastAsia" w:ascii="宋体" w:hAnsi="宋体" w:eastAsia="宋体" w:cs="宋体"/>
                <w:color w:val="auto"/>
                <w:kern w:val="0"/>
                <w:sz w:val="24"/>
                <w:highlight w:val="none"/>
                <w:lang w:bidi="ar"/>
              </w:rPr>
            </w:pPr>
          </w:p>
        </w:tc>
        <w:tc>
          <w:tcPr>
            <w:tcW w:w="125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54D98763">
            <w:pPr>
              <w:widowControl/>
              <w:ind w:left="105" w:leftChars="50"/>
              <w:jc w:val="center"/>
              <w:rPr>
                <w:rFonts w:hint="eastAsia" w:ascii="宋体" w:hAnsi="宋体" w:eastAsia="宋体" w:cs="宋体"/>
                <w:color w:val="auto"/>
                <w:sz w:val="24"/>
                <w:highlight w:val="none"/>
              </w:rPr>
            </w:pPr>
            <w:r>
              <w:rPr>
                <w:rFonts w:hint="eastAsia" w:ascii="宋体" w:hAnsi="宋体" w:eastAsia="宋体" w:cs="宋体"/>
                <w:color w:val="auto"/>
                <w:kern w:val="20"/>
                <w:sz w:val="24"/>
                <w:highlight w:val="none"/>
              </w:rPr>
              <w:t>企业业绩 （10分）</w:t>
            </w:r>
          </w:p>
        </w:tc>
        <w:tc>
          <w:tcPr>
            <w:tcW w:w="686"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1CADDA06">
            <w:pPr>
              <w:widowControl/>
              <w:jc w:val="center"/>
              <w:rPr>
                <w:rFonts w:ascii="宋体" w:hAnsi="宋体" w:eastAsia="宋体" w:cs="宋体"/>
                <w:color w:val="auto"/>
                <w:kern w:val="0"/>
                <w:sz w:val="24"/>
                <w:highlight w:val="none"/>
                <w:lang w:bidi="ar"/>
              </w:rPr>
            </w:pPr>
            <w:r>
              <w:rPr>
                <w:rFonts w:hint="eastAsia" w:ascii="宋体" w:hAnsi="宋体" w:eastAsia="宋体" w:cs="宋体"/>
                <w:color w:val="auto"/>
                <w:kern w:val="20"/>
                <w:sz w:val="24"/>
                <w:highlight w:val="none"/>
              </w:rPr>
              <w:t>10</w:t>
            </w:r>
          </w:p>
        </w:tc>
        <w:tc>
          <w:tcPr>
            <w:tcW w:w="6641"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17111D56">
            <w:pPr>
              <w:widowControl/>
              <w:ind w:left="105" w:leftChars="5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供应商提供近三年（2022年1月至今）完成类似</w:t>
            </w:r>
            <w:r>
              <w:rPr>
                <w:rFonts w:hint="eastAsia" w:ascii="宋体" w:hAnsi="宋体" w:cs="宋体"/>
                <w:color w:val="auto"/>
                <w:sz w:val="24"/>
                <w:highlight w:val="none"/>
                <w:lang w:val="en-US" w:eastAsia="zh-CN"/>
              </w:rPr>
              <w:t>服务</w:t>
            </w:r>
            <w:r>
              <w:rPr>
                <w:rFonts w:hint="eastAsia" w:ascii="宋体" w:hAnsi="宋体" w:eastAsia="宋体" w:cs="宋体"/>
                <w:color w:val="auto"/>
                <w:sz w:val="24"/>
                <w:highlight w:val="none"/>
              </w:rPr>
              <w:t>业绩和经验。每提供一项得2分，最多得10分。</w:t>
            </w:r>
          </w:p>
          <w:p w14:paraId="46DEAAF5">
            <w:pPr>
              <w:widowControl/>
              <w:ind w:left="105" w:leftChars="5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（提供合同复印件</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rPr>
              <w:t>中标通知书复印件等，证明材料加盖公章，未提供不得分）</w:t>
            </w:r>
          </w:p>
        </w:tc>
      </w:tr>
      <w:tr w14:paraId="0170E4D4">
        <w:tblPrEx>
          <w:tblCellMar>
            <w:top w:w="0" w:type="dxa"/>
            <w:left w:w="0" w:type="dxa"/>
            <w:bottom w:w="0" w:type="dxa"/>
            <w:right w:w="0" w:type="dxa"/>
          </w:tblCellMar>
        </w:tblPrEx>
        <w:trPr>
          <w:trHeight w:val="1438" w:hRule="atLeast"/>
        </w:trPr>
        <w:tc>
          <w:tcPr>
            <w:tcW w:w="542"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7C902871">
            <w:pPr>
              <w:widowControl/>
              <w:numPr>
                <w:ilvl w:val="0"/>
                <w:numId w:val="9"/>
              </w:numPr>
              <w:tabs>
                <w:tab w:val="left" w:pos="397"/>
              </w:tabs>
              <w:ind w:left="454"/>
              <w:jc w:val="center"/>
              <w:textAlignment w:val="center"/>
              <w:rPr>
                <w:rFonts w:ascii="宋体" w:hAnsi="宋体" w:eastAsia="宋体" w:cs="宋体"/>
                <w:color w:val="auto"/>
                <w:kern w:val="0"/>
                <w:sz w:val="24"/>
                <w:highlight w:val="none"/>
                <w:lang w:bidi="ar"/>
              </w:rPr>
            </w:pPr>
          </w:p>
        </w:tc>
        <w:tc>
          <w:tcPr>
            <w:tcW w:w="1258"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38BEF23D">
            <w:pPr>
              <w:widowControl/>
              <w:tabs>
                <w:tab w:val="left" w:pos="4830"/>
              </w:tabs>
              <w:ind w:left="105" w:leftChars="50"/>
              <w:jc w:val="center"/>
              <w:rPr>
                <w:rFonts w:hint="eastAsia" w:ascii="宋体" w:hAnsi="宋体" w:eastAsia="宋体" w:cs="宋体"/>
                <w:color w:val="auto"/>
                <w:kern w:val="20"/>
                <w:sz w:val="24"/>
                <w:highlight w:val="none"/>
              </w:rPr>
            </w:pPr>
            <w:r>
              <w:rPr>
                <w:rFonts w:hint="eastAsia" w:ascii="宋体" w:hAnsi="宋体" w:eastAsia="宋体" w:cs="宋体"/>
                <w:color w:val="auto"/>
                <w:kern w:val="20"/>
                <w:sz w:val="24"/>
                <w:highlight w:val="none"/>
              </w:rPr>
              <w:t>团队管理（</w:t>
            </w:r>
            <w:r>
              <w:rPr>
                <w:rFonts w:hint="eastAsia" w:ascii="宋体" w:hAnsi="宋体" w:cs="宋体"/>
                <w:color w:val="auto"/>
                <w:kern w:val="20"/>
                <w:sz w:val="24"/>
                <w:highlight w:val="none"/>
                <w:lang w:val="en-US" w:eastAsia="zh-CN"/>
              </w:rPr>
              <w:t>12</w:t>
            </w:r>
            <w:r>
              <w:rPr>
                <w:rFonts w:hint="eastAsia" w:ascii="宋体" w:hAnsi="宋体" w:eastAsia="宋体" w:cs="宋体"/>
                <w:color w:val="auto"/>
                <w:kern w:val="20"/>
                <w:sz w:val="24"/>
                <w:highlight w:val="none"/>
              </w:rPr>
              <w:t>分）</w:t>
            </w:r>
          </w:p>
        </w:tc>
        <w:tc>
          <w:tcPr>
            <w:tcW w:w="686"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7665FDFD">
            <w:pPr>
              <w:widowControl/>
              <w:spacing w:line="260" w:lineRule="exact"/>
              <w:jc w:val="center"/>
              <w:rPr>
                <w:rFonts w:hint="default" w:ascii="宋体" w:hAnsi="宋体" w:eastAsia="宋体" w:cs="宋体"/>
                <w:color w:val="auto"/>
                <w:kern w:val="20"/>
                <w:sz w:val="24"/>
                <w:highlight w:val="none"/>
                <w:lang w:val="en-US" w:eastAsia="zh-CN"/>
              </w:rPr>
            </w:pPr>
            <w:r>
              <w:rPr>
                <w:rFonts w:hint="eastAsia" w:ascii="宋体" w:hAnsi="宋体" w:cs="宋体"/>
                <w:color w:val="auto"/>
                <w:spacing w:val="-6"/>
                <w:kern w:val="0"/>
                <w:sz w:val="24"/>
                <w:highlight w:val="none"/>
                <w:lang w:val="en-US" w:eastAsia="zh-CN" w:bidi="ar"/>
              </w:rPr>
              <w:t>12</w:t>
            </w:r>
          </w:p>
        </w:tc>
        <w:tc>
          <w:tcPr>
            <w:tcW w:w="6641"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4D897E0C">
            <w:pPr>
              <w:widowControl/>
              <w:ind w:left="105" w:leftChars="5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供应商针对本项目配备项目专业人员，项目专业人员拥有专业知识或相关工作经验常驻防疫队伍总人数不少于 6 名</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得4分；具有执业兽医至少 1 名得2分、 具有中级兽医师至少1名得2分、具有初级兽医师至少1名得2分、具有助理兽医师至少1名得2分，本项最多得12分，未提供不得分。</w:t>
            </w:r>
          </w:p>
        </w:tc>
      </w:tr>
      <w:tr w14:paraId="2CEB2A4B">
        <w:tblPrEx>
          <w:tblCellMar>
            <w:top w:w="0" w:type="dxa"/>
            <w:left w:w="0" w:type="dxa"/>
            <w:bottom w:w="0" w:type="dxa"/>
            <w:right w:w="0" w:type="dxa"/>
          </w:tblCellMar>
        </w:tblPrEx>
        <w:trPr>
          <w:trHeight w:val="449" w:hRule="atLeast"/>
        </w:trPr>
        <w:tc>
          <w:tcPr>
            <w:tcW w:w="542" w:type="dxa"/>
            <w:tcBorders>
              <w:left w:val="single" w:color="000000" w:sz="4" w:space="0"/>
              <w:bottom w:val="single" w:color="auto" w:sz="4" w:space="0"/>
              <w:right w:val="single" w:color="000000" w:sz="4" w:space="0"/>
            </w:tcBorders>
            <w:noWrap w:val="0"/>
            <w:tcMar>
              <w:top w:w="12" w:type="dxa"/>
              <w:left w:w="12" w:type="dxa"/>
              <w:right w:w="12" w:type="dxa"/>
            </w:tcMar>
            <w:vAlign w:val="center"/>
          </w:tcPr>
          <w:p w14:paraId="0C10189F">
            <w:pPr>
              <w:widowControl/>
              <w:numPr>
                <w:ilvl w:val="0"/>
                <w:numId w:val="9"/>
              </w:numPr>
              <w:tabs>
                <w:tab w:val="left" w:pos="397"/>
              </w:tabs>
              <w:ind w:left="454"/>
              <w:jc w:val="center"/>
              <w:textAlignment w:val="center"/>
              <w:rPr>
                <w:rFonts w:hint="eastAsia" w:ascii="宋体" w:hAnsi="宋体" w:eastAsia="宋体" w:cs="宋体"/>
                <w:color w:val="auto"/>
                <w:kern w:val="0"/>
                <w:sz w:val="24"/>
                <w:highlight w:val="none"/>
                <w:lang w:bidi="ar"/>
              </w:rPr>
            </w:pPr>
          </w:p>
        </w:tc>
        <w:tc>
          <w:tcPr>
            <w:tcW w:w="1258" w:type="dxa"/>
            <w:tcBorders>
              <w:left w:val="single" w:color="000000" w:sz="4" w:space="0"/>
              <w:bottom w:val="single" w:color="auto" w:sz="4" w:space="0"/>
              <w:right w:val="single" w:color="000000" w:sz="4" w:space="0"/>
            </w:tcBorders>
            <w:noWrap w:val="0"/>
            <w:tcMar>
              <w:top w:w="12" w:type="dxa"/>
              <w:left w:w="12" w:type="dxa"/>
              <w:right w:w="12" w:type="dxa"/>
            </w:tcMar>
            <w:vAlign w:val="center"/>
          </w:tcPr>
          <w:p w14:paraId="679CE17B">
            <w:pPr>
              <w:widowControl/>
              <w:tabs>
                <w:tab w:val="left" w:pos="4830"/>
              </w:tabs>
              <w:ind w:left="105" w:leftChars="50"/>
              <w:rPr>
                <w:rFonts w:ascii="宋体" w:hAnsi="宋体" w:eastAsia="宋体" w:cs="宋体"/>
                <w:color w:val="auto"/>
                <w:kern w:val="20"/>
                <w:sz w:val="24"/>
                <w:highlight w:val="none"/>
              </w:rPr>
            </w:pPr>
            <w:r>
              <w:rPr>
                <w:rFonts w:hint="eastAsia" w:ascii="宋体" w:hAnsi="宋体" w:eastAsia="宋体" w:cs="宋体"/>
                <w:color w:val="auto"/>
                <w:kern w:val="20"/>
                <w:sz w:val="24"/>
                <w:highlight w:val="none"/>
              </w:rPr>
              <w:t>服务方案</w:t>
            </w:r>
          </w:p>
          <w:p w14:paraId="30C96CC0">
            <w:pPr>
              <w:widowControl/>
              <w:tabs>
                <w:tab w:val="left" w:pos="4830"/>
              </w:tabs>
              <w:ind w:left="105" w:leftChars="50"/>
              <w:rPr>
                <w:rFonts w:hint="eastAsia" w:ascii="宋体" w:hAnsi="宋体" w:eastAsia="宋体" w:cs="宋体"/>
                <w:color w:val="auto"/>
                <w:kern w:val="20"/>
                <w:sz w:val="24"/>
                <w:highlight w:val="none"/>
              </w:rPr>
            </w:pPr>
            <w:r>
              <w:rPr>
                <w:rFonts w:hint="eastAsia" w:ascii="宋体" w:hAnsi="宋体" w:eastAsia="宋体" w:cs="宋体"/>
                <w:color w:val="auto"/>
                <w:kern w:val="20"/>
                <w:sz w:val="24"/>
                <w:highlight w:val="none"/>
              </w:rPr>
              <w:t>（</w:t>
            </w:r>
            <w:r>
              <w:rPr>
                <w:rFonts w:ascii="宋体" w:hAnsi="宋体" w:eastAsia="宋体" w:cs="宋体"/>
                <w:color w:val="auto"/>
                <w:kern w:val="20"/>
                <w:sz w:val="24"/>
                <w:highlight w:val="none"/>
              </w:rPr>
              <w:t>2</w:t>
            </w:r>
            <w:r>
              <w:rPr>
                <w:rFonts w:hint="eastAsia" w:ascii="宋体" w:hAnsi="宋体" w:cs="宋体"/>
                <w:color w:val="auto"/>
                <w:kern w:val="20"/>
                <w:sz w:val="24"/>
                <w:highlight w:val="none"/>
                <w:lang w:val="en-US" w:eastAsia="zh-CN"/>
              </w:rPr>
              <w:t>0</w:t>
            </w:r>
            <w:r>
              <w:rPr>
                <w:rFonts w:hint="eastAsia" w:ascii="宋体" w:hAnsi="宋体" w:eastAsia="宋体" w:cs="宋体"/>
                <w:color w:val="auto"/>
                <w:kern w:val="20"/>
                <w:sz w:val="24"/>
                <w:highlight w:val="none"/>
              </w:rPr>
              <w:t>分）</w:t>
            </w:r>
          </w:p>
        </w:tc>
        <w:tc>
          <w:tcPr>
            <w:tcW w:w="686"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4D33C3BD">
            <w:pPr>
              <w:widowControl/>
              <w:spacing w:line="260" w:lineRule="exact"/>
              <w:jc w:val="center"/>
              <w:rPr>
                <w:rFonts w:hint="default" w:ascii="宋体" w:hAnsi="宋体" w:eastAsia="宋体" w:cs="宋体"/>
                <w:color w:val="auto"/>
                <w:spacing w:val="-6"/>
                <w:kern w:val="0"/>
                <w:sz w:val="24"/>
                <w:highlight w:val="none"/>
                <w:lang w:val="en-US"/>
              </w:rPr>
            </w:pPr>
            <w:r>
              <w:rPr>
                <w:rFonts w:hint="eastAsia" w:ascii="宋体" w:hAnsi="宋体" w:cs="宋体"/>
                <w:color w:val="auto"/>
                <w:spacing w:val="-6"/>
                <w:kern w:val="0"/>
                <w:sz w:val="24"/>
                <w:highlight w:val="none"/>
                <w:lang w:val="en-US" w:eastAsia="zh-CN"/>
              </w:rPr>
              <w:t>20</w:t>
            </w:r>
          </w:p>
        </w:tc>
        <w:tc>
          <w:tcPr>
            <w:tcW w:w="6641"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449805EC">
            <w:pPr>
              <w:pStyle w:val="35"/>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根据供应商针对本项目制定的服务方案进行评价，满分</w:t>
            </w:r>
            <w:r>
              <w:rPr>
                <w:rFonts w:hint="eastAsia" w:ascii="宋体" w:hAnsi="宋体" w:cs="宋体"/>
                <w:color w:val="auto"/>
                <w:kern w:val="2"/>
                <w:sz w:val="24"/>
                <w:szCs w:val="24"/>
                <w:highlight w:val="none"/>
                <w:lang w:val="en-US" w:eastAsia="zh-CN" w:bidi="ar-SA"/>
              </w:rPr>
              <w:t>20</w:t>
            </w:r>
            <w:r>
              <w:rPr>
                <w:rFonts w:hint="eastAsia" w:ascii="宋体" w:hAnsi="宋体" w:eastAsia="宋体" w:cs="宋体"/>
                <w:color w:val="auto"/>
                <w:kern w:val="2"/>
                <w:sz w:val="24"/>
                <w:szCs w:val="24"/>
                <w:highlight w:val="none"/>
                <w:lang w:val="en-US" w:eastAsia="zh-CN" w:bidi="ar-SA"/>
              </w:rPr>
              <w:t xml:space="preserve"> 分。①服务内容规划；</w:t>
            </w:r>
          </w:p>
          <w:p w14:paraId="6AF46E61">
            <w:pPr>
              <w:pStyle w:val="35"/>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②技术措施；</w:t>
            </w:r>
          </w:p>
          <w:p w14:paraId="4292CFA3">
            <w:pPr>
              <w:pStyle w:val="35"/>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③任务部署及工作流程；</w:t>
            </w:r>
          </w:p>
          <w:p w14:paraId="47803CAE">
            <w:pPr>
              <w:pStyle w:val="35"/>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④人员管理方案（包括职责分工、培训、考核等方面）</w:t>
            </w:r>
          </w:p>
          <w:p w14:paraId="3E664C54">
            <w:pPr>
              <w:pStyle w:val="35"/>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评审标准：以上 5 项中缺少一项内容扣 </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 xml:space="preserve"> 分，（其中“项”指上述条款中①②③④条内容）。有一项内容存在一处缺陷扣2 分，扣完为止。</w:t>
            </w:r>
          </w:p>
          <w:p w14:paraId="48D2D4DD">
            <w:pPr>
              <w:pStyle w:val="35"/>
              <w:spacing w:line="240" w:lineRule="auto"/>
              <w:ind w:left="0" w:leftChars="0" w:firstLine="0" w:firstLineChars="0"/>
              <w:rPr>
                <w:rFonts w:ascii="Times New Roman" w:hAnsi="Times New Roman" w:eastAsia="宋体" w:cs="Times New Roman"/>
                <w:color w:val="auto"/>
                <w:highlight w:val="none"/>
              </w:rPr>
            </w:pPr>
            <w:r>
              <w:rPr>
                <w:rFonts w:hint="eastAsia" w:ascii="宋体" w:hAnsi="宋体" w:eastAsia="宋体" w:cs="宋体"/>
                <w:color w:val="auto"/>
                <w:kern w:val="2"/>
                <w:sz w:val="24"/>
                <w:szCs w:val="24"/>
                <w:highlight w:val="none"/>
                <w:lang w:val="en-US" w:eastAsia="zh-CN" w:bidi="ar-SA"/>
              </w:rPr>
              <w:t>注：内容存在缺陷是指评审对应内容方案生搬硬造，与实际情况明显不符，存在偏差；或存在与项目需求明显无关的文字内容；或内容明显不适用项目实际情况；或相关资料提供不完善；或提供内容上下矛盾；或对采购需求理解混乱。</w:t>
            </w:r>
          </w:p>
        </w:tc>
      </w:tr>
      <w:tr w14:paraId="45A72E2D">
        <w:tblPrEx>
          <w:tblCellMar>
            <w:top w:w="0" w:type="dxa"/>
            <w:left w:w="0" w:type="dxa"/>
            <w:bottom w:w="0" w:type="dxa"/>
            <w:right w:w="0" w:type="dxa"/>
          </w:tblCellMar>
        </w:tblPrEx>
        <w:trPr>
          <w:trHeight w:val="2771" w:hRule="atLeast"/>
        </w:trPr>
        <w:tc>
          <w:tcPr>
            <w:tcW w:w="542" w:type="dxa"/>
            <w:tcBorders>
              <w:top w:val="single" w:color="auto" w:sz="4" w:space="0"/>
              <w:left w:val="single" w:color="000000" w:sz="4" w:space="0"/>
              <w:right w:val="single" w:color="000000" w:sz="4" w:space="0"/>
            </w:tcBorders>
            <w:noWrap w:val="0"/>
            <w:tcMar>
              <w:top w:w="12" w:type="dxa"/>
              <w:left w:w="12" w:type="dxa"/>
              <w:right w:w="12" w:type="dxa"/>
            </w:tcMar>
            <w:vAlign w:val="center"/>
          </w:tcPr>
          <w:p w14:paraId="5BE7F030">
            <w:pPr>
              <w:widowControl/>
              <w:numPr>
                <w:ilvl w:val="0"/>
                <w:numId w:val="9"/>
              </w:numPr>
              <w:tabs>
                <w:tab w:val="left" w:pos="397"/>
              </w:tabs>
              <w:ind w:left="454"/>
              <w:jc w:val="center"/>
              <w:textAlignment w:val="center"/>
              <w:rPr>
                <w:rFonts w:ascii="宋体" w:hAnsi="宋体" w:eastAsia="宋体" w:cs="宋体"/>
                <w:color w:val="auto"/>
                <w:kern w:val="0"/>
                <w:sz w:val="24"/>
                <w:highlight w:val="none"/>
                <w:lang w:bidi="ar"/>
              </w:rPr>
            </w:pPr>
          </w:p>
        </w:tc>
        <w:tc>
          <w:tcPr>
            <w:tcW w:w="1258" w:type="dxa"/>
            <w:tcBorders>
              <w:top w:val="single" w:color="auto" w:sz="4" w:space="0"/>
              <w:left w:val="single" w:color="000000" w:sz="4" w:space="0"/>
              <w:right w:val="single" w:color="000000" w:sz="4" w:space="0"/>
            </w:tcBorders>
            <w:noWrap w:val="0"/>
            <w:tcMar>
              <w:top w:w="12" w:type="dxa"/>
              <w:left w:w="12" w:type="dxa"/>
              <w:right w:w="12" w:type="dxa"/>
            </w:tcMar>
            <w:vAlign w:val="center"/>
          </w:tcPr>
          <w:p w14:paraId="7F2838B7">
            <w:pPr>
              <w:widowControl/>
              <w:tabs>
                <w:tab w:val="left" w:pos="4830"/>
              </w:tabs>
              <w:jc w:val="center"/>
              <w:rPr>
                <w:rFonts w:ascii="宋体" w:hAnsi="宋体" w:eastAsia="宋体" w:cs="宋体"/>
                <w:color w:val="auto"/>
                <w:kern w:val="20"/>
                <w:sz w:val="24"/>
                <w:highlight w:val="none"/>
              </w:rPr>
            </w:pPr>
            <w:r>
              <w:rPr>
                <w:rFonts w:ascii="宋体" w:hAnsi="宋体" w:eastAsia="宋体" w:cs="宋体"/>
                <w:color w:val="auto"/>
                <w:kern w:val="20"/>
                <w:sz w:val="24"/>
                <w:highlight w:val="none"/>
              </w:rPr>
              <w:t>服务质量</w:t>
            </w:r>
          </w:p>
          <w:p w14:paraId="771A52E6">
            <w:pPr>
              <w:widowControl/>
              <w:tabs>
                <w:tab w:val="left" w:pos="4830"/>
              </w:tabs>
              <w:jc w:val="center"/>
              <w:rPr>
                <w:rFonts w:ascii="宋体" w:hAnsi="宋体" w:eastAsia="宋体" w:cs="宋体"/>
                <w:color w:val="auto"/>
                <w:kern w:val="20"/>
                <w:sz w:val="24"/>
                <w:highlight w:val="none"/>
              </w:rPr>
            </w:pPr>
            <w:r>
              <w:rPr>
                <w:rFonts w:ascii="宋体" w:hAnsi="宋体" w:eastAsia="宋体" w:cs="宋体"/>
                <w:color w:val="auto"/>
                <w:kern w:val="20"/>
                <w:sz w:val="24"/>
                <w:highlight w:val="none"/>
              </w:rPr>
              <w:t>保障措施</w:t>
            </w:r>
          </w:p>
          <w:p w14:paraId="6F60F106">
            <w:pPr>
              <w:pStyle w:val="12"/>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cs="宋体"/>
                <w:color w:val="auto"/>
                <w:szCs w:val="24"/>
                <w:highlight w:val="none"/>
                <w:lang w:val="en-US" w:eastAsia="zh-CN"/>
              </w:rPr>
              <w:t>2</w:t>
            </w:r>
            <w:r>
              <w:rPr>
                <w:rFonts w:ascii="宋体" w:hAnsi="宋体" w:eastAsia="宋体" w:cs="宋体"/>
                <w:color w:val="auto"/>
                <w:szCs w:val="24"/>
                <w:highlight w:val="none"/>
              </w:rPr>
              <w:t>0</w:t>
            </w:r>
            <w:r>
              <w:rPr>
                <w:rFonts w:hint="eastAsia" w:ascii="宋体" w:hAnsi="宋体" w:eastAsia="宋体" w:cs="宋体"/>
                <w:color w:val="auto"/>
                <w:szCs w:val="24"/>
                <w:highlight w:val="none"/>
              </w:rPr>
              <w:t>分）</w:t>
            </w:r>
          </w:p>
        </w:tc>
        <w:tc>
          <w:tcPr>
            <w:tcW w:w="686" w:type="dxa"/>
            <w:tcBorders>
              <w:top w:val="single" w:color="auto" w:sz="4" w:space="0"/>
              <w:left w:val="single" w:color="000000" w:sz="4" w:space="0"/>
              <w:right w:val="single" w:color="000000" w:sz="4" w:space="0"/>
            </w:tcBorders>
            <w:noWrap w:val="0"/>
            <w:tcMar>
              <w:top w:w="12" w:type="dxa"/>
              <w:left w:w="12" w:type="dxa"/>
              <w:right w:w="12" w:type="dxa"/>
            </w:tcMar>
            <w:vAlign w:val="center"/>
          </w:tcPr>
          <w:p w14:paraId="419D3646">
            <w:pPr>
              <w:widowControl/>
              <w:jc w:val="center"/>
              <w:textAlignment w:val="center"/>
              <w:rPr>
                <w:rFonts w:hint="default" w:ascii="宋体" w:hAnsi="宋体" w:eastAsia="宋体" w:cs="宋体"/>
                <w:color w:val="auto"/>
                <w:kern w:val="0"/>
                <w:sz w:val="24"/>
                <w:highlight w:val="none"/>
                <w:lang w:val="en-US" w:eastAsia="zh-CN" w:bidi="ar"/>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0</w:t>
            </w:r>
          </w:p>
        </w:tc>
        <w:tc>
          <w:tcPr>
            <w:tcW w:w="6641"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EFDD377">
            <w:pPr>
              <w:widowControl/>
              <w:jc w:val="left"/>
              <w:textAlignment w:val="center"/>
              <w:rPr>
                <w:rFonts w:ascii="宋体" w:hAnsi="宋体" w:eastAsia="宋体" w:cs="宋体"/>
                <w:color w:val="auto"/>
                <w:sz w:val="24"/>
                <w:highlight w:val="none"/>
              </w:rPr>
            </w:pPr>
            <w:r>
              <w:rPr>
                <w:rFonts w:ascii="宋体" w:hAnsi="宋体" w:eastAsia="宋体" w:cs="宋体"/>
                <w:color w:val="auto"/>
                <w:sz w:val="24"/>
                <w:highlight w:val="none"/>
              </w:rPr>
              <w:t>根据供应商针对本项目提供的服务质量保障措施进行评价，满分10分。</w:t>
            </w:r>
          </w:p>
          <w:p w14:paraId="39C21AB0">
            <w:pPr>
              <w:widowControl/>
              <w:jc w:val="left"/>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①前期调研细致充分；</w:t>
            </w:r>
          </w:p>
          <w:p w14:paraId="07B82D01">
            <w:pPr>
              <w:widowControl/>
              <w:jc w:val="left"/>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②深刻理解项目背景、内容和现状；</w:t>
            </w:r>
          </w:p>
          <w:p w14:paraId="6D6D1BE2">
            <w:pPr>
              <w:widowControl/>
              <w:jc w:val="left"/>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③进行现状分析及总体情况理解；</w:t>
            </w:r>
          </w:p>
          <w:p w14:paraId="5BC0BC41">
            <w:pPr>
              <w:widowControl/>
              <w:jc w:val="left"/>
              <w:textAlignment w:val="center"/>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w:t>
            </w:r>
            <w:r>
              <w:rPr>
                <w:rFonts w:hint="eastAsia" w:ascii="宋体" w:hAnsi="宋体" w:cs="宋体"/>
                <w:color w:val="auto"/>
                <w:kern w:val="2"/>
                <w:sz w:val="24"/>
                <w:szCs w:val="24"/>
                <w:highlight w:val="none"/>
                <w:lang w:val="en-US" w:eastAsia="zh-CN" w:bidi="ar-SA"/>
              </w:rPr>
              <w:t>制定详细的服务实施计划；</w:t>
            </w:r>
          </w:p>
          <w:p w14:paraId="12D242E2">
            <w:pPr>
              <w:widowControl/>
              <w:jc w:val="left"/>
              <w:textAlignment w:val="center"/>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⑤配备专业团队并定期培训；</w:t>
            </w:r>
          </w:p>
          <w:p w14:paraId="50A23AB5">
            <w:pPr>
              <w:widowControl/>
              <w:jc w:val="left"/>
              <w:textAlignment w:val="center"/>
              <w:rPr>
                <w:rFonts w:ascii="宋体" w:hAnsi="宋体" w:eastAsia="宋体" w:cs="宋体"/>
                <w:color w:val="auto"/>
                <w:sz w:val="24"/>
                <w:highlight w:val="none"/>
              </w:rPr>
            </w:pPr>
            <w:r>
              <w:rPr>
                <w:rFonts w:ascii="宋体" w:hAnsi="宋体" w:eastAsia="宋体" w:cs="宋体"/>
                <w:color w:val="auto"/>
                <w:sz w:val="24"/>
                <w:highlight w:val="none"/>
              </w:rPr>
              <w:t>评审标准：以上 5</w:t>
            </w:r>
            <w:r>
              <w:rPr>
                <w:rFonts w:hint="eastAsia" w:ascii="宋体" w:hAnsi="宋体" w:eastAsia="宋体" w:cs="宋体"/>
                <w:color w:val="auto"/>
                <w:sz w:val="24"/>
                <w:highlight w:val="none"/>
                <w:lang w:val="en-US" w:eastAsia="zh-CN"/>
              </w:rPr>
              <w:t xml:space="preserve"> </w:t>
            </w:r>
            <w:r>
              <w:rPr>
                <w:rFonts w:ascii="宋体" w:hAnsi="宋体" w:eastAsia="宋体" w:cs="宋体"/>
                <w:color w:val="auto"/>
                <w:sz w:val="24"/>
                <w:highlight w:val="none"/>
              </w:rPr>
              <w:t xml:space="preserve">项中缺少一项内容扣 </w:t>
            </w:r>
            <w:r>
              <w:rPr>
                <w:rFonts w:hint="eastAsia" w:ascii="宋体" w:hAnsi="宋体" w:cs="宋体"/>
                <w:color w:val="auto"/>
                <w:sz w:val="24"/>
                <w:highlight w:val="none"/>
                <w:lang w:val="en-US" w:eastAsia="zh-CN"/>
              </w:rPr>
              <w:t>4</w:t>
            </w:r>
            <w:r>
              <w:rPr>
                <w:rFonts w:ascii="宋体" w:hAnsi="宋体" w:eastAsia="宋体" w:cs="宋体"/>
                <w:color w:val="auto"/>
                <w:sz w:val="24"/>
                <w:highlight w:val="none"/>
              </w:rPr>
              <w:t>分，（其中“项”指上述条款中</w:t>
            </w:r>
            <w:r>
              <w:rPr>
                <w:rFonts w:hint="eastAsia" w:ascii="宋体" w:hAnsi="宋体" w:eastAsia="宋体" w:cs="宋体"/>
                <w:color w:val="auto"/>
                <w:sz w:val="24"/>
                <w:highlight w:val="none"/>
              </w:rPr>
              <w:t>①②③④⑤</w:t>
            </w:r>
            <w:r>
              <w:rPr>
                <w:rFonts w:ascii="宋体" w:hAnsi="宋体" w:eastAsia="宋体" w:cs="宋体"/>
                <w:color w:val="auto"/>
                <w:sz w:val="24"/>
                <w:highlight w:val="none"/>
              </w:rPr>
              <w:t xml:space="preserve">条内容）。有一项内容存在一处缺陷扣1 分，扣完为止。 </w:t>
            </w:r>
          </w:p>
          <w:p w14:paraId="07143D8E">
            <w:pPr>
              <w:widowControl/>
              <w:jc w:val="left"/>
              <w:textAlignment w:val="center"/>
              <w:rPr>
                <w:rFonts w:hint="eastAsia" w:ascii="宋体" w:hAnsi="宋体" w:eastAsia="宋体" w:cs="宋体"/>
                <w:color w:val="auto"/>
                <w:sz w:val="24"/>
                <w:highlight w:val="none"/>
              </w:rPr>
            </w:pPr>
            <w:r>
              <w:rPr>
                <w:rFonts w:ascii="宋体" w:hAnsi="宋体" w:eastAsia="宋体" w:cs="宋体"/>
                <w:color w:val="auto"/>
                <w:sz w:val="24"/>
                <w:highlight w:val="none"/>
              </w:rPr>
              <w:t>注：内容存在缺陷是指评审对应内容方案生搬硬造，与实际情况明显不符，存在偏差；或存在与项目需求明显无关的文字内容；或内容明显不适用项目实际情况；或相关资料提供不完善；或提供内容上下矛盾；或对采购需求理解混乱。</w:t>
            </w:r>
          </w:p>
        </w:tc>
      </w:tr>
      <w:tr w14:paraId="0A38A27E">
        <w:tblPrEx>
          <w:tblCellMar>
            <w:top w:w="0" w:type="dxa"/>
            <w:left w:w="0" w:type="dxa"/>
            <w:bottom w:w="0" w:type="dxa"/>
            <w:right w:w="0" w:type="dxa"/>
          </w:tblCellMar>
        </w:tblPrEx>
        <w:trPr>
          <w:trHeight w:val="1001" w:hRule="atLeast"/>
        </w:trPr>
        <w:tc>
          <w:tcPr>
            <w:tcW w:w="542" w:type="dxa"/>
            <w:tcBorders>
              <w:top w:val="single" w:color="auto" w:sz="4" w:space="0"/>
              <w:left w:val="single" w:color="000000" w:sz="4" w:space="0"/>
              <w:right w:val="single" w:color="000000" w:sz="4" w:space="0"/>
            </w:tcBorders>
            <w:noWrap w:val="0"/>
            <w:tcMar>
              <w:top w:w="12" w:type="dxa"/>
              <w:left w:w="12" w:type="dxa"/>
              <w:right w:w="12" w:type="dxa"/>
            </w:tcMar>
            <w:vAlign w:val="center"/>
          </w:tcPr>
          <w:p w14:paraId="42DA80C0">
            <w:pPr>
              <w:widowControl/>
              <w:numPr>
                <w:ilvl w:val="0"/>
                <w:numId w:val="9"/>
              </w:numPr>
              <w:tabs>
                <w:tab w:val="left" w:pos="397"/>
              </w:tabs>
              <w:ind w:left="454"/>
              <w:jc w:val="center"/>
              <w:textAlignment w:val="center"/>
              <w:rPr>
                <w:rFonts w:hint="eastAsia" w:ascii="宋体" w:hAnsi="宋体" w:eastAsia="宋体" w:cs="宋体"/>
                <w:color w:val="auto"/>
                <w:kern w:val="0"/>
                <w:sz w:val="24"/>
                <w:highlight w:val="none"/>
                <w:lang w:bidi="ar"/>
              </w:rPr>
            </w:pPr>
          </w:p>
        </w:tc>
        <w:tc>
          <w:tcPr>
            <w:tcW w:w="1258" w:type="dxa"/>
            <w:tcBorders>
              <w:top w:val="single" w:color="auto" w:sz="4" w:space="0"/>
              <w:left w:val="single" w:color="000000" w:sz="4" w:space="0"/>
              <w:right w:val="single" w:color="000000" w:sz="4" w:space="0"/>
            </w:tcBorders>
            <w:noWrap w:val="0"/>
            <w:tcMar>
              <w:top w:w="12" w:type="dxa"/>
              <w:left w:w="12" w:type="dxa"/>
              <w:right w:w="12" w:type="dxa"/>
            </w:tcMar>
            <w:vAlign w:val="center"/>
          </w:tcPr>
          <w:p w14:paraId="501D3856">
            <w:pPr>
              <w:pStyle w:val="12"/>
              <w:jc w:val="center"/>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培训方案</w:t>
            </w:r>
          </w:p>
          <w:p w14:paraId="58C213B1">
            <w:pPr>
              <w:pStyle w:val="12"/>
              <w:jc w:val="center"/>
              <w:rPr>
                <w:rFonts w:hint="default"/>
                <w:highlight w:val="none"/>
                <w:lang w:val="en-US" w:eastAsia="zh-CN"/>
              </w:rPr>
            </w:pPr>
            <w:r>
              <w:rPr>
                <w:rFonts w:hint="eastAsia" w:ascii="宋体" w:hAnsi="宋体" w:eastAsia="宋体" w:cs="宋体"/>
                <w:color w:val="auto"/>
                <w:kern w:val="2"/>
                <w:szCs w:val="24"/>
                <w:highlight w:val="none"/>
              </w:rPr>
              <w:t>（</w:t>
            </w:r>
            <w:r>
              <w:rPr>
                <w:rFonts w:hint="eastAsia" w:ascii="宋体" w:hAnsi="宋体" w:eastAsia="宋体" w:cs="宋体"/>
                <w:color w:val="auto"/>
                <w:kern w:val="2"/>
                <w:szCs w:val="24"/>
                <w:highlight w:val="none"/>
                <w:lang w:val="en-US" w:eastAsia="zh-CN"/>
              </w:rPr>
              <w:t>10</w:t>
            </w:r>
            <w:r>
              <w:rPr>
                <w:rFonts w:hint="eastAsia" w:ascii="宋体" w:hAnsi="宋体" w:eastAsia="宋体" w:cs="宋体"/>
                <w:color w:val="auto"/>
                <w:kern w:val="2"/>
                <w:szCs w:val="24"/>
                <w:highlight w:val="none"/>
              </w:rPr>
              <w:t>分）</w:t>
            </w:r>
          </w:p>
        </w:tc>
        <w:tc>
          <w:tcPr>
            <w:tcW w:w="686" w:type="dxa"/>
            <w:tcBorders>
              <w:top w:val="single" w:color="auto" w:sz="4" w:space="0"/>
              <w:left w:val="single" w:color="000000" w:sz="4" w:space="0"/>
              <w:right w:val="single" w:color="000000" w:sz="4" w:space="0"/>
            </w:tcBorders>
            <w:noWrap w:val="0"/>
            <w:tcMar>
              <w:top w:w="12" w:type="dxa"/>
              <w:left w:w="12" w:type="dxa"/>
              <w:right w:w="12" w:type="dxa"/>
            </w:tcMar>
            <w:vAlign w:val="center"/>
          </w:tcPr>
          <w:p w14:paraId="276724D4">
            <w:pPr>
              <w:widowControl/>
              <w:spacing w:line="260" w:lineRule="exact"/>
              <w:jc w:val="center"/>
              <w:rPr>
                <w:rFonts w:hint="default" w:ascii="宋体" w:hAnsi="宋体" w:eastAsia="宋体" w:cs="宋体"/>
                <w:color w:val="auto"/>
                <w:spacing w:val="-6"/>
                <w:kern w:val="0"/>
                <w:sz w:val="24"/>
                <w:highlight w:val="none"/>
                <w:lang w:val="en-US" w:eastAsia="zh-CN"/>
              </w:rPr>
            </w:pPr>
            <w:r>
              <w:rPr>
                <w:rFonts w:hint="eastAsia" w:ascii="宋体" w:hAnsi="宋体" w:cs="宋体"/>
                <w:color w:val="auto"/>
                <w:spacing w:val="-6"/>
                <w:kern w:val="0"/>
                <w:sz w:val="24"/>
                <w:highlight w:val="none"/>
                <w:lang w:val="en-US" w:eastAsia="zh-CN"/>
              </w:rPr>
              <w:t>10</w:t>
            </w:r>
          </w:p>
        </w:tc>
        <w:tc>
          <w:tcPr>
            <w:tcW w:w="6641"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922FB24">
            <w:pPr>
              <w:widowControl/>
              <w:jc w:val="left"/>
              <w:textAlignment w:val="center"/>
              <w:rPr>
                <w:rFonts w:hint="eastAsia" w:ascii="宋体" w:hAnsi="宋体" w:eastAsia="宋体" w:cs="宋体"/>
                <w:color w:val="0000FF"/>
                <w:kern w:val="0"/>
                <w:sz w:val="21"/>
                <w:szCs w:val="21"/>
                <w:highlight w:val="none"/>
                <w:lang w:val="en-US" w:eastAsia="zh-CN"/>
              </w:rPr>
            </w:pPr>
            <w:r>
              <w:rPr>
                <w:rFonts w:ascii="宋体" w:hAnsi="宋体" w:eastAsia="宋体" w:cs="宋体"/>
                <w:color w:val="auto"/>
                <w:sz w:val="24"/>
                <w:highlight w:val="none"/>
              </w:rPr>
              <w:t>根据供应商针对本项目提供的服务</w:t>
            </w:r>
            <w:r>
              <w:rPr>
                <w:rFonts w:hint="eastAsia" w:ascii="宋体" w:hAnsi="宋体" w:cs="宋体"/>
                <w:color w:val="auto"/>
                <w:sz w:val="24"/>
                <w:highlight w:val="none"/>
                <w:lang w:val="en-US" w:eastAsia="zh-CN"/>
              </w:rPr>
              <w:t>培训方案（包含养殖户的培训）</w:t>
            </w:r>
            <w:r>
              <w:rPr>
                <w:rFonts w:ascii="宋体" w:hAnsi="宋体" w:eastAsia="宋体" w:cs="宋体"/>
                <w:color w:val="auto"/>
                <w:sz w:val="24"/>
                <w:highlight w:val="none"/>
              </w:rPr>
              <w:t>进行评价，满分10分。</w:t>
            </w:r>
          </w:p>
          <w:p w14:paraId="6F0BBDAA">
            <w:pPr>
              <w:widowControl/>
              <w:jc w:val="left"/>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①培训课程的规划；</w:t>
            </w:r>
          </w:p>
          <w:p w14:paraId="0AD8DC29">
            <w:pPr>
              <w:widowControl/>
              <w:jc w:val="left"/>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②场地的使用计划；</w:t>
            </w:r>
          </w:p>
          <w:p w14:paraId="0BA895BE">
            <w:pPr>
              <w:widowControl/>
              <w:jc w:val="left"/>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③培训时间安排合理程度；</w:t>
            </w:r>
          </w:p>
          <w:p w14:paraId="69C34094">
            <w:pPr>
              <w:widowControl/>
              <w:jc w:val="left"/>
              <w:textAlignment w:val="center"/>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w:t>
            </w:r>
            <w:r>
              <w:rPr>
                <w:rFonts w:hint="eastAsia" w:ascii="宋体" w:hAnsi="宋体" w:cs="宋体"/>
                <w:color w:val="auto"/>
                <w:kern w:val="2"/>
                <w:sz w:val="24"/>
                <w:szCs w:val="24"/>
                <w:highlight w:val="none"/>
                <w:lang w:val="en-US" w:eastAsia="zh-CN" w:bidi="ar-SA"/>
              </w:rPr>
              <w:t>培训内容</w:t>
            </w:r>
          </w:p>
          <w:p w14:paraId="0786691E">
            <w:pPr>
              <w:widowControl/>
              <w:jc w:val="left"/>
              <w:textAlignment w:val="cente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⑤培训效果评估</w:t>
            </w:r>
          </w:p>
          <w:p w14:paraId="7678C022">
            <w:pPr>
              <w:widowControl/>
              <w:jc w:val="left"/>
              <w:textAlignment w:val="center"/>
              <w:rPr>
                <w:rFonts w:ascii="宋体" w:hAnsi="宋体" w:eastAsia="宋体" w:cs="宋体"/>
                <w:color w:val="auto"/>
                <w:sz w:val="24"/>
                <w:highlight w:val="none"/>
              </w:rPr>
            </w:pPr>
            <w:r>
              <w:rPr>
                <w:rFonts w:ascii="宋体" w:hAnsi="宋体" w:eastAsia="宋体" w:cs="宋体"/>
                <w:color w:val="auto"/>
                <w:sz w:val="24"/>
                <w:highlight w:val="none"/>
              </w:rPr>
              <w:t>评审标准：以上 5</w:t>
            </w:r>
            <w:r>
              <w:rPr>
                <w:rFonts w:hint="eastAsia" w:ascii="宋体" w:hAnsi="宋体" w:eastAsia="宋体" w:cs="宋体"/>
                <w:color w:val="auto"/>
                <w:sz w:val="24"/>
                <w:highlight w:val="none"/>
                <w:lang w:val="en-US" w:eastAsia="zh-CN"/>
              </w:rPr>
              <w:t xml:space="preserve"> </w:t>
            </w:r>
            <w:r>
              <w:rPr>
                <w:rFonts w:ascii="宋体" w:hAnsi="宋体" w:eastAsia="宋体" w:cs="宋体"/>
                <w:color w:val="auto"/>
                <w:sz w:val="24"/>
                <w:highlight w:val="none"/>
              </w:rPr>
              <w:t>项中缺少一项内容扣</w:t>
            </w:r>
            <w:r>
              <w:rPr>
                <w:rFonts w:hint="eastAsia" w:ascii="宋体" w:hAnsi="宋体" w:cs="宋体"/>
                <w:color w:val="auto"/>
                <w:sz w:val="24"/>
                <w:highlight w:val="none"/>
                <w:lang w:val="en-US" w:eastAsia="zh-CN"/>
              </w:rPr>
              <w:t>2</w:t>
            </w:r>
            <w:r>
              <w:rPr>
                <w:rFonts w:ascii="宋体" w:hAnsi="宋体" w:eastAsia="宋体" w:cs="宋体"/>
                <w:color w:val="auto"/>
                <w:sz w:val="24"/>
                <w:highlight w:val="none"/>
              </w:rPr>
              <w:t>分，（其中“项”指上述条款中</w:t>
            </w:r>
            <w:r>
              <w:rPr>
                <w:rFonts w:hint="eastAsia" w:ascii="宋体" w:hAnsi="宋体" w:eastAsia="宋体" w:cs="宋体"/>
                <w:color w:val="auto"/>
                <w:sz w:val="24"/>
                <w:highlight w:val="none"/>
              </w:rPr>
              <w:t>①②③④⑤</w:t>
            </w:r>
            <w:r>
              <w:rPr>
                <w:rFonts w:ascii="宋体" w:hAnsi="宋体" w:eastAsia="宋体" w:cs="宋体"/>
                <w:color w:val="auto"/>
                <w:sz w:val="24"/>
                <w:highlight w:val="none"/>
              </w:rPr>
              <w:t xml:space="preserve">条内容）。有一项内容存在一处缺陷扣1 分，扣完为止。 </w:t>
            </w:r>
          </w:p>
          <w:p w14:paraId="336A6421">
            <w:pPr>
              <w:widowControl/>
              <w:jc w:val="left"/>
              <w:textAlignment w:val="center"/>
              <w:rPr>
                <w:rFonts w:hint="eastAsia" w:ascii="宋体" w:hAnsi="宋体" w:eastAsia="宋体" w:cs="宋体"/>
                <w:color w:val="auto"/>
                <w:sz w:val="24"/>
                <w:highlight w:val="none"/>
              </w:rPr>
            </w:pPr>
            <w:r>
              <w:rPr>
                <w:rFonts w:ascii="宋体" w:hAnsi="宋体" w:eastAsia="宋体" w:cs="宋体"/>
                <w:color w:val="auto"/>
                <w:sz w:val="24"/>
                <w:highlight w:val="none"/>
              </w:rPr>
              <w:t>注：内容存在缺陷是指评审对应内容方案生搬硬造，与实际情况明显不符，存在偏差；或存在与项目需求明显无关的文字内容；或内容明显不适用项目实际情况；或相关资料提供不完善；或提供内容上下矛盾；或对采购需求理解混乱。</w:t>
            </w:r>
          </w:p>
        </w:tc>
      </w:tr>
      <w:tr w14:paraId="21488CD0">
        <w:tblPrEx>
          <w:tblCellMar>
            <w:top w:w="0" w:type="dxa"/>
            <w:left w:w="0" w:type="dxa"/>
            <w:bottom w:w="0" w:type="dxa"/>
            <w:right w:w="0" w:type="dxa"/>
          </w:tblCellMar>
        </w:tblPrEx>
        <w:trPr>
          <w:trHeight w:val="1001" w:hRule="atLeast"/>
        </w:trPr>
        <w:tc>
          <w:tcPr>
            <w:tcW w:w="542" w:type="dxa"/>
            <w:tcBorders>
              <w:top w:val="single" w:color="auto" w:sz="4" w:space="0"/>
              <w:left w:val="single" w:color="000000" w:sz="4" w:space="0"/>
              <w:right w:val="single" w:color="000000" w:sz="4" w:space="0"/>
            </w:tcBorders>
            <w:noWrap w:val="0"/>
            <w:tcMar>
              <w:top w:w="12" w:type="dxa"/>
              <w:left w:w="12" w:type="dxa"/>
              <w:right w:w="12" w:type="dxa"/>
            </w:tcMar>
            <w:vAlign w:val="center"/>
          </w:tcPr>
          <w:p w14:paraId="3A52F7F0">
            <w:pPr>
              <w:widowControl/>
              <w:numPr>
                <w:ilvl w:val="0"/>
                <w:numId w:val="9"/>
              </w:numPr>
              <w:tabs>
                <w:tab w:val="left" w:pos="397"/>
              </w:tabs>
              <w:ind w:left="454"/>
              <w:jc w:val="center"/>
              <w:textAlignment w:val="center"/>
              <w:rPr>
                <w:rFonts w:hint="eastAsia" w:ascii="宋体" w:hAnsi="宋体" w:eastAsia="宋体" w:cs="宋体"/>
                <w:color w:val="auto"/>
                <w:kern w:val="0"/>
                <w:sz w:val="24"/>
                <w:highlight w:val="none"/>
                <w:lang w:bidi="ar"/>
              </w:rPr>
            </w:pPr>
          </w:p>
        </w:tc>
        <w:tc>
          <w:tcPr>
            <w:tcW w:w="1258" w:type="dxa"/>
            <w:tcBorders>
              <w:top w:val="single" w:color="auto" w:sz="4" w:space="0"/>
              <w:left w:val="single" w:color="000000" w:sz="4" w:space="0"/>
              <w:right w:val="single" w:color="000000" w:sz="4" w:space="0"/>
            </w:tcBorders>
            <w:noWrap w:val="0"/>
            <w:tcMar>
              <w:top w:w="12" w:type="dxa"/>
              <w:left w:w="12" w:type="dxa"/>
              <w:right w:w="12" w:type="dxa"/>
            </w:tcMar>
            <w:vAlign w:val="center"/>
          </w:tcPr>
          <w:p w14:paraId="4C8D81CE">
            <w:pPr>
              <w:pStyle w:val="12"/>
              <w:jc w:val="center"/>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服务承诺</w:t>
            </w:r>
          </w:p>
          <w:p w14:paraId="41EDE4BF">
            <w:pPr>
              <w:pStyle w:val="12"/>
              <w:jc w:val="center"/>
              <w:rPr>
                <w:rFonts w:hint="eastAsia" w:ascii="宋体" w:hAnsi="宋体" w:eastAsia="宋体" w:cs="宋体"/>
                <w:color w:val="auto"/>
                <w:szCs w:val="24"/>
                <w:highlight w:val="none"/>
              </w:rPr>
            </w:pPr>
            <w:r>
              <w:rPr>
                <w:rFonts w:hint="eastAsia" w:ascii="宋体" w:hAnsi="宋体" w:eastAsia="宋体" w:cs="宋体"/>
                <w:color w:val="auto"/>
                <w:kern w:val="2"/>
                <w:szCs w:val="24"/>
                <w:highlight w:val="none"/>
              </w:rPr>
              <w:t>（</w:t>
            </w:r>
            <w:r>
              <w:rPr>
                <w:rFonts w:hint="eastAsia" w:ascii="宋体" w:hAnsi="宋体" w:cs="宋体"/>
                <w:color w:val="auto"/>
                <w:kern w:val="2"/>
                <w:szCs w:val="24"/>
                <w:highlight w:val="none"/>
                <w:lang w:val="en-US" w:eastAsia="zh-CN"/>
              </w:rPr>
              <w:t>8</w:t>
            </w:r>
            <w:r>
              <w:rPr>
                <w:rFonts w:hint="eastAsia" w:ascii="宋体" w:hAnsi="宋体" w:eastAsia="宋体" w:cs="宋体"/>
                <w:color w:val="auto"/>
                <w:kern w:val="2"/>
                <w:szCs w:val="24"/>
                <w:highlight w:val="none"/>
              </w:rPr>
              <w:t>分）</w:t>
            </w:r>
          </w:p>
        </w:tc>
        <w:tc>
          <w:tcPr>
            <w:tcW w:w="686" w:type="dxa"/>
            <w:tcBorders>
              <w:top w:val="single" w:color="auto" w:sz="4" w:space="0"/>
              <w:left w:val="single" w:color="000000" w:sz="4" w:space="0"/>
              <w:right w:val="single" w:color="000000" w:sz="4" w:space="0"/>
            </w:tcBorders>
            <w:noWrap w:val="0"/>
            <w:tcMar>
              <w:top w:w="12" w:type="dxa"/>
              <w:left w:w="12" w:type="dxa"/>
              <w:right w:w="12" w:type="dxa"/>
            </w:tcMar>
            <w:vAlign w:val="center"/>
          </w:tcPr>
          <w:p w14:paraId="7DF57E43">
            <w:pPr>
              <w:widowControl/>
              <w:spacing w:line="260" w:lineRule="exact"/>
              <w:jc w:val="center"/>
              <w:rPr>
                <w:rFonts w:hint="eastAsia" w:ascii="宋体" w:hAnsi="宋体" w:eastAsia="宋体" w:cs="宋体"/>
                <w:color w:val="auto"/>
                <w:kern w:val="20"/>
                <w:sz w:val="24"/>
                <w:highlight w:val="none"/>
                <w:lang w:eastAsia="zh-CN"/>
              </w:rPr>
            </w:pPr>
            <w:r>
              <w:rPr>
                <w:rFonts w:hint="eastAsia" w:ascii="宋体" w:hAnsi="宋体" w:cs="宋体"/>
                <w:color w:val="auto"/>
                <w:spacing w:val="-6"/>
                <w:kern w:val="0"/>
                <w:sz w:val="24"/>
                <w:highlight w:val="none"/>
                <w:lang w:val="en-US" w:eastAsia="zh-CN"/>
              </w:rPr>
              <w:t>8</w:t>
            </w:r>
          </w:p>
        </w:tc>
        <w:tc>
          <w:tcPr>
            <w:tcW w:w="6641"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981C6D3">
            <w:pPr>
              <w:widowControl/>
              <w:jc w:val="left"/>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对本项目特点及服务内容，结合自身企业情况，自行提供其它服务承诺，根据承诺内容的合理性、可行性、优越性进行综合评审</w:t>
            </w:r>
            <w:r>
              <w:rPr>
                <w:rFonts w:ascii="Times New Roman" w:hAnsi="Times New Roman" w:eastAsia="宋体" w:cs="Times New Roman"/>
                <w:color w:val="auto"/>
                <w:highlight w:val="none"/>
              </w:rPr>
              <w:t>，</w:t>
            </w:r>
            <w:r>
              <w:rPr>
                <w:rFonts w:hint="eastAsia" w:ascii="宋体" w:hAnsi="宋体" w:eastAsia="宋体" w:cs="宋体"/>
                <w:color w:val="auto"/>
                <w:sz w:val="24"/>
                <w:highlight w:val="none"/>
              </w:rPr>
              <w:t>每提供一项合理可行的承诺得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分，最高得</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分。</w:t>
            </w:r>
          </w:p>
        </w:tc>
      </w:tr>
      <w:tr w14:paraId="474B5612">
        <w:tblPrEx>
          <w:tblCellMar>
            <w:top w:w="0" w:type="dxa"/>
            <w:left w:w="0" w:type="dxa"/>
            <w:bottom w:w="0" w:type="dxa"/>
            <w:right w:w="0" w:type="dxa"/>
          </w:tblCellMar>
        </w:tblPrEx>
        <w:trPr>
          <w:trHeight w:val="821" w:hRule="atLeast"/>
        </w:trPr>
        <w:tc>
          <w:tcPr>
            <w:tcW w:w="180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A20CF7B">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合计</w:t>
            </w:r>
          </w:p>
        </w:tc>
        <w:tc>
          <w:tcPr>
            <w:tcW w:w="6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4C4147E">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100</w:t>
            </w:r>
          </w:p>
        </w:tc>
        <w:tc>
          <w:tcPr>
            <w:tcW w:w="66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B5BA338">
            <w:pPr>
              <w:widowControl/>
              <w:jc w:val="center"/>
              <w:textAlignment w:val="center"/>
              <w:rPr>
                <w:rFonts w:hint="eastAsia" w:ascii="宋体" w:hAnsi="宋体" w:eastAsia="宋体" w:cs="宋体"/>
                <w:color w:val="auto"/>
                <w:kern w:val="0"/>
                <w:sz w:val="24"/>
                <w:highlight w:val="none"/>
                <w:lang w:bidi="ar"/>
              </w:rPr>
            </w:pPr>
          </w:p>
        </w:tc>
      </w:tr>
      <w:tr w14:paraId="61647118">
        <w:tblPrEx>
          <w:tblCellMar>
            <w:top w:w="0" w:type="dxa"/>
            <w:left w:w="0" w:type="dxa"/>
            <w:bottom w:w="0" w:type="dxa"/>
            <w:right w:w="0" w:type="dxa"/>
          </w:tblCellMar>
        </w:tblPrEx>
        <w:trPr>
          <w:trHeight w:val="864" w:hRule="atLeast"/>
        </w:trPr>
        <w:tc>
          <w:tcPr>
            <w:tcW w:w="9127"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476F6A0">
            <w:pPr>
              <w:widowControl/>
              <w:jc w:val="center"/>
              <w:rPr>
                <w:rFonts w:hint="eastAsia" w:ascii="宋体" w:hAnsi="宋体" w:eastAsia="宋体" w:cs="宋体"/>
                <w:color w:val="auto"/>
                <w:kern w:val="0"/>
                <w:sz w:val="24"/>
                <w:highlight w:val="none"/>
                <w:lang w:bidi="ar"/>
              </w:rPr>
            </w:pPr>
            <w:r>
              <w:rPr>
                <w:rFonts w:hint="eastAsia" w:ascii="宋体" w:hAnsi="宋体" w:eastAsia="宋体" w:cs="宋体"/>
                <w:color w:val="auto"/>
                <w:sz w:val="24"/>
                <w:highlight w:val="none"/>
              </w:rPr>
              <w:t>注：评委对各供应商同一评分内容量化打分时，如最高得分与最低得分相差25%（含25%）以上时，应做出合理的解释说明，否则不予计分，经评审为零分或否决投标的除外。</w:t>
            </w:r>
          </w:p>
        </w:tc>
      </w:tr>
    </w:tbl>
    <w:p w14:paraId="6783EA5F">
      <w:pPr>
        <w:spacing w:line="360" w:lineRule="auto"/>
        <w:outlineLvl w:val="1"/>
        <w:rPr>
          <w:rFonts w:hint="eastAsia" w:ascii="宋体" w:hAnsi="宋体" w:cs="宋体"/>
          <w:b/>
          <w:bCs/>
          <w:color w:val="auto"/>
          <w:sz w:val="24"/>
          <w:highlight w:val="none"/>
        </w:rPr>
      </w:pPr>
    </w:p>
    <w:p w14:paraId="16A77FC6">
      <w:pPr>
        <w:pStyle w:val="35"/>
        <w:ind w:firstLine="400"/>
        <w:rPr>
          <w:rFonts w:hint="eastAsia"/>
          <w:color w:val="auto"/>
          <w:highlight w:val="none"/>
        </w:rPr>
      </w:pPr>
    </w:p>
    <w:p w14:paraId="737D5B4E">
      <w:pPr>
        <w:spacing w:line="360" w:lineRule="exact"/>
        <w:jc w:val="center"/>
        <w:outlineLvl w:val="0"/>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 xml:space="preserve"> </w:t>
      </w:r>
      <w:r>
        <w:rPr>
          <w:rFonts w:hint="eastAsia" w:ascii="宋体" w:hAnsi="宋体" w:cs="宋体"/>
          <w:b/>
          <w:bCs/>
          <w:color w:val="auto"/>
          <w:kern w:val="0"/>
          <w:sz w:val="24"/>
          <w:highlight w:val="none"/>
          <w:lang w:bidi="ar"/>
        </w:rPr>
        <w:br w:type="page"/>
      </w:r>
      <w:r>
        <w:rPr>
          <w:rFonts w:hint="eastAsia" w:ascii="宋体" w:hAnsi="宋体" w:cs="宋体"/>
          <w:b/>
          <w:bCs/>
          <w:color w:val="auto"/>
          <w:kern w:val="0"/>
          <w:sz w:val="24"/>
          <w:highlight w:val="none"/>
          <w:lang w:bidi="ar"/>
        </w:rPr>
        <w:t>政府采购支持中小企业或小型、微型企业采购政策相关说明</w:t>
      </w:r>
    </w:p>
    <w:p w14:paraId="7CD0A429">
      <w:pPr>
        <w:pStyle w:val="12"/>
        <w:ind w:left="210"/>
        <w:rPr>
          <w:rFonts w:hint="eastAsia" w:ascii="仿宋" w:hAnsi="仿宋" w:eastAsia="仿宋" w:cs="仿宋"/>
          <w:color w:val="auto"/>
          <w:highlight w:val="none"/>
        </w:rPr>
      </w:pPr>
    </w:p>
    <w:p w14:paraId="65FD03E5">
      <w:pPr>
        <w:widowControl/>
        <w:spacing w:line="340" w:lineRule="exact"/>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1、根据新疆维吾尔自治区财政厅、新疆生产建设兵团财政局发布的（财库[2020]46 号、财库〔2022〕19 号和新财购〔2022〕22 号）《关于落实好政府采购支持中小企业发展的通知》的规定，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属于中小企业评审优惠内容及幅度的中小微型企业应按照采购文件格式要求提供《中小企业声明函》。</w:t>
      </w:r>
    </w:p>
    <w:p w14:paraId="453EE9B4">
      <w:pPr>
        <w:widowControl/>
        <w:spacing w:line="34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2、在政府采购活动中，供应商提供的货物、工程或者服务符合下列情形的，享受规定的中小企业扶持政策： </w:t>
      </w:r>
    </w:p>
    <w:p w14:paraId="195558DB">
      <w:pPr>
        <w:widowControl/>
        <w:spacing w:line="34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（1）在货物采购项目中，货物由中小企业制造，即货物由中小企业生产且使用该中小企业商号或者注册商标； </w:t>
      </w:r>
    </w:p>
    <w:p w14:paraId="519A5742">
      <w:pPr>
        <w:widowControl/>
        <w:spacing w:line="34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（2）在工程采购项目中，工程由中小企业承建，即工程施工单位为中小企业；</w:t>
      </w:r>
    </w:p>
    <w:p w14:paraId="6A877E8E">
      <w:pPr>
        <w:widowControl/>
        <w:spacing w:line="34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（3）在服务采购项目中，服务由中小企业承接，即提供服务的人员为中小企业依照《中华人民共和国劳动合同法》订立劳动合同的从业人员。</w:t>
      </w:r>
    </w:p>
    <w:p w14:paraId="4ADF8E9E">
      <w:pPr>
        <w:widowControl/>
        <w:spacing w:line="340" w:lineRule="exact"/>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（4）在货物采购项目中，供应商提供的货物既有中小企业制造货物，也有大型企业制造货物的，不享受本办法规定的中小企业扶持政策。</w:t>
      </w:r>
    </w:p>
    <w:p w14:paraId="1B31BA0E">
      <w:pPr>
        <w:widowControl/>
        <w:spacing w:line="34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（5）以联合体形式参加政府采购活动，联合体各方均为中小企业的，联合体视同中小企业。其中，联合体各方均为小微企业的，联合体视同小微企业。</w:t>
      </w:r>
    </w:p>
    <w:p w14:paraId="19256E49">
      <w:pPr>
        <w:widowControl/>
        <w:spacing w:line="34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3、 依照〈财政部、司法部关于政府采购支持监狱企业发展有关问题的通知〉（财库〔2014〕68 号）之规定，监狱企业应当符合以下条件：</w:t>
      </w:r>
    </w:p>
    <w:p w14:paraId="5B473A5E">
      <w:pPr>
        <w:widowControl/>
        <w:spacing w:line="34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（1）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6D307E1F">
      <w:pPr>
        <w:widowControl/>
        <w:spacing w:line="34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（2） 监狱企业参加政府采购活动时，视同小型、微型企业，应当提供由省级以上监狱管理局、戒毒管理局（含新疆生产建设兵团）出具的属于监狱企业的证明文件。</w:t>
      </w:r>
    </w:p>
    <w:p w14:paraId="0F90AE6F">
      <w:pPr>
        <w:widowControl/>
        <w:spacing w:line="340" w:lineRule="exact"/>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sz w:val="24"/>
          <w:highlight w:val="none"/>
        </w:rPr>
        <w:t>3、</w:t>
      </w:r>
      <w:r>
        <w:rPr>
          <w:rFonts w:hint="eastAsia" w:ascii="宋体" w:hAnsi="宋体" w:cs="宋体"/>
          <w:color w:val="auto"/>
          <w:kern w:val="0"/>
          <w:sz w:val="24"/>
          <w:highlight w:val="none"/>
          <w:lang w:bidi="ar"/>
        </w:rPr>
        <w:t>价格扣除办法</w:t>
      </w:r>
    </w:p>
    <w:p w14:paraId="7A4D6DC5">
      <w:pPr>
        <w:widowControl/>
        <w:spacing w:line="340" w:lineRule="exact"/>
        <w:ind w:firstLine="240" w:firstLineChars="1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对小微企业报价给予10%的扣除，大中型企业与小微企业组成联合体或大中型企业向小微企业分包的，评审给予4%的价格扣除，用扣除后的价格参加评审。适用招标投标法的政府采购工程建设项目，采用综合评估法但未采用低价优先法计算价格分的，评标时应当在采用原报价进行评分的基础上阶段性增加其价格得分的6%作为其价格分。</w:t>
      </w:r>
    </w:p>
    <w:p w14:paraId="14E03909">
      <w:pPr>
        <w:widowControl/>
        <w:spacing w:line="340" w:lineRule="exact"/>
        <w:ind w:firstLine="240" w:firstLineChars="1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（2）专门面向中小企业采购的项目或者采购包，不再执行价格评审优惠的扶持政策。</w:t>
      </w:r>
    </w:p>
    <w:p w14:paraId="0E6FB093">
      <w:pPr>
        <w:widowControl/>
        <w:spacing w:line="340" w:lineRule="exact"/>
        <w:ind w:firstLine="240" w:firstLineChars="1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4、其他</w:t>
      </w:r>
    </w:p>
    <w:p w14:paraId="3684230E">
      <w:pPr>
        <w:widowControl/>
        <w:spacing w:line="34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（1）中小企业参加政府采购活动，应当出具《中小企业声明函》，否则不得享受相关中小企业扶持政策。 </w:t>
      </w:r>
    </w:p>
    <w:p w14:paraId="25B7AF0B">
      <w:pPr>
        <w:widowControl/>
        <w:spacing w:line="340" w:lineRule="exact"/>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（2）组成联合体或者接受分包的小微企业与联合体内其他企业、分包企业之间存在直接控股、管理关系的，不享受价格扣除优惠政策。 </w:t>
      </w:r>
    </w:p>
    <w:p w14:paraId="5C624585">
      <w:pPr>
        <w:widowControl/>
        <w:spacing w:line="340" w:lineRule="exact"/>
        <w:ind w:firstLine="480" w:firstLineChars="200"/>
        <w:jc w:val="left"/>
        <w:rPr>
          <w:rFonts w:hint="eastAsia" w:ascii="宋体" w:hAnsi="宋体" w:cs="宋体"/>
          <w:color w:val="auto"/>
          <w:highlight w:val="none"/>
        </w:rPr>
      </w:pPr>
      <w:r>
        <w:rPr>
          <w:rFonts w:hint="eastAsia" w:ascii="宋体" w:hAnsi="宋体" w:cs="宋体"/>
          <w:color w:val="auto"/>
          <w:kern w:val="0"/>
          <w:sz w:val="24"/>
          <w:highlight w:val="none"/>
          <w:lang w:bidi="ar"/>
        </w:rPr>
        <w:t>（3）依据本办法规定享受扶持政策获得政府采购合同的，小微企业不得将合同分包给大中型企业，中型企业不得将合同分包给大型企业。</w:t>
      </w:r>
    </w:p>
    <w:sectPr>
      <w:footerReference r:id="rId5" w:type="default"/>
      <w:pgSz w:w="11906" w:h="16838"/>
      <w:pgMar w:top="1417" w:right="1417" w:bottom="1417" w:left="1417"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仿宋体">
    <w:altName w:val="仿宋"/>
    <w:panose1 w:val="00000000000000000000"/>
    <w:charset w:val="86"/>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方正行楷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1898C">
    <w:pPr>
      <w:pStyle w:val="20"/>
      <w:tabs>
        <w:tab w:val="center" w:pos="4766"/>
        <w:tab w:val="left" w:pos="8370"/>
        <w:tab w:val="left" w:pos="8478"/>
        <w:tab w:val="right" w:pos="9639"/>
      </w:tabs>
      <w:jc w:val="right"/>
      <w:rPr>
        <w:rFonts w:ascii="方正行楷简体" w:hAnsi="方正行楷简体" w:eastAsia="方正行楷简体" w:cs="方正行楷简体"/>
        <w:sz w:val="21"/>
        <w:szCs w:val="21"/>
      </w:rPr>
    </w:pPr>
    <w:r>
      <w:rPr>
        <w:rFonts w:hint="eastAsia" w:ascii="方正行楷简体" w:hAnsi="方正行楷简体" w:eastAsia="方正行楷简体" w:cs="方正行楷简体"/>
        <w:sz w:val="22"/>
        <w:szCs w:val="22"/>
      </w:rPr>
      <w:t>新疆元誉工程项目管理有限公司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0D10C">
    <w:pPr>
      <w:spacing w:line="196" w:lineRule="auto"/>
      <w:ind w:left="5014"/>
      <w:rPr>
        <w:rFonts w:eastAsia="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14A127">
                          <w:pPr>
                            <w:pStyle w:val="20"/>
                          </w:pPr>
                          <w:r>
                            <w:fldChar w:fldCharType="begin"/>
                          </w:r>
                          <w:r>
                            <w:instrText xml:space="preserve"> PAGE  \* MERGEFORMAT </w:instrText>
                          </w:r>
                          <w:r>
                            <w:fldChar w:fldCharType="separate"/>
                          </w:r>
                          <w:r>
                            <w:t>68</w:t>
                          </w:r>
                          <w:r>
                            <w:fldChar w:fldCharType="end"/>
                          </w:r>
                        </w:p>
                      </w:txbxContent>
                    </wps:txbx>
                    <wps:bodyPr wrap="none" lIns="0" tIns="0" rIns="0" bIns="0" upright="0">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F+eLXnIAQAAmgMAAA4AAAAAAAAAAQAgAAAAHgEAAGRycy9lMm9Eb2Mu&#10;eG1sUEsFBgAAAAAGAAYAWQEAAFgFAAAAAA==&#10;">
              <v:fill on="f" focussize="0,0"/>
              <v:stroke on="f"/>
              <v:imagedata o:title=""/>
              <o:lock v:ext="edit" aspectratio="f"/>
              <v:textbox inset="0mm,0mm,0mm,0mm" style="mso-fit-shape-to-text:t;">
                <w:txbxContent>
                  <w:p w14:paraId="7114A127">
                    <w:pPr>
                      <w:pStyle w:val="20"/>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4B84F">
    <w:pPr>
      <w:jc w:val="center"/>
      <w:rPr>
        <w:rFonts w:hint="eastAsia"/>
      </w:rPr>
    </w:pPr>
    <w:r>
      <w:rPr>
        <w:rFonts w:hint="eastAsia" w:ascii="仿宋" w:hAnsi="仿宋" w:eastAsia="仿宋" w:cs="仿宋"/>
        <w:b w:val="0"/>
        <w:bCs/>
        <w:i/>
        <w:iCs/>
        <w:color w:val="auto"/>
        <w:sz w:val="22"/>
        <w:szCs w:val="22"/>
        <w:highlight w:val="none"/>
        <w:lang w:eastAsia="zh-CN"/>
      </w:rPr>
      <w:t>克拉玛依市独山子区农业和水务局2025年度独山子区兽医社会化服务采购项目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501E8A"/>
    <w:multiLevelType w:val="singleLevel"/>
    <w:tmpl w:val="AB501E8A"/>
    <w:lvl w:ilvl="0" w:tentative="0">
      <w:start w:val="1"/>
      <w:numFmt w:val="decimal"/>
      <w:suff w:val="nothing"/>
      <w:lvlText w:val="%1"/>
      <w:lvlJc w:val="left"/>
      <w:pPr>
        <w:tabs>
          <w:tab w:val="left" w:pos="420"/>
        </w:tabs>
        <w:ind w:left="425" w:hanging="425"/>
      </w:pPr>
      <w:rPr>
        <w:rFonts w:hint="default"/>
      </w:rPr>
    </w:lvl>
  </w:abstractNum>
  <w:abstractNum w:abstractNumId="1">
    <w:nsid w:val="00000015"/>
    <w:multiLevelType w:val="multilevel"/>
    <w:tmpl w:val="00000015"/>
    <w:lvl w:ilvl="0" w:tentative="0">
      <w:start w:val="1"/>
      <w:numFmt w:val="bullet"/>
      <w:pStyle w:val="105"/>
      <w:lvlText w:val=""/>
      <w:lvlJc w:val="left"/>
      <w:pPr>
        <w:tabs>
          <w:tab w:val="left" w:pos="1023"/>
        </w:tabs>
        <w:ind w:left="1023"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68B6B15"/>
    <w:multiLevelType w:val="singleLevel"/>
    <w:tmpl w:val="068B6B15"/>
    <w:lvl w:ilvl="0" w:tentative="0">
      <w:start w:val="1"/>
      <w:numFmt w:val="decimal"/>
      <w:suff w:val="nothing"/>
      <w:lvlText w:val="%1、"/>
      <w:lvlJc w:val="left"/>
    </w:lvl>
  </w:abstractNum>
  <w:abstractNum w:abstractNumId="3">
    <w:nsid w:val="082102F8"/>
    <w:multiLevelType w:val="singleLevel"/>
    <w:tmpl w:val="082102F8"/>
    <w:lvl w:ilvl="0" w:tentative="0">
      <w:start w:val="5"/>
      <w:numFmt w:val="decimal"/>
      <w:suff w:val="nothing"/>
      <w:lvlText w:val="%1、"/>
      <w:lvlJc w:val="left"/>
    </w:lvl>
  </w:abstractNum>
  <w:abstractNum w:abstractNumId="4">
    <w:nsid w:val="0862EBEA"/>
    <w:multiLevelType w:val="singleLevel"/>
    <w:tmpl w:val="0862EBEA"/>
    <w:lvl w:ilvl="0" w:tentative="0">
      <w:start w:val="1"/>
      <w:numFmt w:val="chineseCounting"/>
      <w:suff w:val="nothing"/>
      <w:lvlText w:val="%1、"/>
      <w:lvlJc w:val="left"/>
      <w:rPr>
        <w:rFonts w:hint="eastAsia"/>
      </w:rPr>
    </w:lvl>
  </w:abstractNum>
  <w:abstractNum w:abstractNumId="5">
    <w:nsid w:val="183C604A"/>
    <w:multiLevelType w:val="singleLevel"/>
    <w:tmpl w:val="183C604A"/>
    <w:lvl w:ilvl="0" w:tentative="0">
      <w:start w:val="1"/>
      <w:numFmt w:val="japaneseCounting"/>
      <w:pStyle w:val="123"/>
      <w:lvlText w:val="%1、"/>
      <w:lvlJc w:val="left"/>
      <w:pPr>
        <w:tabs>
          <w:tab w:val="left" w:pos="960"/>
        </w:tabs>
        <w:ind w:left="960" w:hanging="480"/>
      </w:pPr>
      <w:rPr>
        <w:rFonts w:hint="eastAsia"/>
        <w:b/>
      </w:rPr>
    </w:lvl>
  </w:abstractNum>
  <w:abstractNum w:abstractNumId="6">
    <w:nsid w:val="4C4CC0F6"/>
    <w:multiLevelType w:val="singleLevel"/>
    <w:tmpl w:val="4C4CC0F6"/>
    <w:lvl w:ilvl="0" w:tentative="0">
      <w:start w:val="1"/>
      <w:numFmt w:val="decimal"/>
      <w:suff w:val="space"/>
      <w:lvlText w:val="%1."/>
      <w:lvlJc w:val="left"/>
    </w:lvl>
  </w:abstractNum>
  <w:abstractNum w:abstractNumId="7">
    <w:nsid w:val="6C1C9EC9"/>
    <w:multiLevelType w:val="singleLevel"/>
    <w:tmpl w:val="6C1C9EC9"/>
    <w:lvl w:ilvl="0" w:tentative="0">
      <w:start w:val="1"/>
      <w:numFmt w:val="decimal"/>
      <w:suff w:val="nothing"/>
      <w:lvlText w:val="%1"/>
      <w:lvlJc w:val="left"/>
      <w:pPr>
        <w:tabs>
          <w:tab w:val="left" w:pos="822"/>
        </w:tabs>
        <w:ind w:left="879" w:hanging="454"/>
      </w:pPr>
      <w:rPr>
        <w:rFonts w:hint="default"/>
      </w:rPr>
    </w:lvl>
  </w:abstractNum>
  <w:abstractNum w:abstractNumId="8">
    <w:nsid w:val="6E3E911F"/>
    <w:multiLevelType w:val="singleLevel"/>
    <w:tmpl w:val="6E3E911F"/>
    <w:lvl w:ilvl="0" w:tentative="0">
      <w:start w:val="1"/>
      <w:numFmt w:val="decimal"/>
      <w:suff w:val="nothing"/>
      <w:lvlText w:val="%1、"/>
      <w:lvlJc w:val="left"/>
    </w:lvl>
  </w:abstractNum>
  <w:num w:numId="1">
    <w:abstractNumId w:val="1"/>
  </w:num>
  <w:num w:numId="2">
    <w:abstractNumId w:val="5"/>
  </w:num>
  <w:num w:numId="3">
    <w:abstractNumId w:val="0"/>
  </w:num>
  <w:num w:numId="4">
    <w:abstractNumId w:val="3"/>
  </w:num>
  <w:num w:numId="5">
    <w:abstractNumId w:val="4"/>
  </w:num>
  <w:num w:numId="6">
    <w:abstractNumId w:val="6"/>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wYjliYWU1NzZkOWJlNDk5MTNmZmM2Y2RjYzBlODgifQ=="/>
  </w:docVars>
  <w:rsids>
    <w:rsidRoot w:val="00172A27"/>
    <w:rsid w:val="000011F0"/>
    <w:rsid w:val="0000262F"/>
    <w:rsid w:val="000041BE"/>
    <w:rsid w:val="00004248"/>
    <w:rsid w:val="00005276"/>
    <w:rsid w:val="000060DE"/>
    <w:rsid w:val="00006B79"/>
    <w:rsid w:val="000102F5"/>
    <w:rsid w:val="00010907"/>
    <w:rsid w:val="000113A5"/>
    <w:rsid w:val="00011586"/>
    <w:rsid w:val="00012525"/>
    <w:rsid w:val="00016B46"/>
    <w:rsid w:val="0002107F"/>
    <w:rsid w:val="00021CA5"/>
    <w:rsid w:val="0002630B"/>
    <w:rsid w:val="000272BA"/>
    <w:rsid w:val="00027CDC"/>
    <w:rsid w:val="00030178"/>
    <w:rsid w:val="000313F4"/>
    <w:rsid w:val="00031789"/>
    <w:rsid w:val="00032508"/>
    <w:rsid w:val="00032D6D"/>
    <w:rsid w:val="000337C2"/>
    <w:rsid w:val="000344E0"/>
    <w:rsid w:val="00034734"/>
    <w:rsid w:val="0003605E"/>
    <w:rsid w:val="00036354"/>
    <w:rsid w:val="0004013C"/>
    <w:rsid w:val="0004067F"/>
    <w:rsid w:val="000409E4"/>
    <w:rsid w:val="0004120F"/>
    <w:rsid w:val="000447FF"/>
    <w:rsid w:val="00045679"/>
    <w:rsid w:val="00046685"/>
    <w:rsid w:val="00046A73"/>
    <w:rsid w:val="00055E56"/>
    <w:rsid w:val="00057BFB"/>
    <w:rsid w:val="000601D0"/>
    <w:rsid w:val="00060967"/>
    <w:rsid w:val="00060DB2"/>
    <w:rsid w:val="00061BC5"/>
    <w:rsid w:val="00062799"/>
    <w:rsid w:val="00066E5A"/>
    <w:rsid w:val="00066F7C"/>
    <w:rsid w:val="00067701"/>
    <w:rsid w:val="0006772A"/>
    <w:rsid w:val="00067970"/>
    <w:rsid w:val="00067D49"/>
    <w:rsid w:val="00070CD0"/>
    <w:rsid w:val="00071648"/>
    <w:rsid w:val="00071E56"/>
    <w:rsid w:val="00073194"/>
    <w:rsid w:val="00073EF2"/>
    <w:rsid w:val="00074168"/>
    <w:rsid w:val="00074ECB"/>
    <w:rsid w:val="00076890"/>
    <w:rsid w:val="00077154"/>
    <w:rsid w:val="00081D2D"/>
    <w:rsid w:val="00082D10"/>
    <w:rsid w:val="00083B20"/>
    <w:rsid w:val="00083F88"/>
    <w:rsid w:val="00085BF1"/>
    <w:rsid w:val="0008620D"/>
    <w:rsid w:val="00087EBA"/>
    <w:rsid w:val="00092D94"/>
    <w:rsid w:val="00093DCF"/>
    <w:rsid w:val="000948F4"/>
    <w:rsid w:val="00094EE8"/>
    <w:rsid w:val="000964AD"/>
    <w:rsid w:val="000979F3"/>
    <w:rsid w:val="00097A8D"/>
    <w:rsid w:val="00097FF9"/>
    <w:rsid w:val="000A07FC"/>
    <w:rsid w:val="000A10BF"/>
    <w:rsid w:val="000A20CD"/>
    <w:rsid w:val="000A2518"/>
    <w:rsid w:val="000A295D"/>
    <w:rsid w:val="000A3C02"/>
    <w:rsid w:val="000A5748"/>
    <w:rsid w:val="000A5F18"/>
    <w:rsid w:val="000A6B10"/>
    <w:rsid w:val="000B2F68"/>
    <w:rsid w:val="000B3791"/>
    <w:rsid w:val="000B42AD"/>
    <w:rsid w:val="000B51D1"/>
    <w:rsid w:val="000B563F"/>
    <w:rsid w:val="000B577D"/>
    <w:rsid w:val="000B646A"/>
    <w:rsid w:val="000B7050"/>
    <w:rsid w:val="000C17CB"/>
    <w:rsid w:val="000C3095"/>
    <w:rsid w:val="000C3CF4"/>
    <w:rsid w:val="000C6152"/>
    <w:rsid w:val="000C6548"/>
    <w:rsid w:val="000C6584"/>
    <w:rsid w:val="000D2B31"/>
    <w:rsid w:val="000D3C1A"/>
    <w:rsid w:val="000D5BE9"/>
    <w:rsid w:val="000D6224"/>
    <w:rsid w:val="000D6735"/>
    <w:rsid w:val="000E1FB1"/>
    <w:rsid w:val="000E2044"/>
    <w:rsid w:val="000E391C"/>
    <w:rsid w:val="000E507B"/>
    <w:rsid w:val="000E5574"/>
    <w:rsid w:val="000E5F89"/>
    <w:rsid w:val="000E6B3E"/>
    <w:rsid w:val="000E715A"/>
    <w:rsid w:val="000F0D13"/>
    <w:rsid w:val="000F25D7"/>
    <w:rsid w:val="000F3A7D"/>
    <w:rsid w:val="000F4C05"/>
    <w:rsid w:val="000F4E5A"/>
    <w:rsid w:val="000F55CF"/>
    <w:rsid w:val="000F5E53"/>
    <w:rsid w:val="000F74F7"/>
    <w:rsid w:val="000F7BCF"/>
    <w:rsid w:val="00101156"/>
    <w:rsid w:val="00101467"/>
    <w:rsid w:val="0010149F"/>
    <w:rsid w:val="00101EEC"/>
    <w:rsid w:val="00103108"/>
    <w:rsid w:val="00103300"/>
    <w:rsid w:val="00105EAE"/>
    <w:rsid w:val="001077C8"/>
    <w:rsid w:val="00107C38"/>
    <w:rsid w:val="00107F63"/>
    <w:rsid w:val="00115212"/>
    <w:rsid w:val="0011570C"/>
    <w:rsid w:val="001158E7"/>
    <w:rsid w:val="0011730C"/>
    <w:rsid w:val="001221DF"/>
    <w:rsid w:val="00124933"/>
    <w:rsid w:val="00125528"/>
    <w:rsid w:val="00125FA4"/>
    <w:rsid w:val="00126566"/>
    <w:rsid w:val="00132588"/>
    <w:rsid w:val="00132C9E"/>
    <w:rsid w:val="00132DC1"/>
    <w:rsid w:val="001335E4"/>
    <w:rsid w:val="0013394A"/>
    <w:rsid w:val="0013470C"/>
    <w:rsid w:val="00137230"/>
    <w:rsid w:val="0014185E"/>
    <w:rsid w:val="00143377"/>
    <w:rsid w:val="00144D87"/>
    <w:rsid w:val="0014614E"/>
    <w:rsid w:val="00146991"/>
    <w:rsid w:val="00146EA6"/>
    <w:rsid w:val="00146F93"/>
    <w:rsid w:val="00147360"/>
    <w:rsid w:val="001507B8"/>
    <w:rsid w:val="00150D79"/>
    <w:rsid w:val="00150E15"/>
    <w:rsid w:val="001519A1"/>
    <w:rsid w:val="001524B3"/>
    <w:rsid w:val="00152566"/>
    <w:rsid w:val="0015344D"/>
    <w:rsid w:val="00154167"/>
    <w:rsid w:val="00154E89"/>
    <w:rsid w:val="0015515B"/>
    <w:rsid w:val="0015550A"/>
    <w:rsid w:val="00155A57"/>
    <w:rsid w:val="0015767E"/>
    <w:rsid w:val="0016007D"/>
    <w:rsid w:val="0016079F"/>
    <w:rsid w:val="001608B1"/>
    <w:rsid w:val="001611E4"/>
    <w:rsid w:val="00161719"/>
    <w:rsid w:val="00161AC9"/>
    <w:rsid w:val="00161DB4"/>
    <w:rsid w:val="0016266D"/>
    <w:rsid w:val="001629A6"/>
    <w:rsid w:val="0016332A"/>
    <w:rsid w:val="00165966"/>
    <w:rsid w:val="00165BC9"/>
    <w:rsid w:val="001710D8"/>
    <w:rsid w:val="00171524"/>
    <w:rsid w:val="001715E7"/>
    <w:rsid w:val="00171918"/>
    <w:rsid w:val="00174D5D"/>
    <w:rsid w:val="00180F1D"/>
    <w:rsid w:val="00182524"/>
    <w:rsid w:val="001847B8"/>
    <w:rsid w:val="001848C5"/>
    <w:rsid w:val="00193A45"/>
    <w:rsid w:val="00197CDC"/>
    <w:rsid w:val="001A1384"/>
    <w:rsid w:val="001A2CF7"/>
    <w:rsid w:val="001A3ECE"/>
    <w:rsid w:val="001A462C"/>
    <w:rsid w:val="001A50F1"/>
    <w:rsid w:val="001A6178"/>
    <w:rsid w:val="001A6641"/>
    <w:rsid w:val="001A6827"/>
    <w:rsid w:val="001A6871"/>
    <w:rsid w:val="001A6C5E"/>
    <w:rsid w:val="001B0775"/>
    <w:rsid w:val="001B0C79"/>
    <w:rsid w:val="001B0CFD"/>
    <w:rsid w:val="001B16D1"/>
    <w:rsid w:val="001B1ABD"/>
    <w:rsid w:val="001B41AB"/>
    <w:rsid w:val="001B480A"/>
    <w:rsid w:val="001B71AA"/>
    <w:rsid w:val="001B7394"/>
    <w:rsid w:val="001C5207"/>
    <w:rsid w:val="001C591A"/>
    <w:rsid w:val="001C7EAA"/>
    <w:rsid w:val="001D00D3"/>
    <w:rsid w:val="001D6055"/>
    <w:rsid w:val="001D6909"/>
    <w:rsid w:val="001D7EC2"/>
    <w:rsid w:val="001E0500"/>
    <w:rsid w:val="001E052D"/>
    <w:rsid w:val="001E0A05"/>
    <w:rsid w:val="001E2075"/>
    <w:rsid w:val="001E24B2"/>
    <w:rsid w:val="001E6008"/>
    <w:rsid w:val="001E750E"/>
    <w:rsid w:val="001E7C51"/>
    <w:rsid w:val="001E7CFF"/>
    <w:rsid w:val="001F006D"/>
    <w:rsid w:val="001F0960"/>
    <w:rsid w:val="001F0B2F"/>
    <w:rsid w:val="001F0C33"/>
    <w:rsid w:val="001F1DE5"/>
    <w:rsid w:val="001F27C1"/>
    <w:rsid w:val="001F2EBF"/>
    <w:rsid w:val="001F46B7"/>
    <w:rsid w:val="001F4CAF"/>
    <w:rsid w:val="001F7092"/>
    <w:rsid w:val="001F7857"/>
    <w:rsid w:val="002013BD"/>
    <w:rsid w:val="00202B3B"/>
    <w:rsid w:val="00202FDC"/>
    <w:rsid w:val="00203239"/>
    <w:rsid w:val="00203CCB"/>
    <w:rsid w:val="00203F5A"/>
    <w:rsid w:val="00205DAA"/>
    <w:rsid w:val="002076F4"/>
    <w:rsid w:val="00207E29"/>
    <w:rsid w:val="00210886"/>
    <w:rsid w:val="00212171"/>
    <w:rsid w:val="00212760"/>
    <w:rsid w:val="0021298D"/>
    <w:rsid w:val="0021484B"/>
    <w:rsid w:val="00216B14"/>
    <w:rsid w:val="00217619"/>
    <w:rsid w:val="002177CD"/>
    <w:rsid w:val="00220B3A"/>
    <w:rsid w:val="00220BB4"/>
    <w:rsid w:val="00220EDC"/>
    <w:rsid w:val="00221E1A"/>
    <w:rsid w:val="0022223D"/>
    <w:rsid w:val="002248C2"/>
    <w:rsid w:val="002266FA"/>
    <w:rsid w:val="00227077"/>
    <w:rsid w:val="00231A70"/>
    <w:rsid w:val="002327FC"/>
    <w:rsid w:val="00232CF4"/>
    <w:rsid w:val="00233883"/>
    <w:rsid w:val="00236061"/>
    <w:rsid w:val="00236E5A"/>
    <w:rsid w:val="00237D9A"/>
    <w:rsid w:val="0024090A"/>
    <w:rsid w:val="00241383"/>
    <w:rsid w:val="00243DB8"/>
    <w:rsid w:val="00244785"/>
    <w:rsid w:val="00244DDF"/>
    <w:rsid w:val="00245207"/>
    <w:rsid w:val="00245234"/>
    <w:rsid w:val="00245FED"/>
    <w:rsid w:val="002468F0"/>
    <w:rsid w:val="00250DDF"/>
    <w:rsid w:val="00250EE1"/>
    <w:rsid w:val="00251451"/>
    <w:rsid w:val="00260347"/>
    <w:rsid w:val="00260486"/>
    <w:rsid w:val="002609A3"/>
    <w:rsid w:val="00263DBA"/>
    <w:rsid w:val="002700AA"/>
    <w:rsid w:val="00271224"/>
    <w:rsid w:val="002715D4"/>
    <w:rsid w:val="00271DF6"/>
    <w:rsid w:val="0027265C"/>
    <w:rsid w:val="00274491"/>
    <w:rsid w:val="00274857"/>
    <w:rsid w:val="00276F76"/>
    <w:rsid w:val="002808BB"/>
    <w:rsid w:val="00280BE2"/>
    <w:rsid w:val="00280C7E"/>
    <w:rsid w:val="00282001"/>
    <w:rsid w:val="00282662"/>
    <w:rsid w:val="0028396E"/>
    <w:rsid w:val="002846FD"/>
    <w:rsid w:val="00284926"/>
    <w:rsid w:val="00285054"/>
    <w:rsid w:val="00285617"/>
    <w:rsid w:val="00285F17"/>
    <w:rsid w:val="00286606"/>
    <w:rsid w:val="0028712F"/>
    <w:rsid w:val="0028796C"/>
    <w:rsid w:val="00287AD2"/>
    <w:rsid w:val="00287B88"/>
    <w:rsid w:val="002905D4"/>
    <w:rsid w:val="002908ED"/>
    <w:rsid w:val="00290CF6"/>
    <w:rsid w:val="002919AC"/>
    <w:rsid w:val="00291C91"/>
    <w:rsid w:val="00292854"/>
    <w:rsid w:val="002935F3"/>
    <w:rsid w:val="00295CE1"/>
    <w:rsid w:val="0029662E"/>
    <w:rsid w:val="00296A5D"/>
    <w:rsid w:val="002A0DC8"/>
    <w:rsid w:val="002A129F"/>
    <w:rsid w:val="002A13DE"/>
    <w:rsid w:val="002A3339"/>
    <w:rsid w:val="002A4631"/>
    <w:rsid w:val="002A4D4C"/>
    <w:rsid w:val="002A5EB8"/>
    <w:rsid w:val="002A5F46"/>
    <w:rsid w:val="002B0A7F"/>
    <w:rsid w:val="002B0FA7"/>
    <w:rsid w:val="002B1122"/>
    <w:rsid w:val="002B1D47"/>
    <w:rsid w:val="002B2195"/>
    <w:rsid w:val="002B2CD9"/>
    <w:rsid w:val="002B3057"/>
    <w:rsid w:val="002B390C"/>
    <w:rsid w:val="002B3D18"/>
    <w:rsid w:val="002B56C9"/>
    <w:rsid w:val="002B5BCA"/>
    <w:rsid w:val="002B5C12"/>
    <w:rsid w:val="002B7C8B"/>
    <w:rsid w:val="002B7D19"/>
    <w:rsid w:val="002C05F2"/>
    <w:rsid w:val="002C1372"/>
    <w:rsid w:val="002C1CB3"/>
    <w:rsid w:val="002C252B"/>
    <w:rsid w:val="002C2E69"/>
    <w:rsid w:val="002C3D87"/>
    <w:rsid w:val="002C482B"/>
    <w:rsid w:val="002C486D"/>
    <w:rsid w:val="002C4B97"/>
    <w:rsid w:val="002C6050"/>
    <w:rsid w:val="002D3951"/>
    <w:rsid w:val="002D562D"/>
    <w:rsid w:val="002D5BAD"/>
    <w:rsid w:val="002D6ECD"/>
    <w:rsid w:val="002E0096"/>
    <w:rsid w:val="002E2172"/>
    <w:rsid w:val="002E220B"/>
    <w:rsid w:val="002E5E09"/>
    <w:rsid w:val="002F1BAF"/>
    <w:rsid w:val="002F42B8"/>
    <w:rsid w:val="002F44FC"/>
    <w:rsid w:val="002F6F3A"/>
    <w:rsid w:val="0030126A"/>
    <w:rsid w:val="00301616"/>
    <w:rsid w:val="00301D78"/>
    <w:rsid w:val="0030241B"/>
    <w:rsid w:val="00303E3C"/>
    <w:rsid w:val="0030438B"/>
    <w:rsid w:val="00305139"/>
    <w:rsid w:val="00306602"/>
    <w:rsid w:val="003131E1"/>
    <w:rsid w:val="0031572B"/>
    <w:rsid w:val="0031614C"/>
    <w:rsid w:val="003171BD"/>
    <w:rsid w:val="00317AAF"/>
    <w:rsid w:val="00320BE2"/>
    <w:rsid w:val="00320E89"/>
    <w:rsid w:val="0032229E"/>
    <w:rsid w:val="00325FEE"/>
    <w:rsid w:val="00327BF2"/>
    <w:rsid w:val="003318C0"/>
    <w:rsid w:val="003339D5"/>
    <w:rsid w:val="003365D5"/>
    <w:rsid w:val="00337054"/>
    <w:rsid w:val="003422DF"/>
    <w:rsid w:val="00343B2F"/>
    <w:rsid w:val="00345A05"/>
    <w:rsid w:val="00345DBB"/>
    <w:rsid w:val="003464F2"/>
    <w:rsid w:val="0034746D"/>
    <w:rsid w:val="00351430"/>
    <w:rsid w:val="00352A7F"/>
    <w:rsid w:val="00352AB5"/>
    <w:rsid w:val="003603E1"/>
    <w:rsid w:val="00364B12"/>
    <w:rsid w:val="0036776E"/>
    <w:rsid w:val="003700B5"/>
    <w:rsid w:val="00370389"/>
    <w:rsid w:val="00370E46"/>
    <w:rsid w:val="00371697"/>
    <w:rsid w:val="00372F70"/>
    <w:rsid w:val="003733CE"/>
    <w:rsid w:val="00373DB4"/>
    <w:rsid w:val="00375A7F"/>
    <w:rsid w:val="00380A1F"/>
    <w:rsid w:val="00382B6C"/>
    <w:rsid w:val="0038592A"/>
    <w:rsid w:val="003874FC"/>
    <w:rsid w:val="00387872"/>
    <w:rsid w:val="00387D6B"/>
    <w:rsid w:val="00390047"/>
    <w:rsid w:val="0039006F"/>
    <w:rsid w:val="00391CBC"/>
    <w:rsid w:val="00393F9B"/>
    <w:rsid w:val="0039452B"/>
    <w:rsid w:val="00394FB7"/>
    <w:rsid w:val="00396A5A"/>
    <w:rsid w:val="003A1DB7"/>
    <w:rsid w:val="003A21E7"/>
    <w:rsid w:val="003A31A8"/>
    <w:rsid w:val="003A570A"/>
    <w:rsid w:val="003A60E7"/>
    <w:rsid w:val="003A6445"/>
    <w:rsid w:val="003A677D"/>
    <w:rsid w:val="003A6F6B"/>
    <w:rsid w:val="003A7E30"/>
    <w:rsid w:val="003B0F7F"/>
    <w:rsid w:val="003B2135"/>
    <w:rsid w:val="003B22DB"/>
    <w:rsid w:val="003B3D53"/>
    <w:rsid w:val="003B4049"/>
    <w:rsid w:val="003B4BA4"/>
    <w:rsid w:val="003B55AF"/>
    <w:rsid w:val="003C5797"/>
    <w:rsid w:val="003C594D"/>
    <w:rsid w:val="003C5C11"/>
    <w:rsid w:val="003C6540"/>
    <w:rsid w:val="003D0862"/>
    <w:rsid w:val="003D35DA"/>
    <w:rsid w:val="003D5014"/>
    <w:rsid w:val="003D5730"/>
    <w:rsid w:val="003D6C88"/>
    <w:rsid w:val="003D7936"/>
    <w:rsid w:val="003E194F"/>
    <w:rsid w:val="003E2232"/>
    <w:rsid w:val="003E2BA5"/>
    <w:rsid w:val="003E2BA6"/>
    <w:rsid w:val="003E303C"/>
    <w:rsid w:val="003E5D39"/>
    <w:rsid w:val="003E5F4D"/>
    <w:rsid w:val="003E6E39"/>
    <w:rsid w:val="003E7554"/>
    <w:rsid w:val="003E76BE"/>
    <w:rsid w:val="003E7B8E"/>
    <w:rsid w:val="003E7E27"/>
    <w:rsid w:val="003F100B"/>
    <w:rsid w:val="003F4CBE"/>
    <w:rsid w:val="003F50D0"/>
    <w:rsid w:val="003F66AB"/>
    <w:rsid w:val="003F6838"/>
    <w:rsid w:val="003F6C82"/>
    <w:rsid w:val="003F6D03"/>
    <w:rsid w:val="003F73EF"/>
    <w:rsid w:val="003F7AC1"/>
    <w:rsid w:val="004020F2"/>
    <w:rsid w:val="00402DDC"/>
    <w:rsid w:val="004033A1"/>
    <w:rsid w:val="0040718D"/>
    <w:rsid w:val="004103A3"/>
    <w:rsid w:val="00410AD9"/>
    <w:rsid w:val="00411DA4"/>
    <w:rsid w:val="0041277C"/>
    <w:rsid w:val="004135A3"/>
    <w:rsid w:val="004151C9"/>
    <w:rsid w:val="00415861"/>
    <w:rsid w:val="00415EB1"/>
    <w:rsid w:val="00417C45"/>
    <w:rsid w:val="004203AD"/>
    <w:rsid w:val="00420821"/>
    <w:rsid w:val="0042425C"/>
    <w:rsid w:val="0042522C"/>
    <w:rsid w:val="0042709B"/>
    <w:rsid w:val="004304B0"/>
    <w:rsid w:val="0043215A"/>
    <w:rsid w:val="0043289D"/>
    <w:rsid w:val="004338B6"/>
    <w:rsid w:val="00433DF8"/>
    <w:rsid w:val="00441C49"/>
    <w:rsid w:val="00442968"/>
    <w:rsid w:val="004441F0"/>
    <w:rsid w:val="004448A9"/>
    <w:rsid w:val="004451E5"/>
    <w:rsid w:val="00445982"/>
    <w:rsid w:val="004526E3"/>
    <w:rsid w:val="00455105"/>
    <w:rsid w:val="00455676"/>
    <w:rsid w:val="00455EC8"/>
    <w:rsid w:val="00456167"/>
    <w:rsid w:val="00457C09"/>
    <w:rsid w:val="00460380"/>
    <w:rsid w:val="0046068A"/>
    <w:rsid w:val="004619E4"/>
    <w:rsid w:val="00461CC1"/>
    <w:rsid w:val="004648AB"/>
    <w:rsid w:val="00464E16"/>
    <w:rsid w:val="00467B04"/>
    <w:rsid w:val="00470D66"/>
    <w:rsid w:val="004719BA"/>
    <w:rsid w:val="00471F38"/>
    <w:rsid w:val="00472885"/>
    <w:rsid w:val="00472DEC"/>
    <w:rsid w:val="0047433B"/>
    <w:rsid w:val="00474B64"/>
    <w:rsid w:val="00481884"/>
    <w:rsid w:val="00482525"/>
    <w:rsid w:val="00482940"/>
    <w:rsid w:val="0048313D"/>
    <w:rsid w:val="00483659"/>
    <w:rsid w:val="0048513F"/>
    <w:rsid w:val="0048561B"/>
    <w:rsid w:val="004870E6"/>
    <w:rsid w:val="0048737C"/>
    <w:rsid w:val="004947CA"/>
    <w:rsid w:val="00495BC3"/>
    <w:rsid w:val="004A069F"/>
    <w:rsid w:val="004A0DD9"/>
    <w:rsid w:val="004A2764"/>
    <w:rsid w:val="004A3AB8"/>
    <w:rsid w:val="004A5647"/>
    <w:rsid w:val="004A7B36"/>
    <w:rsid w:val="004B0E9A"/>
    <w:rsid w:val="004B3B7E"/>
    <w:rsid w:val="004B3FD8"/>
    <w:rsid w:val="004C1A00"/>
    <w:rsid w:val="004C1B13"/>
    <w:rsid w:val="004C2669"/>
    <w:rsid w:val="004C4754"/>
    <w:rsid w:val="004C4ABE"/>
    <w:rsid w:val="004C4EF8"/>
    <w:rsid w:val="004D123C"/>
    <w:rsid w:val="004D146D"/>
    <w:rsid w:val="004D3C0F"/>
    <w:rsid w:val="004D5DAE"/>
    <w:rsid w:val="004D677D"/>
    <w:rsid w:val="004D7C1C"/>
    <w:rsid w:val="004E0966"/>
    <w:rsid w:val="004E4D39"/>
    <w:rsid w:val="004E591D"/>
    <w:rsid w:val="004E5F55"/>
    <w:rsid w:val="004E6C86"/>
    <w:rsid w:val="004F160C"/>
    <w:rsid w:val="004F217E"/>
    <w:rsid w:val="004F2AAB"/>
    <w:rsid w:val="004F32F1"/>
    <w:rsid w:val="004F35A7"/>
    <w:rsid w:val="004F61E5"/>
    <w:rsid w:val="004F6C37"/>
    <w:rsid w:val="004F728E"/>
    <w:rsid w:val="00500187"/>
    <w:rsid w:val="00500D0B"/>
    <w:rsid w:val="005030E5"/>
    <w:rsid w:val="00504B71"/>
    <w:rsid w:val="00504C53"/>
    <w:rsid w:val="00505640"/>
    <w:rsid w:val="00506447"/>
    <w:rsid w:val="0050692A"/>
    <w:rsid w:val="00507182"/>
    <w:rsid w:val="005077F6"/>
    <w:rsid w:val="0051208C"/>
    <w:rsid w:val="0051407F"/>
    <w:rsid w:val="00514292"/>
    <w:rsid w:val="00515B14"/>
    <w:rsid w:val="00515F4E"/>
    <w:rsid w:val="005163A6"/>
    <w:rsid w:val="00516BD7"/>
    <w:rsid w:val="00523206"/>
    <w:rsid w:val="00523ADE"/>
    <w:rsid w:val="0052432B"/>
    <w:rsid w:val="005271AF"/>
    <w:rsid w:val="00527FA4"/>
    <w:rsid w:val="00530F1A"/>
    <w:rsid w:val="0053110E"/>
    <w:rsid w:val="0053122C"/>
    <w:rsid w:val="00531486"/>
    <w:rsid w:val="00531586"/>
    <w:rsid w:val="0053350A"/>
    <w:rsid w:val="00535133"/>
    <w:rsid w:val="00535F25"/>
    <w:rsid w:val="0053678D"/>
    <w:rsid w:val="00537D0F"/>
    <w:rsid w:val="005410D4"/>
    <w:rsid w:val="00542C41"/>
    <w:rsid w:val="00546A85"/>
    <w:rsid w:val="005473EA"/>
    <w:rsid w:val="00547CCF"/>
    <w:rsid w:val="00552AF9"/>
    <w:rsid w:val="00552B96"/>
    <w:rsid w:val="0055573F"/>
    <w:rsid w:val="00556447"/>
    <w:rsid w:val="005564C1"/>
    <w:rsid w:val="005574BE"/>
    <w:rsid w:val="00560AE1"/>
    <w:rsid w:val="00560B71"/>
    <w:rsid w:val="005615DB"/>
    <w:rsid w:val="00563F34"/>
    <w:rsid w:val="00566475"/>
    <w:rsid w:val="00570466"/>
    <w:rsid w:val="00571EDF"/>
    <w:rsid w:val="005720C2"/>
    <w:rsid w:val="0057335A"/>
    <w:rsid w:val="00573777"/>
    <w:rsid w:val="00574884"/>
    <w:rsid w:val="0057556C"/>
    <w:rsid w:val="00580892"/>
    <w:rsid w:val="00580ED7"/>
    <w:rsid w:val="00580FDD"/>
    <w:rsid w:val="00583F61"/>
    <w:rsid w:val="00584A04"/>
    <w:rsid w:val="00585696"/>
    <w:rsid w:val="00586612"/>
    <w:rsid w:val="005901B9"/>
    <w:rsid w:val="00590215"/>
    <w:rsid w:val="00593B21"/>
    <w:rsid w:val="00594415"/>
    <w:rsid w:val="00595632"/>
    <w:rsid w:val="005958CC"/>
    <w:rsid w:val="00595A2D"/>
    <w:rsid w:val="00597928"/>
    <w:rsid w:val="00597C0C"/>
    <w:rsid w:val="005A0EB4"/>
    <w:rsid w:val="005A0F74"/>
    <w:rsid w:val="005A1062"/>
    <w:rsid w:val="005A1658"/>
    <w:rsid w:val="005A1BAE"/>
    <w:rsid w:val="005A1CFF"/>
    <w:rsid w:val="005A320F"/>
    <w:rsid w:val="005A4B38"/>
    <w:rsid w:val="005A71DD"/>
    <w:rsid w:val="005A7E43"/>
    <w:rsid w:val="005B1442"/>
    <w:rsid w:val="005B1FDA"/>
    <w:rsid w:val="005B6BC9"/>
    <w:rsid w:val="005B7160"/>
    <w:rsid w:val="005B731B"/>
    <w:rsid w:val="005C3911"/>
    <w:rsid w:val="005C56C5"/>
    <w:rsid w:val="005C56CF"/>
    <w:rsid w:val="005C6B2D"/>
    <w:rsid w:val="005D0942"/>
    <w:rsid w:val="005D1134"/>
    <w:rsid w:val="005D37BC"/>
    <w:rsid w:val="005D429C"/>
    <w:rsid w:val="005D4954"/>
    <w:rsid w:val="005D698E"/>
    <w:rsid w:val="005D7997"/>
    <w:rsid w:val="005E19C8"/>
    <w:rsid w:val="005E2AF5"/>
    <w:rsid w:val="005E3720"/>
    <w:rsid w:val="005E37BD"/>
    <w:rsid w:val="005E3EE1"/>
    <w:rsid w:val="005E7485"/>
    <w:rsid w:val="005F21BB"/>
    <w:rsid w:val="005F29AA"/>
    <w:rsid w:val="005F6726"/>
    <w:rsid w:val="005F73E9"/>
    <w:rsid w:val="00600912"/>
    <w:rsid w:val="00600BE1"/>
    <w:rsid w:val="006018DA"/>
    <w:rsid w:val="00601B05"/>
    <w:rsid w:val="00603E71"/>
    <w:rsid w:val="00604D28"/>
    <w:rsid w:val="00605B2F"/>
    <w:rsid w:val="00607720"/>
    <w:rsid w:val="006106B1"/>
    <w:rsid w:val="00613513"/>
    <w:rsid w:val="006151EA"/>
    <w:rsid w:val="006152E7"/>
    <w:rsid w:val="006158D4"/>
    <w:rsid w:val="00615A9D"/>
    <w:rsid w:val="00615F9A"/>
    <w:rsid w:val="006160BB"/>
    <w:rsid w:val="006170C6"/>
    <w:rsid w:val="0061749B"/>
    <w:rsid w:val="00617F38"/>
    <w:rsid w:val="00621650"/>
    <w:rsid w:val="00621680"/>
    <w:rsid w:val="00621F48"/>
    <w:rsid w:val="00622983"/>
    <w:rsid w:val="00623281"/>
    <w:rsid w:val="00624320"/>
    <w:rsid w:val="006267B1"/>
    <w:rsid w:val="00630BF4"/>
    <w:rsid w:val="00630E63"/>
    <w:rsid w:val="00631E51"/>
    <w:rsid w:val="00632BC5"/>
    <w:rsid w:val="00634A8E"/>
    <w:rsid w:val="00634FDA"/>
    <w:rsid w:val="0063523E"/>
    <w:rsid w:val="00636D7D"/>
    <w:rsid w:val="00636DF8"/>
    <w:rsid w:val="00637608"/>
    <w:rsid w:val="006412B6"/>
    <w:rsid w:val="006423F3"/>
    <w:rsid w:val="006445CF"/>
    <w:rsid w:val="00644764"/>
    <w:rsid w:val="00645C9B"/>
    <w:rsid w:val="00650071"/>
    <w:rsid w:val="006501B8"/>
    <w:rsid w:val="00650AC9"/>
    <w:rsid w:val="00651335"/>
    <w:rsid w:val="00651BA8"/>
    <w:rsid w:val="006548EF"/>
    <w:rsid w:val="00655784"/>
    <w:rsid w:val="00655B0A"/>
    <w:rsid w:val="00655B2E"/>
    <w:rsid w:val="00655CF2"/>
    <w:rsid w:val="0065620C"/>
    <w:rsid w:val="0065653B"/>
    <w:rsid w:val="00656D91"/>
    <w:rsid w:val="006574B4"/>
    <w:rsid w:val="006605E8"/>
    <w:rsid w:val="006610F9"/>
    <w:rsid w:val="00661FDD"/>
    <w:rsid w:val="00663A51"/>
    <w:rsid w:val="0066474C"/>
    <w:rsid w:val="00664FB4"/>
    <w:rsid w:val="00665C06"/>
    <w:rsid w:val="0066607B"/>
    <w:rsid w:val="00666D1B"/>
    <w:rsid w:val="00666E43"/>
    <w:rsid w:val="00666EC8"/>
    <w:rsid w:val="00667BC4"/>
    <w:rsid w:val="00667F43"/>
    <w:rsid w:val="0067045C"/>
    <w:rsid w:val="006707B3"/>
    <w:rsid w:val="00670DED"/>
    <w:rsid w:val="006731E4"/>
    <w:rsid w:val="00674F64"/>
    <w:rsid w:val="00675AFF"/>
    <w:rsid w:val="00676EC9"/>
    <w:rsid w:val="00677C74"/>
    <w:rsid w:val="006823C2"/>
    <w:rsid w:val="006828F3"/>
    <w:rsid w:val="00682EF4"/>
    <w:rsid w:val="006836DD"/>
    <w:rsid w:val="00684E22"/>
    <w:rsid w:val="006861BC"/>
    <w:rsid w:val="00687022"/>
    <w:rsid w:val="00690D3B"/>
    <w:rsid w:val="0069153F"/>
    <w:rsid w:val="0069237B"/>
    <w:rsid w:val="00692DB2"/>
    <w:rsid w:val="00694471"/>
    <w:rsid w:val="00696FD4"/>
    <w:rsid w:val="00697ACF"/>
    <w:rsid w:val="006A178F"/>
    <w:rsid w:val="006A3908"/>
    <w:rsid w:val="006A4876"/>
    <w:rsid w:val="006A4CEC"/>
    <w:rsid w:val="006A6163"/>
    <w:rsid w:val="006A78EF"/>
    <w:rsid w:val="006B0B2C"/>
    <w:rsid w:val="006B2B38"/>
    <w:rsid w:val="006B3CD1"/>
    <w:rsid w:val="006B3DF3"/>
    <w:rsid w:val="006B485F"/>
    <w:rsid w:val="006B5753"/>
    <w:rsid w:val="006B738D"/>
    <w:rsid w:val="006C176F"/>
    <w:rsid w:val="006C23DA"/>
    <w:rsid w:val="006C3E83"/>
    <w:rsid w:val="006C4ADA"/>
    <w:rsid w:val="006C57FD"/>
    <w:rsid w:val="006C75A9"/>
    <w:rsid w:val="006D0C01"/>
    <w:rsid w:val="006D10E8"/>
    <w:rsid w:val="006D27FB"/>
    <w:rsid w:val="006D2B70"/>
    <w:rsid w:val="006D2C9D"/>
    <w:rsid w:val="006D3F53"/>
    <w:rsid w:val="006D46D5"/>
    <w:rsid w:val="006E0020"/>
    <w:rsid w:val="006E13E7"/>
    <w:rsid w:val="006E1445"/>
    <w:rsid w:val="006E4148"/>
    <w:rsid w:val="006E4572"/>
    <w:rsid w:val="006E528C"/>
    <w:rsid w:val="006E579F"/>
    <w:rsid w:val="006E62B8"/>
    <w:rsid w:val="006F3257"/>
    <w:rsid w:val="006F3BDD"/>
    <w:rsid w:val="006F3D01"/>
    <w:rsid w:val="006F3F58"/>
    <w:rsid w:val="006F69AF"/>
    <w:rsid w:val="00703B0A"/>
    <w:rsid w:val="00703BD4"/>
    <w:rsid w:val="00703C4C"/>
    <w:rsid w:val="00704DD3"/>
    <w:rsid w:val="00706A57"/>
    <w:rsid w:val="00711F9D"/>
    <w:rsid w:val="007125BC"/>
    <w:rsid w:val="00713746"/>
    <w:rsid w:val="00714AF9"/>
    <w:rsid w:val="00715C94"/>
    <w:rsid w:val="007174A3"/>
    <w:rsid w:val="00720896"/>
    <w:rsid w:val="00722102"/>
    <w:rsid w:val="007235CB"/>
    <w:rsid w:val="0072426C"/>
    <w:rsid w:val="007244DE"/>
    <w:rsid w:val="00724704"/>
    <w:rsid w:val="00727252"/>
    <w:rsid w:val="00727FE8"/>
    <w:rsid w:val="0073216B"/>
    <w:rsid w:val="007327B8"/>
    <w:rsid w:val="00733F32"/>
    <w:rsid w:val="00735C12"/>
    <w:rsid w:val="00740BA4"/>
    <w:rsid w:val="00740D83"/>
    <w:rsid w:val="00740DE4"/>
    <w:rsid w:val="007412F8"/>
    <w:rsid w:val="007415F5"/>
    <w:rsid w:val="00742DD9"/>
    <w:rsid w:val="00743D6A"/>
    <w:rsid w:val="007504C6"/>
    <w:rsid w:val="007510CC"/>
    <w:rsid w:val="007551CA"/>
    <w:rsid w:val="00755AE0"/>
    <w:rsid w:val="007618AE"/>
    <w:rsid w:val="00761959"/>
    <w:rsid w:val="00761B53"/>
    <w:rsid w:val="007624CF"/>
    <w:rsid w:val="00762846"/>
    <w:rsid w:val="00763B6E"/>
    <w:rsid w:val="00763C0E"/>
    <w:rsid w:val="00763F30"/>
    <w:rsid w:val="00765D12"/>
    <w:rsid w:val="00766F89"/>
    <w:rsid w:val="00767FF6"/>
    <w:rsid w:val="00771333"/>
    <w:rsid w:val="007720B9"/>
    <w:rsid w:val="00774EF3"/>
    <w:rsid w:val="007750B1"/>
    <w:rsid w:val="007752F3"/>
    <w:rsid w:val="00777260"/>
    <w:rsid w:val="00782F60"/>
    <w:rsid w:val="00784324"/>
    <w:rsid w:val="007845DC"/>
    <w:rsid w:val="00786754"/>
    <w:rsid w:val="00786AD8"/>
    <w:rsid w:val="00790DAA"/>
    <w:rsid w:val="00791261"/>
    <w:rsid w:val="007916F7"/>
    <w:rsid w:val="00794E25"/>
    <w:rsid w:val="00795DA4"/>
    <w:rsid w:val="00795DAA"/>
    <w:rsid w:val="007A17EC"/>
    <w:rsid w:val="007A1B26"/>
    <w:rsid w:val="007A27B0"/>
    <w:rsid w:val="007A59CB"/>
    <w:rsid w:val="007A6B08"/>
    <w:rsid w:val="007A705B"/>
    <w:rsid w:val="007A7740"/>
    <w:rsid w:val="007B0808"/>
    <w:rsid w:val="007B31CA"/>
    <w:rsid w:val="007B33C2"/>
    <w:rsid w:val="007B7B78"/>
    <w:rsid w:val="007C07B7"/>
    <w:rsid w:val="007C0A3D"/>
    <w:rsid w:val="007C33FB"/>
    <w:rsid w:val="007C56BA"/>
    <w:rsid w:val="007C6DF5"/>
    <w:rsid w:val="007C702F"/>
    <w:rsid w:val="007D1718"/>
    <w:rsid w:val="007D2074"/>
    <w:rsid w:val="007D3041"/>
    <w:rsid w:val="007D3E1A"/>
    <w:rsid w:val="007D5118"/>
    <w:rsid w:val="007D5674"/>
    <w:rsid w:val="007D6190"/>
    <w:rsid w:val="007D7465"/>
    <w:rsid w:val="007E13F9"/>
    <w:rsid w:val="007E182F"/>
    <w:rsid w:val="007E21AD"/>
    <w:rsid w:val="007E24DE"/>
    <w:rsid w:val="007E2827"/>
    <w:rsid w:val="007E3815"/>
    <w:rsid w:val="007E3AF2"/>
    <w:rsid w:val="007E4DCC"/>
    <w:rsid w:val="007E69BA"/>
    <w:rsid w:val="007F0110"/>
    <w:rsid w:val="007F1043"/>
    <w:rsid w:val="007F1D7A"/>
    <w:rsid w:val="007F327F"/>
    <w:rsid w:val="007F380E"/>
    <w:rsid w:val="007F3DFE"/>
    <w:rsid w:val="007F4E3E"/>
    <w:rsid w:val="007F6235"/>
    <w:rsid w:val="007F656C"/>
    <w:rsid w:val="00801B98"/>
    <w:rsid w:val="008032FF"/>
    <w:rsid w:val="00803E78"/>
    <w:rsid w:val="00803F42"/>
    <w:rsid w:val="00806C09"/>
    <w:rsid w:val="00807393"/>
    <w:rsid w:val="008074CF"/>
    <w:rsid w:val="008104B2"/>
    <w:rsid w:val="0081340C"/>
    <w:rsid w:val="00815C64"/>
    <w:rsid w:val="0082239B"/>
    <w:rsid w:val="008223A3"/>
    <w:rsid w:val="00822BC9"/>
    <w:rsid w:val="00823227"/>
    <w:rsid w:val="00823A63"/>
    <w:rsid w:val="00825C81"/>
    <w:rsid w:val="00826411"/>
    <w:rsid w:val="00827BE9"/>
    <w:rsid w:val="00830961"/>
    <w:rsid w:val="00831459"/>
    <w:rsid w:val="00831DF5"/>
    <w:rsid w:val="00832722"/>
    <w:rsid w:val="008327C7"/>
    <w:rsid w:val="00833DEA"/>
    <w:rsid w:val="008346FD"/>
    <w:rsid w:val="008355A8"/>
    <w:rsid w:val="00835CD4"/>
    <w:rsid w:val="00837572"/>
    <w:rsid w:val="00844E68"/>
    <w:rsid w:val="008458CE"/>
    <w:rsid w:val="00845B9F"/>
    <w:rsid w:val="00846CF1"/>
    <w:rsid w:val="00850FA9"/>
    <w:rsid w:val="00851E50"/>
    <w:rsid w:val="00851FA8"/>
    <w:rsid w:val="00852959"/>
    <w:rsid w:val="008552B8"/>
    <w:rsid w:val="008562DE"/>
    <w:rsid w:val="00856739"/>
    <w:rsid w:val="00857706"/>
    <w:rsid w:val="008603A5"/>
    <w:rsid w:val="0086270D"/>
    <w:rsid w:val="00862B40"/>
    <w:rsid w:val="008632EE"/>
    <w:rsid w:val="008640ED"/>
    <w:rsid w:val="008654C4"/>
    <w:rsid w:val="008660B4"/>
    <w:rsid w:val="00866393"/>
    <w:rsid w:val="00866A00"/>
    <w:rsid w:val="00866A19"/>
    <w:rsid w:val="00872E23"/>
    <w:rsid w:val="00874BDA"/>
    <w:rsid w:val="008770CA"/>
    <w:rsid w:val="008800C8"/>
    <w:rsid w:val="00881A11"/>
    <w:rsid w:val="00885D9B"/>
    <w:rsid w:val="0088656C"/>
    <w:rsid w:val="008867ED"/>
    <w:rsid w:val="00886A1D"/>
    <w:rsid w:val="00890886"/>
    <w:rsid w:val="00892914"/>
    <w:rsid w:val="00893102"/>
    <w:rsid w:val="00893239"/>
    <w:rsid w:val="00893941"/>
    <w:rsid w:val="008A0025"/>
    <w:rsid w:val="008A0B3B"/>
    <w:rsid w:val="008A1A35"/>
    <w:rsid w:val="008A2434"/>
    <w:rsid w:val="008A493D"/>
    <w:rsid w:val="008A4E46"/>
    <w:rsid w:val="008A74ED"/>
    <w:rsid w:val="008B1443"/>
    <w:rsid w:val="008B1694"/>
    <w:rsid w:val="008B2150"/>
    <w:rsid w:val="008B2CEB"/>
    <w:rsid w:val="008B4E57"/>
    <w:rsid w:val="008B5EB8"/>
    <w:rsid w:val="008B6308"/>
    <w:rsid w:val="008B7137"/>
    <w:rsid w:val="008B7217"/>
    <w:rsid w:val="008B754A"/>
    <w:rsid w:val="008C03BF"/>
    <w:rsid w:val="008C0896"/>
    <w:rsid w:val="008C0A60"/>
    <w:rsid w:val="008C309E"/>
    <w:rsid w:val="008C4C42"/>
    <w:rsid w:val="008C6A10"/>
    <w:rsid w:val="008C6D70"/>
    <w:rsid w:val="008C6E02"/>
    <w:rsid w:val="008C72A1"/>
    <w:rsid w:val="008D249B"/>
    <w:rsid w:val="008D52E2"/>
    <w:rsid w:val="008D60A7"/>
    <w:rsid w:val="008D6128"/>
    <w:rsid w:val="008D6C9D"/>
    <w:rsid w:val="008D7DF8"/>
    <w:rsid w:val="008D7EA5"/>
    <w:rsid w:val="008E316B"/>
    <w:rsid w:val="008E7492"/>
    <w:rsid w:val="008F07E0"/>
    <w:rsid w:val="008F752B"/>
    <w:rsid w:val="0090206A"/>
    <w:rsid w:val="0090296B"/>
    <w:rsid w:val="00911552"/>
    <w:rsid w:val="009115EF"/>
    <w:rsid w:val="00911A7A"/>
    <w:rsid w:val="00912A7E"/>
    <w:rsid w:val="00913A4A"/>
    <w:rsid w:val="00913F6C"/>
    <w:rsid w:val="0091500C"/>
    <w:rsid w:val="009151F6"/>
    <w:rsid w:val="0091606C"/>
    <w:rsid w:val="00916577"/>
    <w:rsid w:val="00916DFD"/>
    <w:rsid w:val="0091797C"/>
    <w:rsid w:val="00921BF8"/>
    <w:rsid w:val="00921CF5"/>
    <w:rsid w:val="00922561"/>
    <w:rsid w:val="009226F7"/>
    <w:rsid w:val="00924D64"/>
    <w:rsid w:val="0092661F"/>
    <w:rsid w:val="00926DAC"/>
    <w:rsid w:val="009300BF"/>
    <w:rsid w:val="0093321D"/>
    <w:rsid w:val="00933761"/>
    <w:rsid w:val="009340FC"/>
    <w:rsid w:val="00935298"/>
    <w:rsid w:val="0093650E"/>
    <w:rsid w:val="00937C2B"/>
    <w:rsid w:val="00940EE2"/>
    <w:rsid w:val="009419C0"/>
    <w:rsid w:val="00944BCB"/>
    <w:rsid w:val="00944EAE"/>
    <w:rsid w:val="00946081"/>
    <w:rsid w:val="00946D5C"/>
    <w:rsid w:val="00946F4A"/>
    <w:rsid w:val="009512A6"/>
    <w:rsid w:val="009526E5"/>
    <w:rsid w:val="00955E4B"/>
    <w:rsid w:val="00956C3A"/>
    <w:rsid w:val="00961424"/>
    <w:rsid w:val="00962E67"/>
    <w:rsid w:val="009656CE"/>
    <w:rsid w:val="00965825"/>
    <w:rsid w:val="0096776C"/>
    <w:rsid w:val="00970629"/>
    <w:rsid w:val="00971F6B"/>
    <w:rsid w:val="0097616A"/>
    <w:rsid w:val="00976662"/>
    <w:rsid w:val="00977396"/>
    <w:rsid w:val="0098444C"/>
    <w:rsid w:val="00984B30"/>
    <w:rsid w:val="00986C51"/>
    <w:rsid w:val="00986DA9"/>
    <w:rsid w:val="00990540"/>
    <w:rsid w:val="009916EC"/>
    <w:rsid w:val="00991844"/>
    <w:rsid w:val="00993512"/>
    <w:rsid w:val="00993E41"/>
    <w:rsid w:val="00994EAD"/>
    <w:rsid w:val="00995D07"/>
    <w:rsid w:val="0099601F"/>
    <w:rsid w:val="0099607A"/>
    <w:rsid w:val="00996152"/>
    <w:rsid w:val="00996C8F"/>
    <w:rsid w:val="009A3E2B"/>
    <w:rsid w:val="009A3FE2"/>
    <w:rsid w:val="009A516C"/>
    <w:rsid w:val="009A5360"/>
    <w:rsid w:val="009A6848"/>
    <w:rsid w:val="009A6ACB"/>
    <w:rsid w:val="009A6D76"/>
    <w:rsid w:val="009B0830"/>
    <w:rsid w:val="009B1EA5"/>
    <w:rsid w:val="009B29E8"/>
    <w:rsid w:val="009B40D3"/>
    <w:rsid w:val="009B4E40"/>
    <w:rsid w:val="009B77C5"/>
    <w:rsid w:val="009C0448"/>
    <w:rsid w:val="009C08CA"/>
    <w:rsid w:val="009C08E7"/>
    <w:rsid w:val="009C1D67"/>
    <w:rsid w:val="009C23B1"/>
    <w:rsid w:val="009C286A"/>
    <w:rsid w:val="009C3F14"/>
    <w:rsid w:val="009D06F2"/>
    <w:rsid w:val="009D0CDB"/>
    <w:rsid w:val="009D1775"/>
    <w:rsid w:val="009D23D0"/>
    <w:rsid w:val="009D35B9"/>
    <w:rsid w:val="009D3A2F"/>
    <w:rsid w:val="009D3AB5"/>
    <w:rsid w:val="009D422E"/>
    <w:rsid w:val="009D462C"/>
    <w:rsid w:val="009D575E"/>
    <w:rsid w:val="009D6F5F"/>
    <w:rsid w:val="009D7F44"/>
    <w:rsid w:val="009E2329"/>
    <w:rsid w:val="009E36A1"/>
    <w:rsid w:val="009E7037"/>
    <w:rsid w:val="009E78CB"/>
    <w:rsid w:val="009E7959"/>
    <w:rsid w:val="009F01C0"/>
    <w:rsid w:val="009F0EBE"/>
    <w:rsid w:val="009F4147"/>
    <w:rsid w:val="009F4ECD"/>
    <w:rsid w:val="009F58B8"/>
    <w:rsid w:val="009F66FF"/>
    <w:rsid w:val="009F7BAA"/>
    <w:rsid w:val="00A0014B"/>
    <w:rsid w:val="00A01172"/>
    <w:rsid w:val="00A01395"/>
    <w:rsid w:val="00A03262"/>
    <w:rsid w:val="00A04A48"/>
    <w:rsid w:val="00A05939"/>
    <w:rsid w:val="00A0640E"/>
    <w:rsid w:val="00A10539"/>
    <w:rsid w:val="00A10921"/>
    <w:rsid w:val="00A11488"/>
    <w:rsid w:val="00A125EC"/>
    <w:rsid w:val="00A127E9"/>
    <w:rsid w:val="00A133FC"/>
    <w:rsid w:val="00A164FC"/>
    <w:rsid w:val="00A16ECA"/>
    <w:rsid w:val="00A17ADF"/>
    <w:rsid w:val="00A26746"/>
    <w:rsid w:val="00A270A8"/>
    <w:rsid w:val="00A27F94"/>
    <w:rsid w:val="00A30DDB"/>
    <w:rsid w:val="00A324BA"/>
    <w:rsid w:val="00A334C6"/>
    <w:rsid w:val="00A338AB"/>
    <w:rsid w:val="00A342E2"/>
    <w:rsid w:val="00A354B6"/>
    <w:rsid w:val="00A3600E"/>
    <w:rsid w:val="00A363D5"/>
    <w:rsid w:val="00A36B5B"/>
    <w:rsid w:val="00A36ECE"/>
    <w:rsid w:val="00A4016C"/>
    <w:rsid w:val="00A429D6"/>
    <w:rsid w:val="00A437C5"/>
    <w:rsid w:val="00A456F7"/>
    <w:rsid w:val="00A46421"/>
    <w:rsid w:val="00A46CCF"/>
    <w:rsid w:val="00A46F4A"/>
    <w:rsid w:val="00A46FBD"/>
    <w:rsid w:val="00A50EA1"/>
    <w:rsid w:val="00A526BB"/>
    <w:rsid w:val="00A53583"/>
    <w:rsid w:val="00A54F46"/>
    <w:rsid w:val="00A577E5"/>
    <w:rsid w:val="00A60FF6"/>
    <w:rsid w:val="00A63B14"/>
    <w:rsid w:val="00A6433D"/>
    <w:rsid w:val="00A64873"/>
    <w:rsid w:val="00A64E42"/>
    <w:rsid w:val="00A65408"/>
    <w:rsid w:val="00A65456"/>
    <w:rsid w:val="00A656C7"/>
    <w:rsid w:val="00A66665"/>
    <w:rsid w:val="00A67C88"/>
    <w:rsid w:val="00A708C1"/>
    <w:rsid w:val="00A715E5"/>
    <w:rsid w:val="00A72350"/>
    <w:rsid w:val="00A72B19"/>
    <w:rsid w:val="00A746FC"/>
    <w:rsid w:val="00A74A45"/>
    <w:rsid w:val="00A805D8"/>
    <w:rsid w:val="00A80952"/>
    <w:rsid w:val="00A8262A"/>
    <w:rsid w:val="00A827F3"/>
    <w:rsid w:val="00A82E0C"/>
    <w:rsid w:val="00A82E3A"/>
    <w:rsid w:val="00A836A5"/>
    <w:rsid w:val="00A83BB7"/>
    <w:rsid w:val="00A86D71"/>
    <w:rsid w:val="00A87185"/>
    <w:rsid w:val="00A90F50"/>
    <w:rsid w:val="00A91620"/>
    <w:rsid w:val="00A96949"/>
    <w:rsid w:val="00A9789E"/>
    <w:rsid w:val="00AA12A3"/>
    <w:rsid w:val="00AA363F"/>
    <w:rsid w:val="00AA394C"/>
    <w:rsid w:val="00AA3DB3"/>
    <w:rsid w:val="00AA5CBD"/>
    <w:rsid w:val="00AA681E"/>
    <w:rsid w:val="00AB0CDC"/>
    <w:rsid w:val="00AB1622"/>
    <w:rsid w:val="00AB1B3F"/>
    <w:rsid w:val="00AB2D27"/>
    <w:rsid w:val="00AB31E3"/>
    <w:rsid w:val="00AB3212"/>
    <w:rsid w:val="00AB37F9"/>
    <w:rsid w:val="00AB4B0A"/>
    <w:rsid w:val="00AB5E32"/>
    <w:rsid w:val="00AB6471"/>
    <w:rsid w:val="00AC01CA"/>
    <w:rsid w:val="00AC2152"/>
    <w:rsid w:val="00AC2316"/>
    <w:rsid w:val="00AC49FE"/>
    <w:rsid w:val="00AC55A3"/>
    <w:rsid w:val="00AD0453"/>
    <w:rsid w:val="00AD18E4"/>
    <w:rsid w:val="00AD2EE7"/>
    <w:rsid w:val="00AD4597"/>
    <w:rsid w:val="00AD6FA4"/>
    <w:rsid w:val="00AD7F55"/>
    <w:rsid w:val="00AE2F95"/>
    <w:rsid w:val="00AE3001"/>
    <w:rsid w:val="00AE3F25"/>
    <w:rsid w:val="00AE3F5D"/>
    <w:rsid w:val="00AE48CA"/>
    <w:rsid w:val="00AE5C6F"/>
    <w:rsid w:val="00AE79F2"/>
    <w:rsid w:val="00AF118D"/>
    <w:rsid w:val="00AF1B37"/>
    <w:rsid w:val="00AF2122"/>
    <w:rsid w:val="00AF229D"/>
    <w:rsid w:val="00AF25BC"/>
    <w:rsid w:val="00AF2EF6"/>
    <w:rsid w:val="00AF353A"/>
    <w:rsid w:val="00AF46A0"/>
    <w:rsid w:val="00AF4865"/>
    <w:rsid w:val="00AF523F"/>
    <w:rsid w:val="00AF68DC"/>
    <w:rsid w:val="00AF7FE2"/>
    <w:rsid w:val="00B00212"/>
    <w:rsid w:val="00B00A2D"/>
    <w:rsid w:val="00B00D2E"/>
    <w:rsid w:val="00B0104E"/>
    <w:rsid w:val="00B0124B"/>
    <w:rsid w:val="00B01CA0"/>
    <w:rsid w:val="00B03EB8"/>
    <w:rsid w:val="00B04EBE"/>
    <w:rsid w:val="00B061CB"/>
    <w:rsid w:val="00B06664"/>
    <w:rsid w:val="00B1060D"/>
    <w:rsid w:val="00B1194B"/>
    <w:rsid w:val="00B123C7"/>
    <w:rsid w:val="00B13BA7"/>
    <w:rsid w:val="00B14658"/>
    <w:rsid w:val="00B14907"/>
    <w:rsid w:val="00B1524A"/>
    <w:rsid w:val="00B155EA"/>
    <w:rsid w:val="00B206B2"/>
    <w:rsid w:val="00B2353E"/>
    <w:rsid w:val="00B24AFF"/>
    <w:rsid w:val="00B31E51"/>
    <w:rsid w:val="00B361D9"/>
    <w:rsid w:val="00B367D8"/>
    <w:rsid w:val="00B367DF"/>
    <w:rsid w:val="00B40352"/>
    <w:rsid w:val="00B41011"/>
    <w:rsid w:val="00B4133E"/>
    <w:rsid w:val="00B42D5A"/>
    <w:rsid w:val="00B539CB"/>
    <w:rsid w:val="00B65174"/>
    <w:rsid w:val="00B65DDE"/>
    <w:rsid w:val="00B661A1"/>
    <w:rsid w:val="00B66663"/>
    <w:rsid w:val="00B678D1"/>
    <w:rsid w:val="00B707B9"/>
    <w:rsid w:val="00B8078D"/>
    <w:rsid w:val="00B81CE5"/>
    <w:rsid w:val="00B82CE1"/>
    <w:rsid w:val="00B85465"/>
    <w:rsid w:val="00B86789"/>
    <w:rsid w:val="00B872CD"/>
    <w:rsid w:val="00B87C43"/>
    <w:rsid w:val="00B94FA3"/>
    <w:rsid w:val="00B97A42"/>
    <w:rsid w:val="00BA22D2"/>
    <w:rsid w:val="00BA3BDB"/>
    <w:rsid w:val="00BA7055"/>
    <w:rsid w:val="00BA7C29"/>
    <w:rsid w:val="00BB017D"/>
    <w:rsid w:val="00BB0437"/>
    <w:rsid w:val="00BB2C01"/>
    <w:rsid w:val="00BB2DC4"/>
    <w:rsid w:val="00BB4333"/>
    <w:rsid w:val="00BC104F"/>
    <w:rsid w:val="00BC2425"/>
    <w:rsid w:val="00BC3330"/>
    <w:rsid w:val="00BC38FF"/>
    <w:rsid w:val="00BC4BDC"/>
    <w:rsid w:val="00BC65B3"/>
    <w:rsid w:val="00BC7EFC"/>
    <w:rsid w:val="00BD19B4"/>
    <w:rsid w:val="00BD3F68"/>
    <w:rsid w:val="00BD4A9C"/>
    <w:rsid w:val="00BD53D0"/>
    <w:rsid w:val="00BD726F"/>
    <w:rsid w:val="00BD79CD"/>
    <w:rsid w:val="00BD7C9E"/>
    <w:rsid w:val="00BE10AD"/>
    <w:rsid w:val="00BE15DB"/>
    <w:rsid w:val="00BE1986"/>
    <w:rsid w:val="00BE2386"/>
    <w:rsid w:val="00BE3060"/>
    <w:rsid w:val="00BE327E"/>
    <w:rsid w:val="00BE32F7"/>
    <w:rsid w:val="00BE3CD8"/>
    <w:rsid w:val="00BE3F17"/>
    <w:rsid w:val="00BE45A5"/>
    <w:rsid w:val="00BE5E88"/>
    <w:rsid w:val="00BF06ED"/>
    <w:rsid w:val="00BF1AFD"/>
    <w:rsid w:val="00BF2041"/>
    <w:rsid w:val="00BF304D"/>
    <w:rsid w:val="00BF364B"/>
    <w:rsid w:val="00BF3D1E"/>
    <w:rsid w:val="00BF7C9C"/>
    <w:rsid w:val="00C02B6B"/>
    <w:rsid w:val="00C02E39"/>
    <w:rsid w:val="00C033E8"/>
    <w:rsid w:val="00C11CCA"/>
    <w:rsid w:val="00C13B77"/>
    <w:rsid w:val="00C1432E"/>
    <w:rsid w:val="00C148F4"/>
    <w:rsid w:val="00C14E45"/>
    <w:rsid w:val="00C156AF"/>
    <w:rsid w:val="00C159DF"/>
    <w:rsid w:val="00C15A07"/>
    <w:rsid w:val="00C15D76"/>
    <w:rsid w:val="00C168DD"/>
    <w:rsid w:val="00C20292"/>
    <w:rsid w:val="00C206D6"/>
    <w:rsid w:val="00C212AF"/>
    <w:rsid w:val="00C214E6"/>
    <w:rsid w:val="00C2269F"/>
    <w:rsid w:val="00C23C52"/>
    <w:rsid w:val="00C24F9C"/>
    <w:rsid w:val="00C279A6"/>
    <w:rsid w:val="00C3041B"/>
    <w:rsid w:val="00C31080"/>
    <w:rsid w:val="00C3372F"/>
    <w:rsid w:val="00C353AC"/>
    <w:rsid w:val="00C42B4C"/>
    <w:rsid w:val="00C42E97"/>
    <w:rsid w:val="00C43DB5"/>
    <w:rsid w:val="00C44362"/>
    <w:rsid w:val="00C5002A"/>
    <w:rsid w:val="00C53B87"/>
    <w:rsid w:val="00C54317"/>
    <w:rsid w:val="00C54757"/>
    <w:rsid w:val="00C56112"/>
    <w:rsid w:val="00C56C47"/>
    <w:rsid w:val="00C621B5"/>
    <w:rsid w:val="00C62DBE"/>
    <w:rsid w:val="00C64735"/>
    <w:rsid w:val="00C66771"/>
    <w:rsid w:val="00C67F3D"/>
    <w:rsid w:val="00C709D3"/>
    <w:rsid w:val="00C70C22"/>
    <w:rsid w:val="00C736D8"/>
    <w:rsid w:val="00C747DF"/>
    <w:rsid w:val="00C80079"/>
    <w:rsid w:val="00C8162F"/>
    <w:rsid w:val="00C84081"/>
    <w:rsid w:val="00C841E7"/>
    <w:rsid w:val="00C85F90"/>
    <w:rsid w:val="00C86930"/>
    <w:rsid w:val="00C8743E"/>
    <w:rsid w:val="00C87C6C"/>
    <w:rsid w:val="00C9151A"/>
    <w:rsid w:val="00C916F0"/>
    <w:rsid w:val="00C91948"/>
    <w:rsid w:val="00C94403"/>
    <w:rsid w:val="00C94657"/>
    <w:rsid w:val="00C95678"/>
    <w:rsid w:val="00C96595"/>
    <w:rsid w:val="00C9670A"/>
    <w:rsid w:val="00C96E1B"/>
    <w:rsid w:val="00CA1846"/>
    <w:rsid w:val="00CA1C8D"/>
    <w:rsid w:val="00CA2250"/>
    <w:rsid w:val="00CA3947"/>
    <w:rsid w:val="00CA4A50"/>
    <w:rsid w:val="00CA6131"/>
    <w:rsid w:val="00CA7578"/>
    <w:rsid w:val="00CA78BD"/>
    <w:rsid w:val="00CB1D94"/>
    <w:rsid w:val="00CB20EB"/>
    <w:rsid w:val="00CB24AC"/>
    <w:rsid w:val="00CB24C3"/>
    <w:rsid w:val="00CB5DB6"/>
    <w:rsid w:val="00CB76E9"/>
    <w:rsid w:val="00CC01FD"/>
    <w:rsid w:val="00CC09CE"/>
    <w:rsid w:val="00CC0E69"/>
    <w:rsid w:val="00CC308A"/>
    <w:rsid w:val="00CC3C15"/>
    <w:rsid w:val="00CC550C"/>
    <w:rsid w:val="00CC57B5"/>
    <w:rsid w:val="00CC5C19"/>
    <w:rsid w:val="00CD0087"/>
    <w:rsid w:val="00CD0140"/>
    <w:rsid w:val="00CD240F"/>
    <w:rsid w:val="00CD311F"/>
    <w:rsid w:val="00CE0897"/>
    <w:rsid w:val="00CE0D53"/>
    <w:rsid w:val="00CE0F26"/>
    <w:rsid w:val="00CE1E4C"/>
    <w:rsid w:val="00CE200B"/>
    <w:rsid w:val="00CE26E1"/>
    <w:rsid w:val="00CE4455"/>
    <w:rsid w:val="00CE49AB"/>
    <w:rsid w:val="00CE4C44"/>
    <w:rsid w:val="00CE71FE"/>
    <w:rsid w:val="00CE7A6B"/>
    <w:rsid w:val="00CE7F6B"/>
    <w:rsid w:val="00CF03BA"/>
    <w:rsid w:val="00CF1AD7"/>
    <w:rsid w:val="00CF24B8"/>
    <w:rsid w:val="00CF3A46"/>
    <w:rsid w:val="00CF4923"/>
    <w:rsid w:val="00CF532F"/>
    <w:rsid w:val="00CF6C37"/>
    <w:rsid w:val="00CF6F87"/>
    <w:rsid w:val="00D02CCF"/>
    <w:rsid w:val="00D03934"/>
    <w:rsid w:val="00D05091"/>
    <w:rsid w:val="00D06604"/>
    <w:rsid w:val="00D1007C"/>
    <w:rsid w:val="00D11B89"/>
    <w:rsid w:val="00D126FA"/>
    <w:rsid w:val="00D1311B"/>
    <w:rsid w:val="00D13BD5"/>
    <w:rsid w:val="00D13DD5"/>
    <w:rsid w:val="00D140AE"/>
    <w:rsid w:val="00D154B2"/>
    <w:rsid w:val="00D15721"/>
    <w:rsid w:val="00D158C4"/>
    <w:rsid w:val="00D16106"/>
    <w:rsid w:val="00D243FD"/>
    <w:rsid w:val="00D24A52"/>
    <w:rsid w:val="00D24DE7"/>
    <w:rsid w:val="00D250C5"/>
    <w:rsid w:val="00D308A9"/>
    <w:rsid w:val="00D31353"/>
    <w:rsid w:val="00D31E47"/>
    <w:rsid w:val="00D320B9"/>
    <w:rsid w:val="00D34F5E"/>
    <w:rsid w:val="00D35F43"/>
    <w:rsid w:val="00D40690"/>
    <w:rsid w:val="00D43633"/>
    <w:rsid w:val="00D45D35"/>
    <w:rsid w:val="00D470CB"/>
    <w:rsid w:val="00D50462"/>
    <w:rsid w:val="00D5085A"/>
    <w:rsid w:val="00D51EFC"/>
    <w:rsid w:val="00D52310"/>
    <w:rsid w:val="00D53650"/>
    <w:rsid w:val="00D56618"/>
    <w:rsid w:val="00D569FE"/>
    <w:rsid w:val="00D56CEA"/>
    <w:rsid w:val="00D61696"/>
    <w:rsid w:val="00D62228"/>
    <w:rsid w:val="00D6284B"/>
    <w:rsid w:val="00D64521"/>
    <w:rsid w:val="00D65B1A"/>
    <w:rsid w:val="00D674D1"/>
    <w:rsid w:val="00D703CA"/>
    <w:rsid w:val="00D71E2F"/>
    <w:rsid w:val="00D73CCD"/>
    <w:rsid w:val="00D7487F"/>
    <w:rsid w:val="00D777B6"/>
    <w:rsid w:val="00D77A16"/>
    <w:rsid w:val="00D81FB2"/>
    <w:rsid w:val="00D85032"/>
    <w:rsid w:val="00D85AC5"/>
    <w:rsid w:val="00D874E6"/>
    <w:rsid w:val="00D92649"/>
    <w:rsid w:val="00D9355E"/>
    <w:rsid w:val="00D93929"/>
    <w:rsid w:val="00D93A25"/>
    <w:rsid w:val="00D944D4"/>
    <w:rsid w:val="00D94C93"/>
    <w:rsid w:val="00D953D8"/>
    <w:rsid w:val="00D97E02"/>
    <w:rsid w:val="00DA2536"/>
    <w:rsid w:val="00DA348D"/>
    <w:rsid w:val="00DA463C"/>
    <w:rsid w:val="00DA475F"/>
    <w:rsid w:val="00DA47D1"/>
    <w:rsid w:val="00DA5CC7"/>
    <w:rsid w:val="00DA7B0D"/>
    <w:rsid w:val="00DB1728"/>
    <w:rsid w:val="00DB1E76"/>
    <w:rsid w:val="00DB2F51"/>
    <w:rsid w:val="00DB39B6"/>
    <w:rsid w:val="00DB458F"/>
    <w:rsid w:val="00DB4893"/>
    <w:rsid w:val="00DB50F2"/>
    <w:rsid w:val="00DB5329"/>
    <w:rsid w:val="00DB6804"/>
    <w:rsid w:val="00DB6A75"/>
    <w:rsid w:val="00DB71E4"/>
    <w:rsid w:val="00DC221D"/>
    <w:rsid w:val="00DC33CC"/>
    <w:rsid w:val="00DC7355"/>
    <w:rsid w:val="00DC791F"/>
    <w:rsid w:val="00DD0A4B"/>
    <w:rsid w:val="00DD1E1F"/>
    <w:rsid w:val="00DD2E1A"/>
    <w:rsid w:val="00DD5AB3"/>
    <w:rsid w:val="00DD5AF9"/>
    <w:rsid w:val="00DD6BEF"/>
    <w:rsid w:val="00DE292F"/>
    <w:rsid w:val="00DE3034"/>
    <w:rsid w:val="00DE3635"/>
    <w:rsid w:val="00DE49F0"/>
    <w:rsid w:val="00DE5D56"/>
    <w:rsid w:val="00DE5FEA"/>
    <w:rsid w:val="00DE620E"/>
    <w:rsid w:val="00DF0E1B"/>
    <w:rsid w:val="00DF167C"/>
    <w:rsid w:val="00DF3597"/>
    <w:rsid w:val="00DF6945"/>
    <w:rsid w:val="00E005E6"/>
    <w:rsid w:val="00E00D04"/>
    <w:rsid w:val="00E00E97"/>
    <w:rsid w:val="00E0365B"/>
    <w:rsid w:val="00E03675"/>
    <w:rsid w:val="00E038F5"/>
    <w:rsid w:val="00E04319"/>
    <w:rsid w:val="00E04ACF"/>
    <w:rsid w:val="00E06702"/>
    <w:rsid w:val="00E1134C"/>
    <w:rsid w:val="00E11C39"/>
    <w:rsid w:val="00E122C2"/>
    <w:rsid w:val="00E1328D"/>
    <w:rsid w:val="00E159E7"/>
    <w:rsid w:val="00E15B55"/>
    <w:rsid w:val="00E15D08"/>
    <w:rsid w:val="00E17C8D"/>
    <w:rsid w:val="00E21258"/>
    <w:rsid w:val="00E2293F"/>
    <w:rsid w:val="00E23B2F"/>
    <w:rsid w:val="00E23E8D"/>
    <w:rsid w:val="00E25873"/>
    <w:rsid w:val="00E26F8A"/>
    <w:rsid w:val="00E2775D"/>
    <w:rsid w:val="00E306BA"/>
    <w:rsid w:val="00E33528"/>
    <w:rsid w:val="00E3461B"/>
    <w:rsid w:val="00E34C8F"/>
    <w:rsid w:val="00E37416"/>
    <w:rsid w:val="00E41314"/>
    <w:rsid w:val="00E45E66"/>
    <w:rsid w:val="00E47363"/>
    <w:rsid w:val="00E477CD"/>
    <w:rsid w:val="00E4783C"/>
    <w:rsid w:val="00E47B85"/>
    <w:rsid w:val="00E5199D"/>
    <w:rsid w:val="00E52EA0"/>
    <w:rsid w:val="00E5519B"/>
    <w:rsid w:val="00E56A12"/>
    <w:rsid w:val="00E56D7A"/>
    <w:rsid w:val="00E6178A"/>
    <w:rsid w:val="00E61CA7"/>
    <w:rsid w:val="00E62E22"/>
    <w:rsid w:val="00E64485"/>
    <w:rsid w:val="00E648C7"/>
    <w:rsid w:val="00E651D4"/>
    <w:rsid w:val="00E66410"/>
    <w:rsid w:val="00E66D2E"/>
    <w:rsid w:val="00E67CEC"/>
    <w:rsid w:val="00E71570"/>
    <w:rsid w:val="00E75FD7"/>
    <w:rsid w:val="00E75FF0"/>
    <w:rsid w:val="00E77539"/>
    <w:rsid w:val="00E77F22"/>
    <w:rsid w:val="00E82021"/>
    <w:rsid w:val="00E821D4"/>
    <w:rsid w:val="00E84CDB"/>
    <w:rsid w:val="00E866F4"/>
    <w:rsid w:val="00E90F4A"/>
    <w:rsid w:val="00E91448"/>
    <w:rsid w:val="00E94CB0"/>
    <w:rsid w:val="00E95E9E"/>
    <w:rsid w:val="00E9615E"/>
    <w:rsid w:val="00E97371"/>
    <w:rsid w:val="00E97935"/>
    <w:rsid w:val="00EA1217"/>
    <w:rsid w:val="00EA204F"/>
    <w:rsid w:val="00EA2488"/>
    <w:rsid w:val="00EA2E23"/>
    <w:rsid w:val="00EA3404"/>
    <w:rsid w:val="00EA350B"/>
    <w:rsid w:val="00EA54F3"/>
    <w:rsid w:val="00EA63F4"/>
    <w:rsid w:val="00EA73EB"/>
    <w:rsid w:val="00EA7ABE"/>
    <w:rsid w:val="00EB16F5"/>
    <w:rsid w:val="00EB2862"/>
    <w:rsid w:val="00EB414B"/>
    <w:rsid w:val="00EB4F51"/>
    <w:rsid w:val="00EB543E"/>
    <w:rsid w:val="00EB5B45"/>
    <w:rsid w:val="00EB5E12"/>
    <w:rsid w:val="00EB6500"/>
    <w:rsid w:val="00EB67E9"/>
    <w:rsid w:val="00EB6F53"/>
    <w:rsid w:val="00EB7806"/>
    <w:rsid w:val="00EB7A18"/>
    <w:rsid w:val="00EC1559"/>
    <w:rsid w:val="00EC1940"/>
    <w:rsid w:val="00EC1974"/>
    <w:rsid w:val="00EC1B5B"/>
    <w:rsid w:val="00EC2E93"/>
    <w:rsid w:val="00EC3797"/>
    <w:rsid w:val="00EC39CC"/>
    <w:rsid w:val="00EC61A5"/>
    <w:rsid w:val="00EC62CA"/>
    <w:rsid w:val="00EC6EB9"/>
    <w:rsid w:val="00EC7E10"/>
    <w:rsid w:val="00ED2CF2"/>
    <w:rsid w:val="00ED5258"/>
    <w:rsid w:val="00EE0818"/>
    <w:rsid w:val="00EE20B3"/>
    <w:rsid w:val="00EE6946"/>
    <w:rsid w:val="00EE72BD"/>
    <w:rsid w:val="00EF004A"/>
    <w:rsid w:val="00EF150F"/>
    <w:rsid w:val="00EF60F4"/>
    <w:rsid w:val="00EF61D1"/>
    <w:rsid w:val="00EF6481"/>
    <w:rsid w:val="00EF7C12"/>
    <w:rsid w:val="00F0060F"/>
    <w:rsid w:val="00F01E9A"/>
    <w:rsid w:val="00F0205C"/>
    <w:rsid w:val="00F05D46"/>
    <w:rsid w:val="00F1018D"/>
    <w:rsid w:val="00F11582"/>
    <w:rsid w:val="00F116FF"/>
    <w:rsid w:val="00F11706"/>
    <w:rsid w:val="00F11B98"/>
    <w:rsid w:val="00F12209"/>
    <w:rsid w:val="00F12911"/>
    <w:rsid w:val="00F134C4"/>
    <w:rsid w:val="00F137EE"/>
    <w:rsid w:val="00F16B65"/>
    <w:rsid w:val="00F200B7"/>
    <w:rsid w:val="00F21C92"/>
    <w:rsid w:val="00F238C8"/>
    <w:rsid w:val="00F24D97"/>
    <w:rsid w:val="00F24F7F"/>
    <w:rsid w:val="00F25441"/>
    <w:rsid w:val="00F30D00"/>
    <w:rsid w:val="00F3519F"/>
    <w:rsid w:val="00F364BC"/>
    <w:rsid w:val="00F36CAD"/>
    <w:rsid w:val="00F430D4"/>
    <w:rsid w:val="00F43409"/>
    <w:rsid w:val="00F46C69"/>
    <w:rsid w:val="00F46CBE"/>
    <w:rsid w:val="00F47144"/>
    <w:rsid w:val="00F474F7"/>
    <w:rsid w:val="00F50623"/>
    <w:rsid w:val="00F51363"/>
    <w:rsid w:val="00F517EB"/>
    <w:rsid w:val="00F52164"/>
    <w:rsid w:val="00F52C03"/>
    <w:rsid w:val="00F530EF"/>
    <w:rsid w:val="00F56549"/>
    <w:rsid w:val="00F57AA7"/>
    <w:rsid w:val="00F605F7"/>
    <w:rsid w:val="00F608BB"/>
    <w:rsid w:val="00F62483"/>
    <w:rsid w:val="00F64B10"/>
    <w:rsid w:val="00F661DC"/>
    <w:rsid w:val="00F67E40"/>
    <w:rsid w:val="00F71367"/>
    <w:rsid w:val="00F71808"/>
    <w:rsid w:val="00F73016"/>
    <w:rsid w:val="00F73694"/>
    <w:rsid w:val="00F77C41"/>
    <w:rsid w:val="00F81461"/>
    <w:rsid w:val="00F817AB"/>
    <w:rsid w:val="00F82742"/>
    <w:rsid w:val="00F84582"/>
    <w:rsid w:val="00F8519A"/>
    <w:rsid w:val="00F85E0E"/>
    <w:rsid w:val="00F8600B"/>
    <w:rsid w:val="00F86594"/>
    <w:rsid w:val="00F9041B"/>
    <w:rsid w:val="00F916BA"/>
    <w:rsid w:val="00F91A2B"/>
    <w:rsid w:val="00F92C79"/>
    <w:rsid w:val="00F93989"/>
    <w:rsid w:val="00F93AFC"/>
    <w:rsid w:val="00F93B82"/>
    <w:rsid w:val="00F94697"/>
    <w:rsid w:val="00F95465"/>
    <w:rsid w:val="00F971D5"/>
    <w:rsid w:val="00F9753E"/>
    <w:rsid w:val="00F97D07"/>
    <w:rsid w:val="00FA07E4"/>
    <w:rsid w:val="00FA105A"/>
    <w:rsid w:val="00FA11AC"/>
    <w:rsid w:val="00FA17EC"/>
    <w:rsid w:val="00FA20A1"/>
    <w:rsid w:val="00FA235F"/>
    <w:rsid w:val="00FA27EF"/>
    <w:rsid w:val="00FA37BF"/>
    <w:rsid w:val="00FA392D"/>
    <w:rsid w:val="00FA3D2F"/>
    <w:rsid w:val="00FA6D3E"/>
    <w:rsid w:val="00FB0174"/>
    <w:rsid w:val="00FB03F8"/>
    <w:rsid w:val="00FB08F6"/>
    <w:rsid w:val="00FB09E8"/>
    <w:rsid w:val="00FB0C0B"/>
    <w:rsid w:val="00FB0DCF"/>
    <w:rsid w:val="00FB1911"/>
    <w:rsid w:val="00FB58E0"/>
    <w:rsid w:val="00FB5C65"/>
    <w:rsid w:val="00FB61BB"/>
    <w:rsid w:val="00FB6347"/>
    <w:rsid w:val="00FB715B"/>
    <w:rsid w:val="00FC1ED2"/>
    <w:rsid w:val="00FC26B5"/>
    <w:rsid w:val="00FC31EB"/>
    <w:rsid w:val="00FC3B4D"/>
    <w:rsid w:val="00FC3D1D"/>
    <w:rsid w:val="00FC49D9"/>
    <w:rsid w:val="00FC4E78"/>
    <w:rsid w:val="00FC751E"/>
    <w:rsid w:val="00FD0935"/>
    <w:rsid w:val="00FD37D6"/>
    <w:rsid w:val="00FD382A"/>
    <w:rsid w:val="00FD566C"/>
    <w:rsid w:val="00FD599B"/>
    <w:rsid w:val="00FD7AFF"/>
    <w:rsid w:val="00FE06E7"/>
    <w:rsid w:val="00FE0C81"/>
    <w:rsid w:val="00FE0DC7"/>
    <w:rsid w:val="00FE0FE2"/>
    <w:rsid w:val="00FE3367"/>
    <w:rsid w:val="00FE34E4"/>
    <w:rsid w:val="00FE4FFA"/>
    <w:rsid w:val="00FE5134"/>
    <w:rsid w:val="00FE68F9"/>
    <w:rsid w:val="00FF0982"/>
    <w:rsid w:val="00FF0A24"/>
    <w:rsid w:val="00FF0C54"/>
    <w:rsid w:val="00FF21A1"/>
    <w:rsid w:val="00FF4F8A"/>
    <w:rsid w:val="00FF6757"/>
    <w:rsid w:val="00FF6DE2"/>
    <w:rsid w:val="010121B4"/>
    <w:rsid w:val="0102475B"/>
    <w:rsid w:val="01066A48"/>
    <w:rsid w:val="0109301C"/>
    <w:rsid w:val="01093824"/>
    <w:rsid w:val="010C3DC8"/>
    <w:rsid w:val="0116018F"/>
    <w:rsid w:val="01203CA7"/>
    <w:rsid w:val="01214E9F"/>
    <w:rsid w:val="01406AAA"/>
    <w:rsid w:val="01472052"/>
    <w:rsid w:val="014730CF"/>
    <w:rsid w:val="01593494"/>
    <w:rsid w:val="017C4C76"/>
    <w:rsid w:val="017C7C40"/>
    <w:rsid w:val="017D2487"/>
    <w:rsid w:val="01852FBD"/>
    <w:rsid w:val="01863293"/>
    <w:rsid w:val="018A10F5"/>
    <w:rsid w:val="018A21AF"/>
    <w:rsid w:val="019A2EFD"/>
    <w:rsid w:val="019A6EAF"/>
    <w:rsid w:val="01A45240"/>
    <w:rsid w:val="01A844E3"/>
    <w:rsid w:val="01AF35D1"/>
    <w:rsid w:val="01BE01F8"/>
    <w:rsid w:val="01C34656"/>
    <w:rsid w:val="01C43576"/>
    <w:rsid w:val="01D203BF"/>
    <w:rsid w:val="01DB7918"/>
    <w:rsid w:val="01EA67DB"/>
    <w:rsid w:val="01F0403A"/>
    <w:rsid w:val="01FB23CB"/>
    <w:rsid w:val="020A18F1"/>
    <w:rsid w:val="021368F0"/>
    <w:rsid w:val="0219066A"/>
    <w:rsid w:val="02262316"/>
    <w:rsid w:val="02320327"/>
    <w:rsid w:val="023D1A70"/>
    <w:rsid w:val="02474A49"/>
    <w:rsid w:val="02522DDA"/>
    <w:rsid w:val="02533ED5"/>
    <w:rsid w:val="025C49EE"/>
    <w:rsid w:val="025E2B1A"/>
    <w:rsid w:val="026B11BF"/>
    <w:rsid w:val="026D62FC"/>
    <w:rsid w:val="026E7F08"/>
    <w:rsid w:val="026F4EDB"/>
    <w:rsid w:val="027627A9"/>
    <w:rsid w:val="027844DC"/>
    <w:rsid w:val="027A0148"/>
    <w:rsid w:val="028710B6"/>
    <w:rsid w:val="028C35A4"/>
    <w:rsid w:val="02A83E14"/>
    <w:rsid w:val="02AA01BB"/>
    <w:rsid w:val="02AD51D0"/>
    <w:rsid w:val="02B353FD"/>
    <w:rsid w:val="02B61907"/>
    <w:rsid w:val="02CD1F13"/>
    <w:rsid w:val="02D3398A"/>
    <w:rsid w:val="02D943A4"/>
    <w:rsid w:val="02DA6184"/>
    <w:rsid w:val="02DF1744"/>
    <w:rsid w:val="02E42DB9"/>
    <w:rsid w:val="02E543AD"/>
    <w:rsid w:val="02EA7AD6"/>
    <w:rsid w:val="02EB2811"/>
    <w:rsid w:val="02F155F8"/>
    <w:rsid w:val="0301505B"/>
    <w:rsid w:val="0307240F"/>
    <w:rsid w:val="030B0B6F"/>
    <w:rsid w:val="0314419D"/>
    <w:rsid w:val="0316188B"/>
    <w:rsid w:val="032121AE"/>
    <w:rsid w:val="032E17D3"/>
    <w:rsid w:val="033D7A4D"/>
    <w:rsid w:val="034B6875"/>
    <w:rsid w:val="035012AD"/>
    <w:rsid w:val="03564C06"/>
    <w:rsid w:val="0356681E"/>
    <w:rsid w:val="036312CF"/>
    <w:rsid w:val="037615D4"/>
    <w:rsid w:val="037D7258"/>
    <w:rsid w:val="037E7CEA"/>
    <w:rsid w:val="03807DE9"/>
    <w:rsid w:val="038E4947"/>
    <w:rsid w:val="0396041E"/>
    <w:rsid w:val="03970EF3"/>
    <w:rsid w:val="03B2289E"/>
    <w:rsid w:val="03BB6C95"/>
    <w:rsid w:val="03C1350F"/>
    <w:rsid w:val="03C66855"/>
    <w:rsid w:val="03D34185"/>
    <w:rsid w:val="03D948BB"/>
    <w:rsid w:val="03E20FA5"/>
    <w:rsid w:val="03E27237"/>
    <w:rsid w:val="03E2723E"/>
    <w:rsid w:val="03ED02B4"/>
    <w:rsid w:val="03EE1902"/>
    <w:rsid w:val="040A1CBB"/>
    <w:rsid w:val="04122DFC"/>
    <w:rsid w:val="041A5C49"/>
    <w:rsid w:val="041B662D"/>
    <w:rsid w:val="041E2C99"/>
    <w:rsid w:val="042677B4"/>
    <w:rsid w:val="042F236B"/>
    <w:rsid w:val="043A06FC"/>
    <w:rsid w:val="043A3F7F"/>
    <w:rsid w:val="04437B7C"/>
    <w:rsid w:val="0444409E"/>
    <w:rsid w:val="045031B6"/>
    <w:rsid w:val="045A6A33"/>
    <w:rsid w:val="04623760"/>
    <w:rsid w:val="04623994"/>
    <w:rsid w:val="046369C1"/>
    <w:rsid w:val="04754611"/>
    <w:rsid w:val="0480434D"/>
    <w:rsid w:val="0491110B"/>
    <w:rsid w:val="0491498E"/>
    <w:rsid w:val="04956AF6"/>
    <w:rsid w:val="049B5E13"/>
    <w:rsid w:val="04A0403F"/>
    <w:rsid w:val="04A610B0"/>
    <w:rsid w:val="04B17441"/>
    <w:rsid w:val="04B270C1"/>
    <w:rsid w:val="04BD245F"/>
    <w:rsid w:val="04CD6DF8"/>
    <w:rsid w:val="04D410C5"/>
    <w:rsid w:val="04E03757"/>
    <w:rsid w:val="04E8539D"/>
    <w:rsid w:val="04EC3AD1"/>
    <w:rsid w:val="04ED2572"/>
    <w:rsid w:val="04F167E7"/>
    <w:rsid w:val="04F2372E"/>
    <w:rsid w:val="04FD70A3"/>
    <w:rsid w:val="050A4B2D"/>
    <w:rsid w:val="050B483B"/>
    <w:rsid w:val="05177476"/>
    <w:rsid w:val="051849A5"/>
    <w:rsid w:val="051E41F2"/>
    <w:rsid w:val="05215F78"/>
    <w:rsid w:val="052554CC"/>
    <w:rsid w:val="05291032"/>
    <w:rsid w:val="05295E06"/>
    <w:rsid w:val="05306DB3"/>
    <w:rsid w:val="05344197"/>
    <w:rsid w:val="053C3C92"/>
    <w:rsid w:val="05456699"/>
    <w:rsid w:val="055E085F"/>
    <w:rsid w:val="05735CE6"/>
    <w:rsid w:val="05753341"/>
    <w:rsid w:val="057E74F5"/>
    <w:rsid w:val="057F1792"/>
    <w:rsid w:val="05805263"/>
    <w:rsid w:val="05806815"/>
    <w:rsid w:val="05882122"/>
    <w:rsid w:val="05901729"/>
    <w:rsid w:val="059040EB"/>
    <w:rsid w:val="05905187"/>
    <w:rsid w:val="05976809"/>
    <w:rsid w:val="059E19E9"/>
    <w:rsid w:val="059E1C34"/>
    <w:rsid w:val="05A97B5B"/>
    <w:rsid w:val="05AD547D"/>
    <w:rsid w:val="05AF4FAD"/>
    <w:rsid w:val="05B57DF5"/>
    <w:rsid w:val="05BD12C6"/>
    <w:rsid w:val="05C2387C"/>
    <w:rsid w:val="05C3721B"/>
    <w:rsid w:val="05D51D25"/>
    <w:rsid w:val="05DA0525"/>
    <w:rsid w:val="05DA7AB3"/>
    <w:rsid w:val="05E155B5"/>
    <w:rsid w:val="05E435C2"/>
    <w:rsid w:val="05E66008"/>
    <w:rsid w:val="05F81957"/>
    <w:rsid w:val="05FE0636"/>
    <w:rsid w:val="06007F0A"/>
    <w:rsid w:val="060F1E11"/>
    <w:rsid w:val="0612015F"/>
    <w:rsid w:val="06170A6B"/>
    <w:rsid w:val="061A6E25"/>
    <w:rsid w:val="062D7C32"/>
    <w:rsid w:val="064136D1"/>
    <w:rsid w:val="06443FD4"/>
    <w:rsid w:val="06447DCC"/>
    <w:rsid w:val="064F0F22"/>
    <w:rsid w:val="064F2365"/>
    <w:rsid w:val="065906F6"/>
    <w:rsid w:val="066940F8"/>
    <w:rsid w:val="06796A2D"/>
    <w:rsid w:val="067A7314"/>
    <w:rsid w:val="067B34BC"/>
    <w:rsid w:val="0684349A"/>
    <w:rsid w:val="068F3123"/>
    <w:rsid w:val="06923491"/>
    <w:rsid w:val="06994AB6"/>
    <w:rsid w:val="06994D63"/>
    <w:rsid w:val="06A06111"/>
    <w:rsid w:val="06A52D74"/>
    <w:rsid w:val="06AA34EC"/>
    <w:rsid w:val="06B04A51"/>
    <w:rsid w:val="06B70AFE"/>
    <w:rsid w:val="06BB7496"/>
    <w:rsid w:val="06C510AB"/>
    <w:rsid w:val="06C902FE"/>
    <w:rsid w:val="06CC38F2"/>
    <w:rsid w:val="06D0743C"/>
    <w:rsid w:val="06D77C39"/>
    <w:rsid w:val="06E03E35"/>
    <w:rsid w:val="06E32048"/>
    <w:rsid w:val="06E55C8B"/>
    <w:rsid w:val="06ED1A80"/>
    <w:rsid w:val="06F37876"/>
    <w:rsid w:val="06F611D7"/>
    <w:rsid w:val="06F85085"/>
    <w:rsid w:val="06FC3783"/>
    <w:rsid w:val="06FE27EA"/>
    <w:rsid w:val="07025B10"/>
    <w:rsid w:val="070954E4"/>
    <w:rsid w:val="070E58EA"/>
    <w:rsid w:val="071C1AB9"/>
    <w:rsid w:val="073541D7"/>
    <w:rsid w:val="073629BC"/>
    <w:rsid w:val="073A17BD"/>
    <w:rsid w:val="07485E01"/>
    <w:rsid w:val="07486F83"/>
    <w:rsid w:val="074C0893"/>
    <w:rsid w:val="074D14A1"/>
    <w:rsid w:val="07546D38"/>
    <w:rsid w:val="07575493"/>
    <w:rsid w:val="07675083"/>
    <w:rsid w:val="076C485E"/>
    <w:rsid w:val="077E0859"/>
    <w:rsid w:val="079E1A35"/>
    <w:rsid w:val="079F680F"/>
    <w:rsid w:val="07A76DE7"/>
    <w:rsid w:val="07BF12C2"/>
    <w:rsid w:val="07CB0149"/>
    <w:rsid w:val="07CB5286"/>
    <w:rsid w:val="07E27F0F"/>
    <w:rsid w:val="07EB560A"/>
    <w:rsid w:val="07ED18CC"/>
    <w:rsid w:val="07F25CC5"/>
    <w:rsid w:val="07F42849"/>
    <w:rsid w:val="080055AF"/>
    <w:rsid w:val="080A4391"/>
    <w:rsid w:val="080B3940"/>
    <w:rsid w:val="080F2F3C"/>
    <w:rsid w:val="08144816"/>
    <w:rsid w:val="08161CD1"/>
    <w:rsid w:val="082038E6"/>
    <w:rsid w:val="082B1C77"/>
    <w:rsid w:val="083A5AAB"/>
    <w:rsid w:val="08426019"/>
    <w:rsid w:val="084C43AA"/>
    <w:rsid w:val="085937CC"/>
    <w:rsid w:val="0862434F"/>
    <w:rsid w:val="08646A8A"/>
    <w:rsid w:val="0874513E"/>
    <w:rsid w:val="08822685"/>
    <w:rsid w:val="088A0608"/>
    <w:rsid w:val="088C0A16"/>
    <w:rsid w:val="088E0145"/>
    <w:rsid w:val="088E0696"/>
    <w:rsid w:val="08986A27"/>
    <w:rsid w:val="089E2836"/>
    <w:rsid w:val="08A86048"/>
    <w:rsid w:val="08B83D7B"/>
    <w:rsid w:val="08B84D5E"/>
    <w:rsid w:val="08C17522"/>
    <w:rsid w:val="08C330EF"/>
    <w:rsid w:val="08C40B03"/>
    <w:rsid w:val="08C52D6F"/>
    <w:rsid w:val="08D361A9"/>
    <w:rsid w:val="08D56FAF"/>
    <w:rsid w:val="08E43B13"/>
    <w:rsid w:val="08E510A5"/>
    <w:rsid w:val="08E73945"/>
    <w:rsid w:val="08F902E3"/>
    <w:rsid w:val="08F923B8"/>
    <w:rsid w:val="08FA104A"/>
    <w:rsid w:val="090C1F60"/>
    <w:rsid w:val="090F576C"/>
    <w:rsid w:val="0912608B"/>
    <w:rsid w:val="092C4EB6"/>
    <w:rsid w:val="09376C8A"/>
    <w:rsid w:val="09452318"/>
    <w:rsid w:val="095161D6"/>
    <w:rsid w:val="09520E59"/>
    <w:rsid w:val="09552E0E"/>
    <w:rsid w:val="095828A3"/>
    <w:rsid w:val="095B7DEA"/>
    <w:rsid w:val="09695378"/>
    <w:rsid w:val="09734CA0"/>
    <w:rsid w:val="09876978"/>
    <w:rsid w:val="099224C2"/>
    <w:rsid w:val="099C263F"/>
    <w:rsid w:val="09A1241F"/>
    <w:rsid w:val="09B06352"/>
    <w:rsid w:val="09C01D4A"/>
    <w:rsid w:val="09C466FC"/>
    <w:rsid w:val="09D81F87"/>
    <w:rsid w:val="09DD72C1"/>
    <w:rsid w:val="09E85885"/>
    <w:rsid w:val="09E868C8"/>
    <w:rsid w:val="09E8755A"/>
    <w:rsid w:val="09E92ED1"/>
    <w:rsid w:val="09F158A1"/>
    <w:rsid w:val="0A0800BD"/>
    <w:rsid w:val="0A1610AD"/>
    <w:rsid w:val="0A181A09"/>
    <w:rsid w:val="0A2055A9"/>
    <w:rsid w:val="0A250907"/>
    <w:rsid w:val="0A263D05"/>
    <w:rsid w:val="0A264B9C"/>
    <w:rsid w:val="0A2A7C4B"/>
    <w:rsid w:val="0A2C7219"/>
    <w:rsid w:val="0A420C2D"/>
    <w:rsid w:val="0A5C5F16"/>
    <w:rsid w:val="0A5D2449"/>
    <w:rsid w:val="0A601425"/>
    <w:rsid w:val="0A616013"/>
    <w:rsid w:val="0A7D5EDD"/>
    <w:rsid w:val="0A7E76B7"/>
    <w:rsid w:val="0A7F3DA8"/>
    <w:rsid w:val="0A8E1F88"/>
    <w:rsid w:val="0A9456E5"/>
    <w:rsid w:val="0A960A6B"/>
    <w:rsid w:val="0A9D666F"/>
    <w:rsid w:val="0AA03161"/>
    <w:rsid w:val="0AA951F4"/>
    <w:rsid w:val="0AAE28C3"/>
    <w:rsid w:val="0AB86A22"/>
    <w:rsid w:val="0AC24ECA"/>
    <w:rsid w:val="0AC53F21"/>
    <w:rsid w:val="0AC84A4F"/>
    <w:rsid w:val="0ACD7734"/>
    <w:rsid w:val="0AD472DB"/>
    <w:rsid w:val="0AD84D58"/>
    <w:rsid w:val="0ADE4913"/>
    <w:rsid w:val="0AF64843"/>
    <w:rsid w:val="0B000F45"/>
    <w:rsid w:val="0B0C2372"/>
    <w:rsid w:val="0B227BC9"/>
    <w:rsid w:val="0B2473D6"/>
    <w:rsid w:val="0B2E5767"/>
    <w:rsid w:val="0B307D1F"/>
    <w:rsid w:val="0B397328"/>
    <w:rsid w:val="0B3F6CA1"/>
    <w:rsid w:val="0B4E6DAF"/>
    <w:rsid w:val="0B4F0990"/>
    <w:rsid w:val="0B5563DA"/>
    <w:rsid w:val="0B6C5965"/>
    <w:rsid w:val="0B7D2CF2"/>
    <w:rsid w:val="0B7E6E21"/>
    <w:rsid w:val="0B8528F2"/>
    <w:rsid w:val="0B87399E"/>
    <w:rsid w:val="0B904506"/>
    <w:rsid w:val="0B940E9E"/>
    <w:rsid w:val="0B9A2898"/>
    <w:rsid w:val="0B9F1C6E"/>
    <w:rsid w:val="0BA4105B"/>
    <w:rsid w:val="0BBA0BCE"/>
    <w:rsid w:val="0BC41387"/>
    <w:rsid w:val="0BD107F3"/>
    <w:rsid w:val="0BE35CE1"/>
    <w:rsid w:val="0BEC5753"/>
    <w:rsid w:val="0BF063E0"/>
    <w:rsid w:val="0BF132A6"/>
    <w:rsid w:val="0BFD2D71"/>
    <w:rsid w:val="0C090F5C"/>
    <w:rsid w:val="0C115E26"/>
    <w:rsid w:val="0C13125D"/>
    <w:rsid w:val="0C1A0C1A"/>
    <w:rsid w:val="0C1E0645"/>
    <w:rsid w:val="0C1E6CBF"/>
    <w:rsid w:val="0C283B88"/>
    <w:rsid w:val="0C330ACE"/>
    <w:rsid w:val="0C335084"/>
    <w:rsid w:val="0C4B09E8"/>
    <w:rsid w:val="0C521A6E"/>
    <w:rsid w:val="0C720E4A"/>
    <w:rsid w:val="0C747FFC"/>
    <w:rsid w:val="0C7C7E6B"/>
    <w:rsid w:val="0C7F638D"/>
    <w:rsid w:val="0C853CB3"/>
    <w:rsid w:val="0C855F61"/>
    <w:rsid w:val="0C8E0FEF"/>
    <w:rsid w:val="0C8F06B5"/>
    <w:rsid w:val="0C946333"/>
    <w:rsid w:val="0C963AC7"/>
    <w:rsid w:val="0CA04344"/>
    <w:rsid w:val="0CA929CD"/>
    <w:rsid w:val="0CAF7FFC"/>
    <w:rsid w:val="0CB37E4E"/>
    <w:rsid w:val="0CB61CF9"/>
    <w:rsid w:val="0CCF49E6"/>
    <w:rsid w:val="0CDA6B5A"/>
    <w:rsid w:val="0CDB044B"/>
    <w:rsid w:val="0CE0512D"/>
    <w:rsid w:val="0CEB79BB"/>
    <w:rsid w:val="0CEC1E9C"/>
    <w:rsid w:val="0CF46DBD"/>
    <w:rsid w:val="0CF53009"/>
    <w:rsid w:val="0CF74D52"/>
    <w:rsid w:val="0CFE7DB5"/>
    <w:rsid w:val="0D02773F"/>
    <w:rsid w:val="0D0C1474"/>
    <w:rsid w:val="0D173089"/>
    <w:rsid w:val="0D177805"/>
    <w:rsid w:val="0D22141A"/>
    <w:rsid w:val="0D286357"/>
    <w:rsid w:val="0D397A5A"/>
    <w:rsid w:val="0D403749"/>
    <w:rsid w:val="0D486BD3"/>
    <w:rsid w:val="0D486F51"/>
    <w:rsid w:val="0D4A1DDD"/>
    <w:rsid w:val="0D4E5761"/>
    <w:rsid w:val="0D650A0F"/>
    <w:rsid w:val="0D7308C6"/>
    <w:rsid w:val="0D7E0BEF"/>
    <w:rsid w:val="0D895E88"/>
    <w:rsid w:val="0D8D29CB"/>
    <w:rsid w:val="0D8F61CA"/>
    <w:rsid w:val="0DAF4501"/>
    <w:rsid w:val="0DB526FE"/>
    <w:rsid w:val="0DBD7B6F"/>
    <w:rsid w:val="0DC40C23"/>
    <w:rsid w:val="0DC444A6"/>
    <w:rsid w:val="0DC57898"/>
    <w:rsid w:val="0DD10C4F"/>
    <w:rsid w:val="0DD33B99"/>
    <w:rsid w:val="0DD66BE0"/>
    <w:rsid w:val="0DDD64B0"/>
    <w:rsid w:val="0DDE1126"/>
    <w:rsid w:val="0DDF4EEF"/>
    <w:rsid w:val="0DE3447F"/>
    <w:rsid w:val="0DEF7681"/>
    <w:rsid w:val="0DFD55AA"/>
    <w:rsid w:val="0E096A06"/>
    <w:rsid w:val="0E123975"/>
    <w:rsid w:val="0E1B1632"/>
    <w:rsid w:val="0E2230B3"/>
    <w:rsid w:val="0E223EA5"/>
    <w:rsid w:val="0E260A56"/>
    <w:rsid w:val="0E263246"/>
    <w:rsid w:val="0E290EBC"/>
    <w:rsid w:val="0E315F88"/>
    <w:rsid w:val="0E37464C"/>
    <w:rsid w:val="0E3C75E8"/>
    <w:rsid w:val="0E45489C"/>
    <w:rsid w:val="0E4A4B6A"/>
    <w:rsid w:val="0E4B0B22"/>
    <w:rsid w:val="0E4D0697"/>
    <w:rsid w:val="0E52758D"/>
    <w:rsid w:val="0E590597"/>
    <w:rsid w:val="0E5A196E"/>
    <w:rsid w:val="0E5C6BE5"/>
    <w:rsid w:val="0E6E61AD"/>
    <w:rsid w:val="0E6F2234"/>
    <w:rsid w:val="0E710DAC"/>
    <w:rsid w:val="0E7D3C55"/>
    <w:rsid w:val="0EA404FC"/>
    <w:rsid w:val="0EA453DC"/>
    <w:rsid w:val="0EA944B0"/>
    <w:rsid w:val="0EB3632D"/>
    <w:rsid w:val="0EBE46BE"/>
    <w:rsid w:val="0EC0144B"/>
    <w:rsid w:val="0ED333F4"/>
    <w:rsid w:val="0ED5792B"/>
    <w:rsid w:val="0EDE70F7"/>
    <w:rsid w:val="0F0300FC"/>
    <w:rsid w:val="0F035021"/>
    <w:rsid w:val="0F0A5D32"/>
    <w:rsid w:val="0F0C7E0D"/>
    <w:rsid w:val="0F2130DE"/>
    <w:rsid w:val="0F4114B9"/>
    <w:rsid w:val="0F424900"/>
    <w:rsid w:val="0F564D38"/>
    <w:rsid w:val="0F69741B"/>
    <w:rsid w:val="0F752F96"/>
    <w:rsid w:val="0F7D5978"/>
    <w:rsid w:val="0F917E29"/>
    <w:rsid w:val="0FA201B4"/>
    <w:rsid w:val="0FAE40A8"/>
    <w:rsid w:val="0FAF74C9"/>
    <w:rsid w:val="0FB26659"/>
    <w:rsid w:val="0FB61286"/>
    <w:rsid w:val="0FBF2FB7"/>
    <w:rsid w:val="0FC41E5D"/>
    <w:rsid w:val="0FC43C1B"/>
    <w:rsid w:val="0FC91031"/>
    <w:rsid w:val="0FCB6A49"/>
    <w:rsid w:val="0FCD1A5B"/>
    <w:rsid w:val="0FCD487B"/>
    <w:rsid w:val="0FDE2970"/>
    <w:rsid w:val="0FE82358"/>
    <w:rsid w:val="0FEA4CE0"/>
    <w:rsid w:val="0FED3487"/>
    <w:rsid w:val="0FEE2832"/>
    <w:rsid w:val="0FF90BC3"/>
    <w:rsid w:val="0FFA7CDC"/>
    <w:rsid w:val="100030EB"/>
    <w:rsid w:val="10015272"/>
    <w:rsid w:val="100C73A3"/>
    <w:rsid w:val="100E52E5"/>
    <w:rsid w:val="101822F4"/>
    <w:rsid w:val="101B1918"/>
    <w:rsid w:val="101D622F"/>
    <w:rsid w:val="101F0646"/>
    <w:rsid w:val="10206512"/>
    <w:rsid w:val="10251E3B"/>
    <w:rsid w:val="1025205D"/>
    <w:rsid w:val="10307C7B"/>
    <w:rsid w:val="10357274"/>
    <w:rsid w:val="10417D83"/>
    <w:rsid w:val="105054BC"/>
    <w:rsid w:val="105D537C"/>
    <w:rsid w:val="108E707F"/>
    <w:rsid w:val="1091203B"/>
    <w:rsid w:val="109B03CC"/>
    <w:rsid w:val="109C3C4F"/>
    <w:rsid w:val="10A00BBC"/>
    <w:rsid w:val="10A00E68"/>
    <w:rsid w:val="10A832AE"/>
    <w:rsid w:val="10B10371"/>
    <w:rsid w:val="10BB6702"/>
    <w:rsid w:val="10BF51CE"/>
    <w:rsid w:val="10D26327"/>
    <w:rsid w:val="10DA70EF"/>
    <w:rsid w:val="10E85D69"/>
    <w:rsid w:val="10EF61CF"/>
    <w:rsid w:val="10F0191E"/>
    <w:rsid w:val="10F221A4"/>
    <w:rsid w:val="10F91150"/>
    <w:rsid w:val="11090A1D"/>
    <w:rsid w:val="110C3C07"/>
    <w:rsid w:val="11127111"/>
    <w:rsid w:val="111E5122"/>
    <w:rsid w:val="111F6BF7"/>
    <w:rsid w:val="112057FA"/>
    <w:rsid w:val="11217992"/>
    <w:rsid w:val="112232F6"/>
    <w:rsid w:val="112852FE"/>
    <w:rsid w:val="112B3025"/>
    <w:rsid w:val="112E511B"/>
    <w:rsid w:val="113413B0"/>
    <w:rsid w:val="114917E9"/>
    <w:rsid w:val="114B5F77"/>
    <w:rsid w:val="11572698"/>
    <w:rsid w:val="115E7812"/>
    <w:rsid w:val="116210AD"/>
    <w:rsid w:val="11685C3E"/>
    <w:rsid w:val="116B3BD3"/>
    <w:rsid w:val="117549F1"/>
    <w:rsid w:val="11755507"/>
    <w:rsid w:val="11803EC2"/>
    <w:rsid w:val="11872CCC"/>
    <w:rsid w:val="118A2253"/>
    <w:rsid w:val="118F4605"/>
    <w:rsid w:val="11A4040E"/>
    <w:rsid w:val="11C101AE"/>
    <w:rsid w:val="11C33A29"/>
    <w:rsid w:val="11C75D27"/>
    <w:rsid w:val="11D16BFE"/>
    <w:rsid w:val="11D648D0"/>
    <w:rsid w:val="11D70154"/>
    <w:rsid w:val="11E12C61"/>
    <w:rsid w:val="11E55F33"/>
    <w:rsid w:val="11F446E0"/>
    <w:rsid w:val="11F62C07"/>
    <w:rsid w:val="12022DF2"/>
    <w:rsid w:val="12124483"/>
    <w:rsid w:val="12320870"/>
    <w:rsid w:val="125B50E9"/>
    <w:rsid w:val="126D2D36"/>
    <w:rsid w:val="12717A62"/>
    <w:rsid w:val="12752E71"/>
    <w:rsid w:val="128447B5"/>
    <w:rsid w:val="12864420"/>
    <w:rsid w:val="128A0A24"/>
    <w:rsid w:val="128B46C0"/>
    <w:rsid w:val="128E407F"/>
    <w:rsid w:val="12910547"/>
    <w:rsid w:val="12947998"/>
    <w:rsid w:val="12A63C95"/>
    <w:rsid w:val="12A94E4D"/>
    <w:rsid w:val="12AC36AC"/>
    <w:rsid w:val="12B82343"/>
    <w:rsid w:val="12C56343"/>
    <w:rsid w:val="12E21132"/>
    <w:rsid w:val="12E54A8E"/>
    <w:rsid w:val="12EC0C3E"/>
    <w:rsid w:val="12ED5BEB"/>
    <w:rsid w:val="12FE4B8D"/>
    <w:rsid w:val="130064FB"/>
    <w:rsid w:val="13074BB8"/>
    <w:rsid w:val="130D0B0A"/>
    <w:rsid w:val="130F5D29"/>
    <w:rsid w:val="131C29E9"/>
    <w:rsid w:val="13223950"/>
    <w:rsid w:val="1326554D"/>
    <w:rsid w:val="132F431F"/>
    <w:rsid w:val="133C549C"/>
    <w:rsid w:val="134770B1"/>
    <w:rsid w:val="1362585A"/>
    <w:rsid w:val="136A338F"/>
    <w:rsid w:val="137B32C6"/>
    <w:rsid w:val="13813182"/>
    <w:rsid w:val="13854CBD"/>
    <w:rsid w:val="13876010"/>
    <w:rsid w:val="13887B1A"/>
    <w:rsid w:val="138E3EAE"/>
    <w:rsid w:val="138F4A7E"/>
    <w:rsid w:val="13920AB4"/>
    <w:rsid w:val="13A85E50"/>
    <w:rsid w:val="13AA165E"/>
    <w:rsid w:val="13B43E61"/>
    <w:rsid w:val="13B466CC"/>
    <w:rsid w:val="13BA2792"/>
    <w:rsid w:val="13BA2BAF"/>
    <w:rsid w:val="13C63ADF"/>
    <w:rsid w:val="13CA0070"/>
    <w:rsid w:val="13CC0FD4"/>
    <w:rsid w:val="13D62F02"/>
    <w:rsid w:val="13DF0529"/>
    <w:rsid w:val="13E54389"/>
    <w:rsid w:val="13E60B9A"/>
    <w:rsid w:val="13E968BA"/>
    <w:rsid w:val="13F045C1"/>
    <w:rsid w:val="13F52407"/>
    <w:rsid w:val="14083A0F"/>
    <w:rsid w:val="140C6CDC"/>
    <w:rsid w:val="141C4D7F"/>
    <w:rsid w:val="141D66E9"/>
    <w:rsid w:val="141F17CD"/>
    <w:rsid w:val="14200F92"/>
    <w:rsid w:val="14214815"/>
    <w:rsid w:val="142E1CA8"/>
    <w:rsid w:val="14335CF0"/>
    <w:rsid w:val="143A5425"/>
    <w:rsid w:val="144873D6"/>
    <w:rsid w:val="144F6E1C"/>
    <w:rsid w:val="14517EF3"/>
    <w:rsid w:val="1457366A"/>
    <w:rsid w:val="14665523"/>
    <w:rsid w:val="14676145"/>
    <w:rsid w:val="146C484E"/>
    <w:rsid w:val="14741DE5"/>
    <w:rsid w:val="147707E6"/>
    <w:rsid w:val="1487400B"/>
    <w:rsid w:val="148D5623"/>
    <w:rsid w:val="1490670C"/>
    <w:rsid w:val="149F1264"/>
    <w:rsid w:val="14AE78FC"/>
    <w:rsid w:val="14B95C8D"/>
    <w:rsid w:val="14BC4570"/>
    <w:rsid w:val="14BD1538"/>
    <w:rsid w:val="14C3401F"/>
    <w:rsid w:val="14DF1DB2"/>
    <w:rsid w:val="14EE06E6"/>
    <w:rsid w:val="14EF0366"/>
    <w:rsid w:val="14F9422A"/>
    <w:rsid w:val="14FA66F7"/>
    <w:rsid w:val="15035184"/>
    <w:rsid w:val="1503669A"/>
    <w:rsid w:val="152118C2"/>
    <w:rsid w:val="15223A41"/>
    <w:rsid w:val="15242DBE"/>
    <w:rsid w:val="154410F5"/>
    <w:rsid w:val="155147CA"/>
    <w:rsid w:val="155B5497"/>
    <w:rsid w:val="155D20B5"/>
    <w:rsid w:val="157B37CD"/>
    <w:rsid w:val="157B566A"/>
    <w:rsid w:val="157D344D"/>
    <w:rsid w:val="15904378"/>
    <w:rsid w:val="15A01BFD"/>
    <w:rsid w:val="15A60000"/>
    <w:rsid w:val="15B21729"/>
    <w:rsid w:val="15BA6622"/>
    <w:rsid w:val="15BD7ABA"/>
    <w:rsid w:val="15C42651"/>
    <w:rsid w:val="15CB7091"/>
    <w:rsid w:val="15DD6C30"/>
    <w:rsid w:val="15DE4F46"/>
    <w:rsid w:val="15E05D72"/>
    <w:rsid w:val="15E518D3"/>
    <w:rsid w:val="15E53360"/>
    <w:rsid w:val="15E955DF"/>
    <w:rsid w:val="15FF24AF"/>
    <w:rsid w:val="1600509B"/>
    <w:rsid w:val="160075B0"/>
    <w:rsid w:val="160968B4"/>
    <w:rsid w:val="161404C8"/>
    <w:rsid w:val="16192737"/>
    <w:rsid w:val="16326E7A"/>
    <w:rsid w:val="16352BFB"/>
    <w:rsid w:val="163F0F8C"/>
    <w:rsid w:val="16593B60"/>
    <w:rsid w:val="166A5654"/>
    <w:rsid w:val="166E364E"/>
    <w:rsid w:val="166E4478"/>
    <w:rsid w:val="167B53F8"/>
    <w:rsid w:val="16815279"/>
    <w:rsid w:val="16823881"/>
    <w:rsid w:val="16842661"/>
    <w:rsid w:val="168C360A"/>
    <w:rsid w:val="169A2B71"/>
    <w:rsid w:val="16A6709A"/>
    <w:rsid w:val="16B3571C"/>
    <w:rsid w:val="16B67CD2"/>
    <w:rsid w:val="16C150E8"/>
    <w:rsid w:val="16C16063"/>
    <w:rsid w:val="16CF7820"/>
    <w:rsid w:val="16D11244"/>
    <w:rsid w:val="16D43EE8"/>
    <w:rsid w:val="16D73273"/>
    <w:rsid w:val="16D87BFB"/>
    <w:rsid w:val="16DA328D"/>
    <w:rsid w:val="16DE0668"/>
    <w:rsid w:val="16E725BD"/>
    <w:rsid w:val="16ED23AA"/>
    <w:rsid w:val="16F070D2"/>
    <w:rsid w:val="16F83A74"/>
    <w:rsid w:val="16FC5C88"/>
    <w:rsid w:val="17123A25"/>
    <w:rsid w:val="171E5EC0"/>
    <w:rsid w:val="17280647"/>
    <w:rsid w:val="1730603A"/>
    <w:rsid w:val="1733712E"/>
    <w:rsid w:val="173F12DE"/>
    <w:rsid w:val="175B58E8"/>
    <w:rsid w:val="176839FC"/>
    <w:rsid w:val="176D0F0E"/>
    <w:rsid w:val="17740BD1"/>
    <w:rsid w:val="179A37C7"/>
    <w:rsid w:val="179A6967"/>
    <w:rsid w:val="17AB7911"/>
    <w:rsid w:val="17CA1ED1"/>
    <w:rsid w:val="17D15EA0"/>
    <w:rsid w:val="17DA7097"/>
    <w:rsid w:val="17E040F8"/>
    <w:rsid w:val="17E23D4B"/>
    <w:rsid w:val="17E625C2"/>
    <w:rsid w:val="17E9393B"/>
    <w:rsid w:val="180E79DB"/>
    <w:rsid w:val="1816528B"/>
    <w:rsid w:val="181C757C"/>
    <w:rsid w:val="18212B22"/>
    <w:rsid w:val="182E1910"/>
    <w:rsid w:val="18386666"/>
    <w:rsid w:val="183F3E4A"/>
    <w:rsid w:val="184375B9"/>
    <w:rsid w:val="18481B17"/>
    <w:rsid w:val="18511F7B"/>
    <w:rsid w:val="185314B7"/>
    <w:rsid w:val="18536A3C"/>
    <w:rsid w:val="18542BF6"/>
    <w:rsid w:val="18554C49"/>
    <w:rsid w:val="18647688"/>
    <w:rsid w:val="18655107"/>
    <w:rsid w:val="18696F52"/>
    <w:rsid w:val="186F6888"/>
    <w:rsid w:val="18784278"/>
    <w:rsid w:val="187A6BFB"/>
    <w:rsid w:val="187C050D"/>
    <w:rsid w:val="18963F28"/>
    <w:rsid w:val="189974D5"/>
    <w:rsid w:val="18A3552D"/>
    <w:rsid w:val="18A46C1D"/>
    <w:rsid w:val="18A81D49"/>
    <w:rsid w:val="18D57CCC"/>
    <w:rsid w:val="18DC5B41"/>
    <w:rsid w:val="18DD441A"/>
    <w:rsid w:val="18DE0462"/>
    <w:rsid w:val="18E018E0"/>
    <w:rsid w:val="18E0605D"/>
    <w:rsid w:val="18E96AD5"/>
    <w:rsid w:val="18F54FAA"/>
    <w:rsid w:val="18FA1D7D"/>
    <w:rsid w:val="18FE6252"/>
    <w:rsid w:val="18FF5E81"/>
    <w:rsid w:val="19062F86"/>
    <w:rsid w:val="19081CEC"/>
    <w:rsid w:val="19106B04"/>
    <w:rsid w:val="19114412"/>
    <w:rsid w:val="192164AA"/>
    <w:rsid w:val="19267063"/>
    <w:rsid w:val="193606EC"/>
    <w:rsid w:val="19414A61"/>
    <w:rsid w:val="194F6CA8"/>
    <w:rsid w:val="195D377E"/>
    <w:rsid w:val="19632DB3"/>
    <w:rsid w:val="197874D5"/>
    <w:rsid w:val="198229A1"/>
    <w:rsid w:val="19845E24"/>
    <w:rsid w:val="19942581"/>
    <w:rsid w:val="19A21CD4"/>
    <w:rsid w:val="19A61886"/>
    <w:rsid w:val="19A6305F"/>
    <w:rsid w:val="19AD2A1F"/>
    <w:rsid w:val="19B959AB"/>
    <w:rsid w:val="19BB11C8"/>
    <w:rsid w:val="19C92FED"/>
    <w:rsid w:val="19DF1761"/>
    <w:rsid w:val="19E23EF9"/>
    <w:rsid w:val="19EC7334"/>
    <w:rsid w:val="19FA27BF"/>
    <w:rsid w:val="19FC7C34"/>
    <w:rsid w:val="19FF12D3"/>
    <w:rsid w:val="1A042C9F"/>
    <w:rsid w:val="1A065E3F"/>
    <w:rsid w:val="1A1041D0"/>
    <w:rsid w:val="1A1F70D3"/>
    <w:rsid w:val="1A2754B3"/>
    <w:rsid w:val="1A281CE7"/>
    <w:rsid w:val="1A2A56C6"/>
    <w:rsid w:val="1A2E757C"/>
    <w:rsid w:val="1A2F0ED3"/>
    <w:rsid w:val="1A302507"/>
    <w:rsid w:val="1A3D4971"/>
    <w:rsid w:val="1A4768A9"/>
    <w:rsid w:val="1A722F70"/>
    <w:rsid w:val="1A725BBE"/>
    <w:rsid w:val="1A7A74D7"/>
    <w:rsid w:val="1A7C1301"/>
    <w:rsid w:val="1A7D4B85"/>
    <w:rsid w:val="1A7F26E9"/>
    <w:rsid w:val="1A8E78C8"/>
    <w:rsid w:val="1A9212A7"/>
    <w:rsid w:val="1A9612B1"/>
    <w:rsid w:val="1A975C0F"/>
    <w:rsid w:val="1A985010"/>
    <w:rsid w:val="1A9A1477"/>
    <w:rsid w:val="1A9C7638"/>
    <w:rsid w:val="1AB32536"/>
    <w:rsid w:val="1AB570D4"/>
    <w:rsid w:val="1ABD340B"/>
    <w:rsid w:val="1ABE37D1"/>
    <w:rsid w:val="1AC069D7"/>
    <w:rsid w:val="1AC94B34"/>
    <w:rsid w:val="1ACF4E8A"/>
    <w:rsid w:val="1AD93424"/>
    <w:rsid w:val="1ADB5547"/>
    <w:rsid w:val="1AE05488"/>
    <w:rsid w:val="1AE36497"/>
    <w:rsid w:val="1AEB42FC"/>
    <w:rsid w:val="1AEC31E8"/>
    <w:rsid w:val="1AEC5B63"/>
    <w:rsid w:val="1AF0106E"/>
    <w:rsid w:val="1AF30046"/>
    <w:rsid w:val="1AF92681"/>
    <w:rsid w:val="1AFF5C82"/>
    <w:rsid w:val="1B0C3800"/>
    <w:rsid w:val="1B1F438E"/>
    <w:rsid w:val="1B2D7A8D"/>
    <w:rsid w:val="1B3F26C4"/>
    <w:rsid w:val="1B433A7C"/>
    <w:rsid w:val="1B471426"/>
    <w:rsid w:val="1B473AC1"/>
    <w:rsid w:val="1B4A0A55"/>
    <w:rsid w:val="1B59213E"/>
    <w:rsid w:val="1B673E5F"/>
    <w:rsid w:val="1B753C2D"/>
    <w:rsid w:val="1B7B1F37"/>
    <w:rsid w:val="1B801011"/>
    <w:rsid w:val="1B8114E2"/>
    <w:rsid w:val="1B860ABD"/>
    <w:rsid w:val="1B9B25DE"/>
    <w:rsid w:val="1B9C129A"/>
    <w:rsid w:val="1BA960B2"/>
    <w:rsid w:val="1BAE6DC0"/>
    <w:rsid w:val="1BCD57AB"/>
    <w:rsid w:val="1BCE1054"/>
    <w:rsid w:val="1BDE3B26"/>
    <w:rsid w:val="1BEF1F43"/>
    <w:rsid w:val="1BFB229C"/>
    <w:rsid w:val="1BFD62D3"/>
    <w:rsid w:val="1C005AFC"/>
    <w:rsid w:val="1C041C0A"/>
    <w:rsid w:val="1C0E1A98"/>
    <w:rsid w:val="1C0E5F9A"/>
    <w:rsid w:val="1C0E6215"/>
    <w:rsid w:val="1C114456"/>
    <w:rsid w:val="1C1945A6"/>
    <w:rsid w:val="1C2361BA"/>
    <w:rsid w:val="1C2D4444"/>
    <w:rsid w:val="1C403E6F"/>
    <w:rsid w:val="1C4F6C7E"/>
    <w:rsid w:val="1C524353"/>
    <w:rsid w:val="1C605BA0"/>
    <w:rsid w:val="1C6E47F0"/>
    <w:rsid w:val="1C7B29AC"/>
    <w:rsid w:val="1C7C5C97"/>
    <w:rsid w:val="1C954E9B"/>
    <w:rsid w:val="1C9E75A2"/>
    <w:rsid w:val="1CA36056"/>
    <w:rsid w:val="1CB112A1"/>
    <w:rsid w:val="1CB117C2"/>
    <w:rsid w:val="1CB41AB0"/>
    <w:rsid w:val="1CB77211"/>
    <w:rsid w:val="1CBB7632"/>
    <w:rsid w:val="1CBF0484"/>
    <w:rsid w:val="1CC66887"/>
    <w:rsid w:val="1CD365A1"/>
    <w:rsid w:val="1CD5442F"/>
    <w:rsid w:val="1CD7576E"/>
    <w:rsid w:val="1CD967D8"/>
    <w:rsid w:val="1CDB5968"/>
    <w:rsid w:val="1CDB7C4D"/>
    <w:rsid w:val="1CE8561C"/>
    <w:rsid w:val="1CF21D0A"/>
    <w:rsid w:val="1CFD391F"/>
    <w:rsid w:val="1D067852"/>
    <w:rsid w:val="1D0B7E1B"/>
    <w:rsid w:val="1D215514"/>
    <w:rsid w:val="1D336975"/>
    <w:rsid w:val="1D482F02"/>
    <w:rsid w:val="1D525701"/>
    <w:rsid w:val="1D54333B"/>
    <w:rsid w:val="1D557E9E"/>
    <w:rsid w:val="1D5841BD"/>
    <w:rsid w:val="1D746DE1"/>
    <w:rsid w:val="1D795BDE"/>
    <w:rsid w:val="1D872729"/>
    <w:rsid w:val="1D8B6A06"/>
    <w:rsid w:val="1D9E4525"/>
    <w:rsid w:val="1DC0145E"/>
    <w:rsid w:val="1DC20072"/>
    <w:rsid w:val="1DC553F5"/>
    <w:rsid w:val="1DCA77EF"/>
    <w:rsid w:val="1DCC746F"/>
    <w:rsid w:val="1DCE373B"/>
    <w:rsid w:val="1DD05EA5"/>
    <w:rsid w:val="1DE13B91"/>
    <w:rsid w:val="1DE306EA"/>
    <w:rsid w:val="1DE87551"/>
    <w:rsid w:val="1DF066EC"/>
    <w:rsid w:val="1DF86487"/>
    <w:rsid w:val="1DFB5625"/>
    <w:rsid w:val="1E0174B4"/>
    <w:rsid w:val="1E064913"/>
    <w:rsid w:val="1E081D86"/>
    <w:rsid w:val="1E120C6F"/>
    <w:rsid w:val="1E1557E5"/>
    <w:rsid w:val="1E1773AB"/>
    <w:rsid w:val="1E233177"/>
    <w:rsid w:val="1E35783F"/>
    <w:rsid w:val="1E357F8E"/>
    <w:rsid w:val="1E40581C"/>
    <w:rsid w:val="1E4D4545"/>
    <w:rsid w:val="1E582128"/>
    <w:rsid w:val="1E610EF8"/>
    <w:rsid w:val="1E620845"/>
    <w:rsid w:val="1E667A3A"/>
    <w:rsid w:val="1E673EF4"/>
    <w:rsid w:val="1E6B621D"/>
    <w:rsid w:val="1E6D287C"/>
    <w:rsid w:val="1E7521CB"/>
    <w:rsid w:val="1E7E0A22"/>
    <w:rsid w:val="1E895FA8"/>
    <w:rsid w:val="1E8D1130"/>
    <w:rsid w:val="1E934127"/>
    <w:rsid w:val="1E993340"/>
    <w:rsid w:val="1E996D9C"/>
    <w:rsid w:val="1E9D24A4"/>
    <w:rsid w:val="1EA137AD"/>
    <w:rsid w:val="1EA53766"/>
    <w:rsid w:val="1EB02F65"/>
    <w:rsid w:val="1EB11053"/>
    <w:rsid w:val="1EB8060C"/>
    <w:rsid w:val="1ED0129B"/>
    <w:rsid w:val="1ED64592"/>
    <w:rsid w:val="1EDB762C"/>
    <w:rsid w:val="1EEF7FE2"/>
    <w:rsid w:val="1EF075D2"/>
    <w:rsid w:val="1EF36ABE"/>
    <w:rsid w:val="1EFB5963"/>
    <w:rsid w:val="1EFC4C0E"/>
    <w:rsid w:val="1F1F7264"/>
    <w:rsid w:val="1F203EAC"/>
    <w:rsid w:val="1F223F5F"/>
    <w:rsid w:val="1F31003B"/>
    <w:rsid w:val="1F4E6CE4"/>
    <w:rsid w:val="1F5B2409"/>
    <w:rsid w:val="1F5B7EEB"/>
    <w:rsid w:val="1F5E4382"/>
    <w:rsid w:val="1F6A4552"/>
    <w:rsid w:val="1F6F6B0B"/>
    <w:rsid w:val="1F741517"/>
    <w:rsid w:val="1F7C289F"/>
    <w:rsid w:val="1F7F26D4"/>
    <w:rsid w:val="1F9B49C4"/>
    <w:rsid w:val="1F9C3CCF"/>
    <w:rsid w:val="1FA46EF2"/>
    <w:rsid w:val="1FB44D91"/>
    <w:rsid w:val="1FBC7140"/>
    <w:rsid w:val="1FC42C89"/>
    <w:rsid w:val="1FC54F74"/>
    <w:rsid w:val="1FD255C9"/>
    <w:rsid w:val="1FD47844"/>
    <w:rsid w:val="1FDA6BD8"/>
    <w:rsid w:val="1FE93925"/>
    <w:rsid w:val="1FFD120E"/>
    <w:rsid w:val="1FFD19DC"/>
    <w:rsid w:val="20043C15"/>
    <w:rsid w:val="2007268D"/>
    <w:rsid w:val="200A19CE"/>
    <w:rsid w:val="200B57A0"/>
    <w:rsid w:val="200C6FE7"/>
    <w:rsid w:val="20125F58"/>
    <w:rsid w:val="201C6A8C"/>
    <w:rsid w:val="20391344"/>
    <w:rsid w:val="2044133B"/>
    <w:rsid w:val="204C6209"/>
    <w:rsid w:val="2068288C"/>
    <w:rsid w:val="206C4540"/>
    <w:rsid w:val="2084273E"/>
    <w:rsid w:val="208B055F"/>
    <w:rsid w:val="20B0236D"/>
    <w:rsid w:val="20B96BBD"/>
    <w:rsid w:val="20D065C3"/>
    <w:rsid w:val="20D953F9"/>
    <w:rsid w:val="20E22461"/>
    <w:rsid w:val="20EE1616"/>
    <w:rsid w:val="20F06BAF"/>
    <w:rsid w:val="20F32E50"/>
    <w:rsid w:val="21007A3A"/>
    <w:rsid w:val="2105587C"/>
    <w:rsid w:val="210F3D49"/>
    <w:rsid w:val="211D0688"/>
    <w:rsid w:val="21223AA9"/>
    <w:rsid w:val="21250983"/>
    <w:rsid w:val="212B7CE8"/>
    <w:rsid w:val="212C59E9"/>
    <w:rsid w:val="212F04D3"/>
    <w:rsid w:val="21354B49"/>
    <w:rsid w:val="21594194"/>
    <w:rsid w:val="21660E98"/>
    <w:rsid w:val="21667FDB"/>
    <w:rsid w:val="21763C74"/>
    <w:rsid w:val="21814378"/>
    <w:rsid w:val="21860DF2"/>
    <w:rsid w:val="21862A8E"/>
    <w:rsid w:val="218C26F8"/>
    <w:rsid w:val="219F1FB0"/>
    <w:rsid w:val="21A70A44"/>
    <w:rsid w:val="21B26DD5"/>
    <w:rsid w:val="21B62972"/>
    <w:rsid w:val="21C31D19"/>
    <w:rsid w:val="21C77478"/>
    <w:rsid w:val="21C77561"/>
    <w:rsid w:val="21D2510C"/>
    <w:rsid w:val="21D61514"/>
    <w:rsid w:val="21D65471"/>
    <w:rsid w:val="21DD0233"/>
    <w:rsid w:val="21DD349D"/>
    <w:rsid w:val="21DF3E47"/>
    <w:rsid w:val="21E540B7"/>
    <w:rsid w:val="21EA1790"/>
    <w:rsid w:val="21EF6DB8"/>
    <w:rsid w:val="21FE39A3"/>
    <w:rsid w:val="22007210"/>
    <w:rsid w:val="22017E71"/>
    <w:rsid w:val="22070D29"/>
    <w:rsid w:val="220858D5"/>
    <w:rsid w:val="220A798F"/>
    <w:rsid w:val="22124018"/>
    <w:rsid w:val="22135B75"/>
    <w:rsid w:val="221E7789"/>
    <w:rsid w:val="22200C5B"/>
    <w:rsid w:val="22265B0E"/>
    <w:rsid w:val="22270B63"/>
    <w:rsid w:val="22295B1A"/>
    <w:rsid w:val="222C6FED"/>
    <w:rsid w:val="224A024D"/>
    <w:rsid w:val="225F01F3"/>
    <w:rsid w:val="22750198"/>
    <w:rsid w:val="227B6758"/>
    <w:rsid w:val="227D200F"/>
    <w:rsid w:val="22803C51"/>
    <w:rsid w:val="229A37FF"/>
    <w:rsid w:val="229B1C28"/>
    <w:rsid w:val="229B2294"/>
    <w:rsid w:val="229C66D2"/>
    <w:rsid w:val="22A10C5C"/>
    <w:rsid w:val="22A27591"/>
    <w:rsid w:val="22AC524A"/>
    <w:rsid w:val="22CA56D0"/>
    <w:rsid w:val="22D66F38"/>
    <w:rsid w:val="22E152C9"/>
    <w:rsid w:val="22ED32DA"/>
    <w:rsid w:val="22FA7AE1"/>
    <w:rsid w:val="22FE7745"/>
    <w:rsid w:val="230844AD"/>
    <w:rsid w:val="23131CCD"/>
    <w:rsid w:val="231774AE"/>
    <w:rsid w:val="232F59CC"/>
    <w:rsid w:val="233445E7"/>
    <w:rsid w:val="233D1B3B"/>
    <w:rsid w:val="23437A88"/>
    <w:rsid w:val="23576071"/>
    <w:rsid w:val="235A2EF8"/>
    <w:rsid w:val="23796741"/>
    <w:rsid w:val="237A63C1"/>
    <w:rsid w:val="238A333D"/>
    <w:rsid w:val="239A46D6"/>
    <w:rsid w:val="23A91D66"/>
    <w:rsid w:val="23B0469D"/>
    <w:rsid w:val="23BA2A2E"/>
    <w:rsid w:val="23BC6128"/>
    <w:rsid w:val="23C50DBF"/>
    <w:rsid w:val="23CB22D4"/>
    <w:rsid w:val="23E7793D"/>
    <w:rsid w:val="23EF28D5"/>
    <w:rsid w:val="23FC3497"/>
    <w:rsid w:val="24061828"/>
    <w:rsid w:val="241C17CD"/>
    <w:rsid w:val="24274899"/>
    <w:rsid w:val="2430170E"/>
    <w:rsid w:val="243249F4"/>
    <w:rsid w:val="24341D04"/>
    <w:rsid w:val="243B0C41"/>
    <w:rsid w:val="245060A9"/>
    <w:rsid w:val="24515D4E"/>
    <w:rsid w:val="245252E1"/>
    <w:rsid w:val="245D603D"/>
    <w:rsid w:val="246B6CEA"/>
    <w:rsid w:val="246E3499"/>
    <w:rsid w:val="248236ED"/>
    <w:rsid w:val="24915C85"/>
    <w:rsid w:val="24916A8A"/>
    <w:rsid w:val="249F6523"/>
    <w:rsid w:val="24A948B4"/>
    <w:rsid w:val="24AB536B"/>
    <w:rsid w:val="24B54893"/>
    <w:rsid w:val="24BA7139"/>
    <w:rsid w:val="24BF3BA8"/>
    <w:rsid w:val="24D1137C"/>
    <w:rsid w:val="24D6424C"/>
    <w:rsid w:val="24D92A81"/>
    <w:rsid w:val="24DA2BBE"/>
    <w:rsid w:val="24DF4A1F"/>
    <w:rsid w:val="24F536AF"/>
    <w:rsid w:val="24F56F32"/>
    <w:rsid w:val="24FA306A"/>
    <w:rsid w:val="25015B7D"/>
    <w:rsid w:val="250F1F00"/>
    <w:rsid w:val="25103438"/>
    <w:rsid w:val="252C3F03"/>
    <w:rsid w:val="253233F3"/>
    <w:rsid w:val="253A70AD"/>
    <w:rsid w:val="254215B0"/>
    <w:rsid w:val="25437CF5"/>
    <w:rsid w:val="254C40BE"/>
    <w:rsid w:val="254C7941"/>
    <w:rsid w:val="25511489"/>
    <w:rsid w:val="255A1AA3"/>
    <w:rsid w:val="25603E8C"/>
    <w:rsid w:val="25614063"/>
    <w:rsid w:val="256F64E9"/>
    <w:rsid w:val="257041AF"/>
    <w:rsid w:val="257B5E39"/>
    <w:rsid w:val="25A34ACC"/>
    <w:rsid w:val="25A466AC"/>
    <w:rsid w:val="25A8488A"/>
    <w:rsid w:val="25A91EAD"/>
    <w:rsid w:val="25AD339D"/>
    <w:rsid w:val="25AE0DC3"/>
    <w:rsid w:val="25AE66E1"/>
    <w:rsid w:val="25D9464A"/>
    <w:rsid w:val="25E40DB9"/>
    <w:rsid w:val="25F03E1C"/>
    <w:rsid w:val="25F5702F"/>
    <w:rsid w:val="25F60649"/>
    <w:rsid w:val="25F71B2F"/>
    <w:rsid w:val="260F5480"/>
    <w:rsid w:val="261B3491"/>
    <w:rsid w:val="26371E4B"/>
    <w:rsid w:val="263D5357"/>
    <w:rsid w:val="26416CB2"/>
    <w:rsid w:val="264C514F"/>
    <w:rsid w:val="265B436B"/>
    <w:rsid w:val="265F0D06"/>
    <w:rsid w:val="267260BF"/>
    <w:rsid w:val="26737C48"/>
    <w:rsid w:val="267A66BE"/>
    <w:rsid w:val="267C2231"/>
    <w:rsid w:val="268001D4"/>
    <w:rsid w:val="268F1F40"/>
    <w:rsid w:val="26911B06"/>
    <w:rsid w:val="26A21CED"/>
    <w:rsid w:val="26B25971"/>
    <w:rsid w:val="26B57826"/>
    <w:rsid w:val="26BB37C3"/>
    <w:rsid w:val="26BF3470"/>
    <w:rsid w:val="26C848AF"/>
    <w:rsid w:val="26D870C8"/>
    <w:rsid w:val="26DE4854"/>
    <w:rsid w:val="26E92BE5"/>
    <w:rsid w:val="26EB6721"/>
    <w:rsid w:val="26ED5E31"/>
    <w:rsid w:val="26F36771"/>
    <w:rsid w:val="26FE7307"/>
    <w:rsid w:val="2702246B"/>
    <w:rsid w:val="270F469B"/>
    <w:rsid w:val="27141AB7"/>
    <w:rsid w:val="27153BB0"/>
    <w:rsid w:val="27246B7B"/>
    <w:rsid w:val="27257A04"/>
    <w:rsid w:val="27386A2A"/>
    <w:rsid w:val="27456811"/>
    <w:rsid w:val="2748509E"/>
    <w:rsid w:val="27490317"/>
    <w:rsid w:val="27567996"/>
    <w:rsid w:val="27596CBA"/>
    <w:rsid w:val="27762449"/>
    <w:rsid w:val="27765CCC"/>
    <w:rsid w:val="2777712C"/>
    <w:rsid w:val="2781405D"/>
    <w:rsid w:val="278F19F4"/>
    <w:rsid w:val="27962CB2"/>
    <w:rsid w:val="27987F08"/>
    <w:rsid w:val="27A34F7F"/>
    <w:rsid w:val="27B82B5B"/>
    <w:rsid w:val="27B859F2"/>
    <w:rsid w:val="27BC253C"/>
    <w:rsid w:val="27BD3571"/>
    <w:rsid w:val="27C55B2C"/>
    <w:rsid w:val="27C6290A"/>
    <w:rsid w:val="27CA2B54"/>
    <w:rsid w:val="27D35027"/>
    <w:rsid w:val="27DA3858"/>
    <w:rsid w:val="27E32A7D"/>
    <w:rsid w:val="28030DB3"/>
    <w:rsid w:val="28120E19"/>
    <w:rsid w:val="28164065"/>
    <w:rsid w:val="28190D59"/>
    <w:rsid w:val="282F05C6"/>
    <w:rsid w:val="2839380C"/>
    <w:rsid w:val="2858368D"/>
    <w:rsid w:val="285A17C2"/>
    <w:rsid w:val="285A7098"/>
    <w:rsid w:val="286007E3"/>
    <w:rsid w:val="28616AD6"/>
    <w:rsid w:val="28730D3A"/>
    <w:rsid w:val="28777BF4"/>
    <w:rsid w:val="287A4275"/>
    <w:rsid w:val="287A7AF8"/>
    <w:rsid w:val="2880068F"/>
    <w:rsid w:val="2881297D"/>
    <w:rsid w:val="28855E8A"/>
    <w:rsid w:val="2891267E"/>
    <w:rsid w:val="289C59F0"/>
    <w:rsid w:val="28A466F6"/>
    <w:rsid w:val="28A819AB"/>
    <w:rsid w:val="28B91818"/>
    <w:rsid w:val="28C52A84"/>
    <w:rsid w:val="28D14C84"/>
    <w:rsid w:val="28D17B48"/>
    <w:rsid w:val="28E31F35"/>
    <w:rsid w:val="28E33A2A"/>
    <w:rsid w:val="28F040B8"/>
    <w:rsid w:val="28F22C3A"/>
    <w:rsid w:val="28F54FD3"/>
    <w:rsid w:val="2907735C"/>
    <w:rsid w:val="29120F71"/>
    <w:rsid w:val="291800E1"/>
    <w:rsid w:val="2926038B"/>
    <w:rsid w:val="29275693"/>
    <w:rsid w:val="293272A7"/>
    <w:rsid w:val="293E52B8"/>
    <w:rsid w:val="2944442E"/>
    <w:rsid w:val="29493649"/>
    <w:rsid w:val="2959252C"/>
    <w:rsid w:val="29682130"/>
    <w:rsid w:val="297103E9"/>
    <w:rsid w:val="2975700C"/>
    <w:rsid w:val="29883BEF"/>
    <w:rsid w:val="29955CC7"/>
    <w:rsid w:val="299A5AF8"/>
    <w:rsid w:val="29A8363B"/>
    <w:rsid w:val="29B06991"/>
    <w:rsid w:val="29CB2C4E"/>
    <w:rsid w:val="29CB4D1F"/>
    <w:rsid w:val="29DA6CFD"/>
    <w:rsid w:val="29DB6414"/>
    <w:rsid w:val="29EB10F0"/>
    <w:rsid w:val="29EC66D5"/>
    <w:rsid w:val="29EF3469"/>
    <w:rsid w:val="29F74A66"/>
    <w:rsid w:val="2A061630"/>
    <w:rsid w:val="2A172D9D"/>
    <w:rsid w:val="2A1D1B0B"/>
    <w:rsid w:val="2A2111B1"/>
    <w:rsid w:val="2A2A6532"/>
    <w:rsid w:val="2A2D713F"/>
    <w:rsid w:val="2A30050E"/>
    <w:rsid w:val="2A367F7D"/>
    <w:rsid w:val="2A3B1C6C"/>
    <w:rsid w:val="2A423861"/>
    <w:rsid w:val="2A4F507D"/>
    <w:rsid w:val="2A621B97"/>
    <w:rsid w:val="2A6A4D08"/>
    <w:rsid w:val="2A6D1533"/>
    <w:rsid w:val="2A6F7B5B"/>
    <w:rsid w:val="2A781B3D"/>
    <w:rsid w:val="2A83359C"/>
    <w:rsid w:val="2A933537"/>
    <w:rsid w:val="2AA45E84"/>
    <w:rsid w:val="2AB2747F"/>
    <w:rsid w:val="2AC3590F"/>
    <w:rsid w:val="2AC776EE"/>
    <w:rsid w:val="2AD30668"/>
    <w:rsid w:val="2AD908DC"/>
    <w:rsid w:val="2ADA4478"/>
    <w:rsid w:val="2AE1471C"/>
    <w:rsid w:val="2AEF4C89"/>
    <w:rsid w:val="2AF33413"/>
    <w:rsid w:val="2AF63152"/>
    <w:rsid w:val="2AFC0538"/>
    <w:rsid w:val="2B0D10E0"/>
    <w:rsid w:val="2B0D6451"/>
    <w:rsid w:val="2B122C35"/>
    <w:rsid w:val="2B126F75"/>
    <w:rsid w:val="2B1A5F61"/>
    <w:rsid w:val="2B210574"/>
    <w:rsid w:val="2B3C162C"/>
    <w:rsid w:val="2B3F353D"/>
    <w:rsid w:val="2B413FEF"/>
    <w:rsid w:val="2B4D4A0F"/>
    <w:rsid w:val="2B5272A1"/>
    <w:rsid w:val="2B5C5632"/>
    <w:rsid w:val="2B5E1FB3"/>
    <w:rsid w:val="2B5E4A9B"/>
    <w:rsid w:val="2B5F276B"/>
    <w:rsid w:val="2B6739C3"/>
    <w:rsid w:val="2B6D23CE"/>
    <w:rsid w:val="2B7B00B8"/>
    <w:rsid w:val="2B9F2A69"/>
    <w:rsid w:val="2BA23097"/>
    <w:rsid w:val="2BBD43D4"/>
    <w:rsid w:val="2BBE1941"/>
    <w:rsid w:val="2BD83667"/>
    <w:rsid w:val="2BDF63DF"/>
    <w:rsid w:val="2BE05C4E"/>
    <w:rsid w:val="2BE42DE1"/>
    <w:rsid w:val="2BE43C7D"/>
    <w:rsid w:val="2BE53E95"/>
    <w:rsid w:val="2BEA0719"/>
    <w:rsid w:val="2BEF6A8C"/>
    <w:rsid w:val="2C0A6A50"/>
    <w:rsid w:val="2C0B206C"/>
    <w:rsid w:val="2C144DE1"/>
    <w:rsid w:val="2C186E9C"/>
    <w:rsid w:val="2C210467"/>
    <w:rsid w:val="2C277052"/>
    <w:rsid w:val="2C357514"/>
    <w:rsid w:val="2C390667"/>
    <w:rsid w:val="2C3D6F12"/>
    <w:rsid w:val="2C401128"/>
    <w:rsid w:val="2C60459B"/>
    <w:rsid w:val="2C710E04"/>
    <w:rsid w:val="2C712660"/>
    <w:rsid w:val="2C745626"/>
    <w:rsid w:val="2C771EC3"/>
    <w:rsid w:val="2C7A58E6"/>
    <w:rsid w:val="2C7E3322"/>
    <w:rsid w:val="2C7F1D2A"/>
    <w:rsid w:val="2C8132A3"/>
    <w:rsid w:val="2C8826FA"/>
    <w:rsid w:val="2C9524CE"/>
    <w:rsid w:val="2CAA40A3"/>
    <w:rsid w:val="2CAC2DE6"/>
    <w:rsid w:val="2CBE55CC"/>
    <w:rsid w:val="2CC431C4"/>
    <w:rsid w:val="2CC63841"/>
    <w:rsid w:val="2CD9202F"/>
    <w:rsid w:val="2CD94F5A"/>
    <w:rsid w:val="2CE97B7C"/>
    <w:rsid w:val="2CFB06C3"/>
    <w:rsid w:val="2CFE511C"/>
    <w:rsid w:val="2D024D8F"/>
    <w:rsid w:val="2D04170A"/>
    <w:rsid w:val="2D082814"/>
    <w:rsid w:val="2D134A6F"/>
    <w:rsid w:val="2D1615A0"/>
    <w:rsid w:val="2D2023FA"/>
    <w:rsid w:val="2D2160CA"/>
    <w:rsid w:val="2D2456DC"/>
    <w:rsid w:val="2D331D9E"/>
    <w:rsid w:val="2D3A4BC3"/>
    <w:rsid w:val="2D50638E"/>
    <w:rsid w:val="2D6D21A3"/>
    <w:rsid w:val="2D71729C"/>
    <w:rsid w:val="2D787F90"/>
    <w:rsid w:val="2D793FA3"/>
    <w:rsid w:val="2D836A35"/>
    <w:rsid w:val="2D8568D6"/>
    <w:rsid w:val="2D8D5519"/>
    <w:rsid w:val="2D901D4F"/>
    <w:rsid w:val="2D980BF4"/>
    <w:rsid w:val="2DB635F0"/>
    <w:rsid w:val="2DB74385"/>
    <w:rsid w:val="2DBF3D3A"/>
    <w:rsid w:val="2DC57838"/>
    <w:rsid w:val="2DCB1F72"/>
    <w:rsid w:val="2DE63220"/>
    <w:rsid w:val="2DED6CEB"/>
    <w:rsid w:val="2DF313F1"/>
    <w:rsid w:val="2DFB0E33"/>
    <w:rsid w:val="2DFE070B"/>
    <w:rsid w:val="2E00390A"/>
    <w:rsid w:val="2E090714"/>
    <w:rsid w:val="2E0B5E43"/>
    <w:rsid w:val="2E1F5892"/>
    <w:rsid w:val="2E334DDB"/>
    <w:rsid w:val="2E356930"/>
    <w:rsid w:val="2E37456A"/>
    <w:rsid w:val="2E443C45"/>
    <w:rsid w:val="2E4763A8"/>
    <w:rsid w:val="2E49574F"/>
    <w:rsid w:val="2E4B2140"/>
    <w:rsid w:val="2E533769"/>
    <w:rsid w:val="2E601123"/>
    <w:rsid w:val="2E6C4AA2"/>
    <w:rsid w:val="2E7C6418"/>
    <w:rsid w:val="2E807459"/>
    <w:rsid w:val="2E8A57EA"/>
    <w:rsid w:val="2E8B1425"/>
    <w:rsid w:val="2E925D18"/>
    <w:rsid w:val="2E9637FB"/>
    <w:rsid w:val="2E9D79F6"/>
    <w:rsid w:val="2E9E4132"/>
    <w:rsid w:val="2EA11B8C"/>
    <w:rsid w:val="2EA11DE6"/>
    <w:rsid w:val="2EA97373"/>
    <w:rsid w:val="2EB87400"/>
    <w:rsid w:val="2EBD72D2"/>
    <w:rsid w:val="2EBF74FE"/>
    <w:rsid w:val="2EC17EC2"/>
    <w:rsid w:val="2EC41D78"/>
    <w:rsid w:val="2ECB6253"/>
    <w:rsid w:val="2ECE67E6"/>
    <w:rsid w:val="2EDC6866"/>
    <w:rsid w:val="2EE56EBF"/>
    <w:rsid w:val="2F0014CE"/>
    <w:rsid w:val="2F0D5E3F"/>
    <w:rsid w:val="2F1F1AC1"/>
    <w:rsid w:val="2F2B7790"/>
    <w:rsid w:val="2F2D4FF3"/>
    <w:rsid w:val="2F364EB6"/>
    <w:rsid w:val="2F366998"/>
    <w:rsid w:val="2F3B63E8"/>
    <w:rsid w:val="2F3E7897"/>
    <w:rsid w:val="2F4225D0"/>
    <w:rsid w:val="2F444C18"/>
    <w:rsid w:val="2F451467"/>
    <w:rsid w:val="2F4A4C1F"/>
    <w:rsid w:val="2F684FBE"/>
    <w:rsid w:val="2F695596"/>
    <w:rsid w:val="2F6D7505"/>
    <w:rsid w:val="2F8119E7"/>
    <w:rsid w:val="2F867365"/>
    <w:rsid w:val="2F8E5A28"/>
    <w:rsid w:val="2FB2416A"/>
    <w:rsid w:val="2FB30432"/>
    <w:rsid w:val="2FB32AA2"/>
    <w:rsid w:val="2FCC2A87"/>
    <w:rsid w:val="2FCD3965"/>
    <w:rsid w:val="2FD20A06"/>
    <w:rsid w:val="2FD96AE2"/>
    <w:rsid w:val="2FDE0F67"/>
    <w:rsid w:val="2FEC6381"/>
    <w:rsid w:val="2FF311E3"/>
    <w:rsid w:val="2FF40A22"/>
    <w:rsid w:val="30003C7E"/>
    <w:rsid w:val="30110AE9"/>
    <w:rsid w:val="30183EF0"/>
    <w:rsid w:val="302A411F"/>
    <w:rsid w:val="302B26F1"/>
    <w:rsid w:val="304D4473"/>
    <w:rsid w:val="30543002"/>
    <w:rsid w:val="30593273"/>
    <w:rsid w:val="306052B7"/>
    <w:rsid w:val="307D149D"/>
    <w:rsid w:val="307D2FCF"/>
    <w:rsid w:val="30837A14"/>
    <w:rsid w:val="309E3BD0"/>
    <w:rsid w:val="309F7453"/>
    <w:rsid w:val="30A91F61"/>
    <w:rsid w:val="30AA4801"/>
    <w:rsid w:val="30AB1FE9"/>
    <w:rsid w:val="30AC4C54"/>
    <w:rsid w:val="30AD68B0"/>
    <w:rsid w:val="30B6778B"/>
    <w:rsid w:val="30B70001"/>
    <w:rsid w:val="30BB52DB"/>
    <w:rsid w:val="30C04F02"/>
    <w:rsid w:val="30C40AF6"/>
    <w:rsid w:val="30C576B7"/>
    <w:rsid w:val="30CA6DC2"/>
    <w:rsid w:val="30D172F4"/>
    <w:rsid w:val="30D87F63"/>
    <w:rsid w:val="30DC7DDA"/>
    <w:rsid w:val="30DE33FC"/>
    <w:rsid w:val="30DF1514"/>
    <w:rsid w:val="30DF7DF9"/>
    <w:rsid w:val="30EA3DB8"/>
    <w:rsid w:val="30F1476E"/>
    <w:rsid w:val="30F34E68"/>
    <w:rsid w:val="30FC3192"/>
    <w:rsid w:val="30FE2C27"/>
    <w:rsid w:val="310B4584"/>
    <w:rsid w:val="31152915"/>
    <w:rsid w:val="311C5C37"/>
    <w:rsid w:val="311D255A"/>
    <w:rsid w:val="31215055"/>
    <w:rsid w:val="312840E2"/>
    <w:rsid w:val="312E53DA"/>
    <w:rsid w:val="3132776E"/>
    <w:rsid w:val="31336B36"/>
    <w:rsid w:val="31342DA5"/>
    <w:rsid w:val="313A1031"/>
    <w:rsid w:val="313E4DD7"/>
    <w:rsid w:val="31416C5C"/>
    <w:rsid w:val="31422988"/>
    <w:rsid w:val="31436D79"/>
    <w:rsid w:val="31552F50"/>
    <w:rsid w:val="315E3BB3"/>
    <w:rsid w:val="31614F93"/>
    <w:rsid w:val="317607E4"/>
    <w:rsid w:val="317E1E03"/>
    <w:rsid w:val="31807D18"/>
    <w:rsid w:val="31860095"/>
    <w:rsid w:val="318A1295"/>
    <w:rsid w:val="31965EC5"/>
    <w:rsid w:val="319863AE"/>
    <w:rsid w:val="31A02000"/>
    <w:rsid w:val="31A359FC"/>
    <w:rsid w:val="31AD3D8D"/>
    <w:rsid w:val="31B06200"/>
    <w:rsid w:val="31B5413F"/>
    <w:rsid w:val="31B859A2"/>
    <w:rsid w:val="31BE6395"/>
    <w:rsid w:val="31D03569"/>
    <w:rsid w:val="31D52B54"/>
    <w:rsid w:val="31D57696"/>
    <w:rsid w:val="31D900D5"/>
    <w:rsid w:val="31DC267C"/>
    <w:rsid w:val="31DE1F72"/>
    <w:rsid w:val="31E30A1A"/>
    <w:rsid w:val="31E86D52"/>
    <w:rsid w:val="31ED2DFA"/>
    <w:rsid w:val="31FA3731"/>
    <w:rsid w:val="3204001F"/>
    <w:rsid w:val="320639BA"/>
    <w:rsid w:val="320F75A3"/>
    <w:rsid w:val="3216448E"/>
    <w:rsid w:val="321D581C"/>
    <w:rsid w:val="321E639F"/>
    <w:rsid w:val="322259F9"/>
    <w:rsid w:val="323006DD"/>
    <w:rsid w:val="32306059"/>
    <w:rsid w:val="32391A6D"/>
    <w:rsid w:val="32421AA2"/>
    <w:rsid w:val="325E1819"/>
    <w:rsid w:val="32650B59"/>
    <w:rsid w:val="327246CA"/>
    <w:rsid w:val="32724DD0"/>
    <w:rsid w:val="32794195"/>
    <w:rsid w:val="327B225B"/>
    <w:rsid w:val="327C3161"/>
    <w:rsid w:val="327E7D69"/>
    <w:rsid w:val="32927883"/>
    <w:rsid w:val="329B7DBC"/>
    <w:rsid w:val="32A116DF"/>
    <w:rsid w:val="32A259D5"/>
    <w:rsid w:val="32A80C5D"/>
    <w:rsid w:val="32B17F01"/>
    <w:rsid w:val="32B25BB9"/>
    <w:rsid w:val="32B71708"/>
    <w:rsid w:val="32B750F6"/>
    <w:rsid w:val="32C72463"/>
    <w:rsid w:val="32C9752C"/>
    <w:rsid w:val="32CB6523"/>
    <w:rsid w:val="32CC1870"/>
    <w:rsid w:val="32CE33C6"/>
    <w:rsid w:val="32DE1F01"/>
    <w:rsid w:val="32E53603"/>
    <w:rsid w:val="32E93B15"/>
    <w:rsid w:val="32EE40F5"/>
    <w:rsid w:val="32F31987"/>
    <w:rsid w:val="32FB0D84"/>
    <w:rsid w:val="330435CE"/>
    <w:rsid w:val="330865C8"/>
    <w:rsid w:val="331309CD"/>
    <w:rsid w:val="33162314"/>
    <w:rsid w:val="333225D6"/>
    <w:rsid w:val="333371EA"/>
    <w:rsid w:val="333803B9"/>
    <w:rsid w:val="333E6B7C"/>
    <w:rsid w:val="33551883"/>
    <w:rsid w:val="33616C57"/>
    <w:rsid w:val="336B4FE8"/>
    <w:rsid w:val="338B331E"/>
    <w:rsid w:val="339616AF"/>
    <w:rsid w:val="33964F33"/>
    <w:rsid w:val="339C6C14"/>
    <w:rsid w:val="339F2D77"/>
    <w:rsid w:val="33A132C4"/>
    <w:rsid w:val="33A91714"/>
    <w:rsid w:val="33B52F2D"/>
    <w:rsid w:val="33B679E6"/>
    <w:rsid w:val="33B77665"/>
    <w:rsid w:val="33C0176F"/>
    <w:rsid w:val="33C75AE2"/>
    <w:rsid w:val="33D55FA3"/>
    <w:rsid w:val="33E13213"/>
    <w:rsid w:val="33E55852"/>
    <w:rsid w:val="33EC20BE"/>
    <w:rsid w:val="34277191"/>
    <w:rsid w:val="3439473C"/>
    <w:rsid w:val="34420C73"/>
    <w:rsid w:val="34425FCC"/>
    <w:rsid w:val="3448613B"/>
    <w:rsid w:val="344E38D5"/>
    <w:rsid w:val="34546879"/>
    <w:rsid w:val="345718A5"/>
    <w:rsid w:val="34646644"/>
    <w:rsid w:val="34723BAE"/>
    <w:rsid w:val="347A0A28"/>
    <w:rsid w:val="34853536"/>
    <w:rsid w:val="34856DB9"/>
    <w:rsid w:val="348E731C"/>
    <w:rsid w:val="34A1255A"/>
    <w:rsid w:val="34A6252F"/>
    <w:rsid w:val="34AC40B0"/>
    <w:rsid w:val="34B7004A"/>
    <w:rsid w:val="34C47B58"/>
    <w:rsid w:val="34D11437"/>
    <w:rsid w:val="34D32BF6"/>
    <w:rsid w:val="34ED2F12"/>
    <w:rsid w:val="34F018C9"/>
    <w:rsid w:val="34F03B1A"/>
    <w:rsid w:val="34F23B6A"/>
    <w:rsid w:val="34F558E9"/>
    <w:rsid w:val="34F926B8"/>
    <w:rsid w:val="34FD1EFB"/>
    <w:rsid w:val="3507794E"/>
    <w:rsid w:val="351D0231"/>
    <w:rsid w:val="35217670"/>
    <w:rsid w:val="353201D7"/>
    <w:rsid w:val="35345DF6"/>
    <w:rsid w:val="353C1743"/>
    <w:rsid w:val="353F0FDB"/>
    <w:rsid w:val="35521C81"/>
    <w:rsid w:val="355E0C9B"/>
    <w:rsid w:val="355E2212"/>
    <w:rsid w:val="356E06C4"/>
    <w:rsid w:val="35791E5B"/>
    <w:rsid w:val="357B7C5B"/>
    <w:rsid w:val="357D141D"/>
    <w:rsid w:val="357D65D4"/>
    <w:rsid w:val="357E6FD1"/>
    <w:rsid w:val="35852A38"/>
    <w:rsid w:val="35896759"/>
    <w:rsid w:val="35967F02"/>
    <w:rsid w:val="359E5308"/>
    <w:rsid w:val="359F2FE9"/>
    <w:rsid w:val="35A32C89"/>
    <w:rsid w:val="35A430B3"/>
    <w:rsid w:val="35B516AA"/>
    <w:rsid w:val="35CD1C57"/>
    <w:rsid w:val="35CE6A3E"/>
    <w:rsid w:val="35D80B35"/>
    <w:rsid w:val="35DE1347"/>
    <w:rsid w:val="35E05D71"/>
    <w:rsid w:val="35E3175F"/>
    <w:rsid w:val="35E4198A"/>
    <w:rsid w:val="35E81F72"/>
    <w:rsid w:val="35F5294F"/>
    <w:rsid w:val="3609700E"/>
    <w:rsid w:val="360B1339"/>
    <w:rsid w:val="360C20B8"/>
    <w:rsid w:val="361A48B6"/>
    <w:rsid w:val="361A7702"/>
    <w:rsid w:val="363430AA"/>
    <w:rsid w:val="36361BC7"/>
    <w:rsid w:val="36371D3F"/>
    <w:rsid w:val="36375A72"/>
    <w:rsid w:val="36471FF9"/>
    <w:rsid w:val="364A7D5F"/>
    <w:rsid w:val="364D1D0D"/>
    <w:rsid w:val="364D2003"/>
    <w:rsid w:val="36584736"/>
    <w:rsid w:val="366C6334"/>
    <w:rsid w:val="366D46DB"/>
    <w:rsid w:val="367F629A"/>
    <w:rsid w:val="368474E1"/>
    <w:rsid w:val="36AA233A"/>
    <w:rsid w:val="36BF604D"/>
    <w:rsid w:val="36C17FA6"/>
    <w:rsid w:val="36CB0956"/>
    <w:rsid w:val="36CF347B"/>
    <w:rsid w:val="36D966CC"/>
    <w:rsid w:val="36DA4A2A"/>
    <w:rsid w:val="36E2229A"/>
    <w:rsid w:val="36E32F5E"/>
    <w:rsid w:val="36E6117E"/>
    <w:rsid w:val="3700740E"/>
    <w:rsid w:val="37055B53"/>
    <w:rsid w:val="370E4E7B"/>
    <w:rsid w:val="37253E8A"/>
    <w:rsid w:val="37293CA2"/>
    <w:rsid w:val="372C6596"/>
    <w:rsid w:val="3733163E"/>
    <w:rsid w:val="37377D88"/>
    <w:rsid w:val="3740425D"/>
    <w:rsid w:val="37415F48"/>
    <w:rsid w:val="37416B52"/>
    <w:rsid w:val="37583910"/>
    <w:rsid w:val="376477E4"/>
    <w:rsid w:val="376A0BCA"/>
    <w:rsid w:val="378E0009"/>
    <w:rsid w:val="37A939F4"/>
    <w:rsid w:val="37B565E7"/>
    <w:rsid w:val="37C83693"/>
    <w:rsid w:val="37C978C6"/>
    <w:rsid w:val="37CB0C89"/>
    <w:rsid w:val="37D73981"/>
    <w:rsid w:val="37DC7FC7"/>
    <w:rsid w:val="37E22273"/>
    <w:rsid w:val="37EA1649"/>
    <w:rsid w:val="37F12FAE"/>
    <w:rsid w:val="37FF15EF"/>
    <w:rsid w:val="37FF5D6B"/>
    <w:rsid w:val="380A7980"/>
    <w:rsid w:val="38126304"/>
    <w:rsid w:val="381A7FCD"/>
    <w:rsid w:val="381D755C"/>
    <w:rsid w:val="381F40A2"/>
    <w:rsid w:val="38241E1F"/>
    <w:rsid w:val="38350C96"/>
    <w:rsid w:val="384B7E11"/>
    <w:rsid w:val="3852308C"/>
    <w:rsid w:val="385A574F"/>
    <w:rsid w:val="385B5300"/>
    <w:rsid w:val="38697764"/>
    <w:rsid w:val="386C326C"/>
    <w:rsid w:val="38764AB1"/>
    <w:rsid w:val="38774730"/>
    <w:rsid w:val="387A052E"/>
    <w:rsid w:val="387A0FFB"/>
    <w:rsid w:val="388E23D2"/>
    <w:rsid w:val="38954571"/>
    <w:rsid w:val="38972A67"/>
    <w:rsid w:val="389B64E9"/>
    <w:rsid w:val="38A07CF4"/>
    <w:rsid w:val="38A74AD3"/>
    <w:rsid w:val="38C54B20"/>
    <w:rsid w:val="38C63620"/>
    <w:rsid w:val="38CF3FC0"/>
    <w:rsid w:val="38D214D1"/>
    <w:rsid w:val="38D753E4"/>
    <w:rsid w:val="38D91C00"/>
    <w:rsid w:val="38DC4C3A"/>
    <w:rsid w:val="38DF6CC0"/>
    <w:rsid w:val="38E31861"/>
    <w:rsid w:val="38F13F5A"/>
    <w:rsid w:val="38F81807"/>
    <w:rsid w:val="38FE486E"/>
    <w:rsid w:val="38FF0E24"/>
    <w:rsid w:val="390221EA"/>
    <w:rsid w:val="39035D7A"/>
    <w:rsid w:val="390E4BA2"/>
    <w:rsid w:val="39105D6A"/>
    <w:rsid w:val="39105EDE"/>
    <w:rsid w:val="391C3D13"/>
    <w:rsid w:val="39253938"/>
    <w:rsid w:val="39255B4E"/>
    <w:rsid w:val="39287497"/>
    <w:rsid w:val="39293018"/>
    <w:rsid w:val="39374871"/>
    <w:rsid w:val="393A2270"/>
    <w:rsid w:val="39453E84"/>
    <w:rsid w:val="39462149"/>
    <w:rsid w:val="394E2673"/>
    <w:rsid w:val="394F2215"/>
    <w:rsid w:val="395A33AC"/>
    <w:rsid w:val="395D0610"/>
    <w:rsid w:val="396276FB"/>
    <w:rsid w:val="39633218"/>
    <w:rsid w:val="396509C1"/>
    <w:rsid w:val="396D3099"/>
    <w:rsid w:val="396E4D30"/>
    <w:rsid w:val="397335D7"/>
    <w:rsid w:val="397547DC"/>
    <w:rsid w:val="39904619"/>
    <w:rsid w:val="39921977"/>
    <w:rsid w:val="399D5BAA"/>
    <w:rsid w:val="39A26E63"/>
    <w:rsid w:val="39A608F9"/>
    <w:rsid w:val="39A62C24"/>
    <w:rsid w:val="39B34D56"/>
    <w:rsid w:val="39BE292C"/>
    <w:rsid w:val="39E474AD"/>
    <w:rsid w:val="39E7368D"/>
    <w:rsid w:val="39EC3DF1"/>
    <w:rsid w:val="39F47D95"/>
    <w:rsid w:val="39F51E97"/>
    <w:rsid w:val="39FD3633"/>
    <w:rsid w:val="3A1E3176"/>
    <w:rsid w:val="3A2940F7"/>
    <w:rsid w:val="3A2C50B1"/>
    <w:rsid w:val="3A332488"/>
    <w:rsid w:val="3A335D0B"/>
    <w:rsid w:val="3A344BFF"/>
    <w:rsid w:val="3A3D6B6B"/>
    <w:rsid w:val="3A437CA2"/>
    <w:rsid w:val="3A5362A8"/>
    <w:rsid w:val="3A5953E3"/>
    <w:rsid w:val="3A67703C"/>
    <w:rsid w:val="3A6B4B2E"/>
    <w:rsid w:val="3AA741F9"/>
    <w:rsid w:val="3AC23843"/>
    <w:rsid w:val="3AC64BA4"/>
    <w:rsid w:val="3ACB44EB"/>
    <w:rsid w:val="3ACC6B3F"/>
    <w:rsid w:val="3AF12502"/>
    <w:rsid w:val="3AF916DD"/>
    <w:rsid w:val="3B0D41B9"/>
    <w:rsid w:val="3B113339"/>
    <w:rsid w:val="3B154526"/>
    <w:rsid w:val="3B181801"/>
    <w:rsid w:val="3B2D5F23"/>
    <w:rsid w:val="3B2E4E9B"/>
    <w:rsid w:val="3B336A66"/>
    <w:rsid w:val="3B456FE9"/>
    <w:rsid w:val="3B4C0A0A"/>
    <w:rsid w:val="3B4D4259"/>
    <w:rsid w:val="3B4E14F1"/>
    <w:rsid w:val="3B4E3ED9"/>
    <w:rsid w:val="3B541AC7"/>
    <w:rsid w:val="3B620F5F"/>
    <w:rsid w:val="3B6E698C"/>
    <w:rsid w:val="3B770A93"/>
    <w:rsid w:val="3B794D84"/>
    <w:rsid w:val="3B7E17E7"/>
    <w:rsid w:val="3B802513"/>
    <w:rsid w:val="3B8223C0"/>
    <w:rsid w:val="3B846932"/>
    <w:rsid w:val="3B8A43B0"/>
    <w:rsid w:val="3B8B49E9"/>
    <w:rsid w:val="3B8E0546"/>
    <w:rsid w:val="3B9E19AB"/>
    <w:rsid w:val="3B9E4D42"/>
    <w:rsid w:val="3BA44C68"/>
    <w:rsid w:val="3BA54662"/>
    <w:rsid w:val="3BA9506A"/>
    <w:rsid w:val="3BB20B69"/>
    <w:rsid w:val="3BB87C5C"/>
    <w:rsid w:val="3BBA100A"/>
    <w:rsid w:val="3BC378E6"/>
    <w:rsid w:val="3BC57457"/>
    <w:rsid w:val="3BCB0CA4"/>
    <w:rsid w:val="3C063688"/>
    <w:rsid w:val="3C0E3335"/>
    <w:rsid w:val="3C132F0C"/>
    <w:rsid w:val="3C1600F4"/>
    <w:rsid w:val="3C323000"/>
    <w:rsid w:val="3C3876AC"/>
    <w:rsid w:val="3C3B6B76"/>
    <w:rsid w:val="3C4B2313"/>
    <w:rsid w:val="3C4B3584"/>
    <w:rsid w:val="3C4E4D6E"/>
    <w:rsid w:val="3C5303FD"/>
    <w:rsid w:val="3C5E11AE"/>
    <w:rsid w:val="3C606EDC"/>
    <w:rsid w:val="3C73403C"/>
    <w:rsid w:val="3C75216E"/>
    <w:rsid w:val="3C8328F7"/>
    <w:rsid w:val="3C9838D8"/>
    <w:rsid w:val="3C99459C"/>
    <w:rsid w:val="3CA2569D"/>
    <w:rsid w:val="3CAA0C2A"/>
    <w:rsid w:val="3CB13AFF"/>
    <w:rsid w:val="3CB44AA5"/>
    <w:rsid w:val="3CBB7F5B"/>
    <w:rsid w:val="3CC3647F"/>
    <w:rsid w:val="3CC47910"/>
    <w:rsid w:val="3CD50778"/>
    <w:rsid w:val="3CE42DD0"/>
    <w:rsid w:val="3CE533DA"/>
    <w:rsid w:val="3CE83545"/>
    <w:rsid w:val="3CE974FE"/>
    <w:rsid w:val="3CFE22D4"/>
    <w:rsid w:val="3D007123"/>
    <w:rsid w:val="3D0E2A73"/>
    <w:rsid w:val="3D0F07D1"/>
    <w:rsid w:val="3D112E45"/>
    <w:rsid w:val="3D153845"/>
    <w:rsid w:val="3D166186"/>
    <w:rsid w:val="3D18555E"/>
    <w:rsid w:val="3D263D3A"/>
    <w:rsid w:val="3D2B78EE"/>
    <w:rsid w:val="3D3741F6"/>
    <w:rsid w:val="3D3E5D33"/>
    <w:rsid w:val="3D4A04BA"/>
    <w:rsid w:val="3D59537C"/>
    <w:rsid w:val="3D5A265A"/>
    <w:rsid w:val="3D661335"/>
    <w:rsid w:val="3D97091B"/>
    <w:rsid w:val="3DA2343F"/>
    <w:rsid w:val="3DA57131"/>
    <w:rsid w:val="3DA72863"/>
    <w:rsid w:val="3DAA0180"/>
    <w:rsid w:val="3DAD7FC7"/>
    <w:rsid w:val="3DB85172"/>
    <w:rsid w:val="3DBC3DFE"/>
    <w:rsid w:val="3DC9729F"/>
    <w:rsid w:val="3DE7667A"/>
    <w:rsid w:val="3DEB57F6"/>
    <w:rsid w:val="3DEB692A"/>
    <w:rsid w:val="3DEF0FAA"/>
    <w:rsid w:val="3DF22091"/>
    <w:rsid w:val="3E024B2D"/>
    <w:rsid w:val="3E0E3492"/>
    <w:rsid w:val="3E120054"/>
    <w:rsid w:val="3E1359EC"/>
    <w:rsid w:val="3E301A13"/>
    <w:rsid w:val="3E3264BB"/>
    <w:rsid w:val="3E483849"/>
    <w:rsid w:val="3E4C3FFA"/>
    <w:rsid w:val="3E55506C"/>
    <w:rsid w:val="3E575DB0"/>
    <w:rsid w:val="3E6D6E3C"/>
    <w:rsid w:val="3E730BBA"/>
    <w:rsid w:val="3E757445"/>
    <w:rsid w:val="3E7B1345"/>
    <w:rsid w:val="3E7E6F60"/>
    <w:rsid w:val="3E91185D"/>
    <w:rsid w:val="3EA55A0A"/>
    <w:rsid w:val="3EA72BE4"/>
    <w:rsid w:val="3EB037FD"/>
    <w:rsid w:val="3EBC4E7A"/>
    <w:rsid w:val="3EC62E1E"/>
    <w:rsid w:val="3EC76A8F"/>
    <w:rsid w:val="3EDB18C5"/>
    <w:rsid w:val="3EF37553"/>
    <w:rsid w:val="3F055E53"/>
    <w:rsid w:val="3F0A0861"/>
    <w:rsid w:val="3F0F549B"/>
    <w:rsid w:val="3F135889"/>
    <w:rsid w:val="3F16399E"/>
    <w:rsid w:val="3F1B4815"/>
    <w:rsid w:val="3F2969DF"/>
    <w:rsid w:val="3F2A54AE"/>
    <w:rsid w:val="3F2D65A3"/>
    <w:rsid w:val="3F336025"/>
    <w:rsid w:val="3F3B08A6"/>
    <w:rsid w:val="3F483D2B"/>
    <w:rsid w:val="3F4F32CF"/>
    <w:rsid w:val="3F5D633F"/>
    <w:rsid w:val="3F5F7F07"/>
    <w:rsid w:val="3F697D9A"/>
    <w:rsid w:val="3F6B149A"/>
    <w:rsid w:val="3F75355D"/>
    <w:rsid w:val="3F7E6F0F"/>
    <w:rsid w:val="3F92480A"/>
    <w:rsid w:val="3FA00970"/>
    <w:rsid w:val="3FAE1A68"/>
    <w:rsid w:val="3FC26926"/>
    <w:rsid w:val="3FCA69EC"/>
    <w:rsid w:val="3FCD4CB7"/>
    <w:rsid w:val="3FD768CC"/>
    <w:rsid w:val="3FDB19A2"/>
    <w:rsid w:val="3FEA139A"/>
    <w:rsid w:val="3FEA3919"/>
    <w:rsid w:val="3FF17510"/>
    <w:rsid w:val="3FF77B9A"/>
    <w:rsid w:val="3FFB2188"/>
    <w:rsid w:val="3FFB2B8B"/>
    <w:rsid w:val="4002209A"/>
    <w:rsid w:val="401776B5"/>
    <w:rsid w:val="4018132B"/>
    <w:rsid w:val="402E3A57"/>
    <w:rsid w:val="403B0878"/>
    <w:rsid w:val="403F39C6"/>
    <w:rsid w:val="405939A2"/>
    <w:rsid w:val="405B001E"/>
    <w:rsid w:val="405D1866"/>
    <w:rsid w:val="406665E0"/>
    <w:rsid w:val="406E00C4"/>
    <w:rsid w:val="406F2D0A"/>
    <w:rsid w:val="40705908"/>
    <w:rsid w:val="40754EAB"/>
    <w:rsid w:val="4077146E"/>
    <w:rsid w:val="40833EF1"/>
    <w:rsid w:val="408A232D"/>
    <w:rsid w:val="408C2D32"/>
    <w:rsid w:val="408C7C3F"/>
    <w:rsid w:val="40952BF8"/>
    <w:rsid w:val="4096107E"/>
    <w:rsid w:val="40AB6764"/>
    <w:rsid w:val="40B173DB"/>
    <w:rsid w:val="40B73424"/>
    <w:rsid w:val="40C31CCA"/>
    <w:rsid w:val="40C50AD3"/>
    <w:rsid w:val="40D40A19"/>
    <w:rsid w:val="40DE7974"/>
    <w:rsid w:val="40E63206"/>
    <w:rsid w:val="40E66A89"/>
    <w:rsid w:val="40F14E1A"/>
    <w:rsid w:val="40FC19D3"/>
    <w:rsid w:val="40FD2E2B"/>
    <w:rsid w:val="411E7924"/>
    <w:rsid w:val="41216299"/>
    <w:rsid w:val="413204D9"/>
    <w:rsid w:val="41325883"/>
    <w:rsid w:val="41340E45"/>
    <w:rsid w:val="413D3C14"/>
    <w:rsid w:val="41492520"/>
    <w:rsid w:val="414B08D8"/>
    <w:rsid w:val="41670FB1"/>
    <w:rsid w:val="417E7F01"/>
    <w:rsid w:val="41802FE8"/>
    <w:rsid w:val="41846659"/>
    <w:rsid w:val="418C4C69"/>
    <w:rsid w:val="41944A99"/>
    <w:rsid w:val="41945B5B"/>
    <w:rsid w:val="419E6238"/>
    <w:rsid w:val="41A870C8"/>
    <w:rsid w:val="41C37468"/>
    <w:rsid w:val="41C857AD"/>
    <w:rsid w:val="41D7769B"/>
    <w:rsid w:val="41F00991"/>
    <w:rsid w:val="41F45094"/>
    <w:rsid w:val="42014C57"/>
    <w:rsid w:val="42197523"/>
    <w:rsid w:val="424B13F0"/>
    <w:rsid w:val="424B477B"/>
    <w:rsid w:val="427C0E32"/>
    <w:rsid w:val="429033B1"/>
    <w:rsid w:val="429960CF"/>
    <w:rsid w:val="429F402B"/>
    <w:rsid w:val="42AD618C"/>
    <w:rsid w:val="42B50733"/>
    <w:rsid w:val="42BE6183"/>
    <w:rsid w:val="42C34BD2"/>
    <w:rsid w:val="42CE0B28"/>
    <w:rsid w:val="42D069A7"/>
    <w:rsid w:val="42D13A77"/>
    <w:rsid w:val="42E429CB"/>
    <w:rsid w:val="42F17461"/>
    <w:rsid w:val="43086074"/>
    <w:rsid w:val="430A4A55"/>
    <w:rsid w:val="431307DD"/>
    <w:rsid w:val="4320490E"/>
    <w:rsid w:val="43254DBA"/>
    <w:rsid w:val="4330314B"/>
    <w:rsid w:val="43370312"/>
    <w:rsid w:val="434849ED"/>
    <w:rsid w:val="43491915"/>
    <w:rsid w:val="435272F0"/>
    <w:rsid w:val="435E1A8C"/>
    <w:rsid w:val="43675823"/>
    <w:rsid w:val="436A314A"/>
    <w:rsid w:val="436F160F"/>
    <w:rsid w:val="43765FCF"/>
    <w:rsid w:val="43833CC9"/>
    <w:rsid w:val="43876C7C"/>
    <w:rsid w:val="439104AC"/>
    <w:rsid w:val="43911EEB"/>
    <w:rsid w:val="439E7CAA"/>
    <w:rsid w:val="43A33383"/>
    <w:rsid w:val="43A3720F"/>
    <w:rsid w:val="43A72FE1"/>
    <w:rsid w:val="43AA1DC9"/>
    <w:rsid w:val="43B37EA1"/>
    <w:rsid w:val="43B56A99"/>
    <w:rsid w:val="43B95579"/>
    <w:rsid w:val="43C26223"/>
    <w:rsid w:val="43CD3AF6"/>
    <w:rsid w:val="43CD4C7D"/>
    <w:rsid w:val="43D132D4"/>
    <w:rsid w:val="43F10D0E"/>
    <w:rsid w:val="43F30C8A"/>
    <w:rsid w:val="440A08B0"/>
    <w:rsid w:val="44110B5F"/>
    <w:rsid w:val="44133C26"/>
    <w:rsid w:val="441418CF"/>
    <w:rsid w:val="44151B5A"/>
    <w:rsid w:val="441A5EC0"/>
    <w:rsid w:val="441B2861"/>
    <w:rsid w:val="441D580B"/>
    <w:rsid w:val="44374087"/>
    <w:rsid w:val="44390B29"/>
    <w:rsid w:val="44450C02"/>
    <w:rsid w:val="444C1AD3"/>
    <w:rsid w:val="445628FB"/>
    <w:rsid w:val="4456523D"/>
    <w:rsid w:val="445C495B"/>
    <w:rsid w:val="44803D71"/>
    <w:rsid w:val="448050C1"/>
    <w:rsid w:val="448734FB"/>
    <w:rsid w:val="44970113"/>
    <w:rsid w:val="449F7E14"/>
    <w:rsid w:val="44AC00B9"/>
    <w:rsid w:val="44B31F15"/>
    <w:rsid w:val="44B52230"/>
    <w:rsid w:val="44D0553D"/>
    <w:rsid w:val="44DE2495"/>
    <w:rsid w:val="44F47D19"/>
    <w:rsid w:val="44F92736"/>
    <w:rsid w:val="45012603"/>
    <w:rsid w:val="4501406F"/>
    <w:rsid w:val="4503395F"/>
    <w:rsid w:val="450B79CA"/>
    <w:rsid w:val="451A6F24"/>
    <w:rsid w:val="451D6EF4"/>
    <w:rsid w:val="451F33EB"/>
    <w:rsid w:val="452F4E0F"/>
    <w:rsid w:val="45321621"/>
    <w:rsid w:val="45330043"/>
    <w:rsid w:val="4535196F"/>
    <w:rsid w:val="453C6C51"/>
    <w:rsid w:val="453D3C3F"/>
    <w:rsid w:val="453E0AA9"/>
    <w:rsid w:val="453F3A7B"/>
    <w:rsid w:val="45441531"/>
    <w:rsid w:val="455A53D0"/>
    <w:rsid w:val="455D08CF"/>
    <w:rsid w:val="45650562"/>
    <w:rsid w:val="456F512A"/>
    <w:rsid w:val="45737224"/>
    <w:rsid w:val="457A3615"/>
    <w:rsid w:val="458F3751"/>
    <w:rsid w:val="459B1F40"/>
    <w:rsid w:val="459B4F7E"/>
    <w:rsid w:val="459F1D9A"/>
    <w:rsid w:val="45C66607"/>
    <w:rsid w:val="45D4288F"/>
    <w:rsid w:val="45DE28FF"/>
    <w:rsid w:val="45E37573"/>
    <w:rsid w:val="45E76302"/>
    <w:rsid w:val="45ED44B1"/>
    <w:rsid w:val="45FC0CDF"/>
    <w:rsid w:val="45FD4563"/>
    <w:rsid w:val="46115B77"/>
    <w:rsid w:val="46120C85"/>
    <w:rsid w:val="4616396A"/>
    <w:rsid w:val="46194223"/>
    <w:rsid w:val="46195A2A"/>
    <w:rsid w:val="461E6C96"/>
    <w:rsid w:val="46237464"/>
    <w:rsid w:val="462924DC"/>
    <w:rsid w:val="462D5A91"/>
    <w:rsid w:val="462F1A6E"/>
    <w:rsid w:val="462F39AC"/>
    <w:rsid w:val="463463F5"/>
    <w:rsid w:val="46484442"/>
    <w:rsid w:val="4649335D"/>
    <w:rsid w:val="465A166B"/>
    <w:rsid w:val="465E3302"/>
    <w:rsid w:val="467A03BA"/>
    <w:rsid w:val="467C608C"/>
    <w:rsid w:val="46800869"/>
    <w:rsid w:val="4689092C"/>
    <w:rsid w:val="46895DBD"/>
    <w:rsid w:val="468A764A"/>
    <w:rsid w:val="469F037B"/>
    <w:rsid w:val="469F3D6C"/>
    <w:rsid w:val="46A25880"/>
    <w:rsid w:val="46A44C45"/>
    <w:rsid w:val="46A4688F"/>
    <w:rsid w:val="46B53D11"/>
    <w:rsid w:val="46B95C04"/>
    <w:rsid w:val="46BD6AF3"/>
    <w:rsid w:val="46C11F13"/>
    <w:rsid w:val="46C92F6B"/>
    <w:rsid w:val="46D52939"/>
    <w:rsid w:val="46D66444"/>
    <w:rsid w:val="46DA69EA"/>
    <w:rsid w:val="46E10058"/>
    <w:rsid w:val="46EC63E9"/>
    <w:rsid w:val="46F6477A"/>
    <w:rsid w:val="470614FD"/>
    <w:rsid w:val="470C10BB"/>
    <w:rsid w:val="470C146D"/>
    <w:rsid w:val="47103A98"/>
    <w:rsid w:val="472A3596"/>
    <w:rsid w:val="472A7346"/>
    <w:rsid w:val="47321125"/>
    <w:rsid w:val="47342A2C"/>
    <w:rsid w:val="473B60EE"/>
    <w:rsid w:val="474E614B"/>
    <w:rsid w:val="47510AD5"/>
    <w:rsid w:val="47753287"/>
    <w:rsid w:val="477914D1"/>
    <w:rsid w:val="477A7C6B"/>
    <w:rsid w:val="477C429A"/>
    <w:rsid w:val="4781730C"/>
    <w:rsid w:val="478A03F2"/>
    <w:rsid w:val="478C150B"/>
    <w:rsid w:val="478E5BF3"/>
    <w:rsid w:val="47922667"/>
    <w:rsid w:val="479952FE"/>
    <w:rsid w:val="47A4156E"/>
    <w:rsid w:val="47AA033E"/>
    <w:rsid w:val="47AC062A"/>
    <w:rsid w:val="47B10188"/>
    <w:rsid w:val="47B87959"/>
    <w:rsid w:val="47BD34C2"/>
    <w:rsid w:val="47C16613"/>
    <w:rsid w:val="47CB45DA"/>
    <w:rsid w:val="47CF7F68"/>
    <w:rsid w:val="47D366B2"/>
    <w:rsid w:val="47D40FDA"/>
    <w:rsid w:val="47D72402"/>
    <w:rsid w:val="47DA0270"/>
    <w:rsid w:val="47E57BA5"/>
    <w:rsid w:val="47EF4992"/>
    <w:rsid w:val="480A7F3D"/>
    <w:rsid w:val="480F0ED1"/>
    <w:rsid w:val="481C0CDA"/>
    <w:rsid w:val="481E518D"/>
    <w:rsid w:val="4826706B"/>
    <w:rsid w:val="482728EE"/>
    <w:rsid w:val="484653A1"/>
    <w:rsid w:val="485D0E6C"/>
    <w:rsid w:val="48652A5D"/>
    <w:rsid w:val="48683357"/>
    <w:rsid w:val="486C33B6"/>
    <w:rsid w:val="48794C3F"/>
    <w:rsid w:val="487A60AB"/>
    <w:rsid w:val="488F069E"/>
    <w:rsid w:val="489E0431"/>
    <w:rsid w:val="489E2A51"/>
    <w:rsid w:val="48A6343C"/>
    <w:rsid w:val="48A9601F"/>
    <w:rsid w:val="48B2288B"/>
    <w:rsid w:val="48B759B7"/>
    <w:rsid w:val="48B878EC"/>
    <w:rsid w:val="48C26822"/>
    <w:rsid w:val="48C77E38"/>
    <w:rsid w:val="48D43D0B"/>
    <w:rsid w:val="48E152ED"/>
    <w:rsid w:val="48E9042E"/>
    <w:rsid w:val="48F17A6F"/>
    <w:rsid w:val="48F56836"/>
    <w:rsid w:val="48F97238"/>
    <w:rsid w:val="49064E04"/>
    <w:rsid w:val="49090303"/>
    <w:rsid w:val="49154775"/>
    <w:rsid w:val="491C119F"/>
    <w:rsid w:val="491E0A68"/>
    <w:rsid w:val="49202B06"/>
    <w:rsid w:val="49252381"/>
    <w:rsid w:val="492B471A"/>
    <w:rsid w:val="4938704A"/>
    <w:rsid w:val="494B0E8A"/>
    <w:rsid w:val="495A7810"/>
    <w:rsid w:val="4961356F"/>
    <w:rsid w:val="49626DF3"/>
    <w:rsid w:val="496322F8"/>
    <w:rsid w:val="49683F66"/>
    <w:rsid w:val="497370EE"/>
    <w:rsid w:val="49784C66"/>
    <w:rsid w:val="49790BE2"/>
    <w:rsid w:val="49830B1A"/>
    <w:rsid w:val="49854425"/>
    <w:rsid w:val="498C34BA"/>
    <w:rsid w:val="49964740"/>
    <w:rsid w:val="4997184B"/>
    <w:rsid w:val="49A3785C"/>
    <w:rsid w:val="49AE42D7"/>
    <w:rsid w:val="49B833C8"/>
    <w:rsid w:val="49C43B9B"/>
    <w:rsid w:val="49E33EC9"/>
    <w:rsid w:val="49ED225A"/>
    <w:rsid w:val="49EF36CB"/>
    <w:rsid w:val="49FF5118"/>
    <w:rsid w:val="4A043751"/>
    <w:rsid w:val="4A0F0C93"/>
    <w:rsid w:val="4A192D1E"/>
    <w:rsid w:val="4A1B668D"/>
    <w:rsid w:val="4A4A0542"/>
    <w:rsid w:val="4A500C79"/>
    <w:rsid w:val="4A5815FA"/>
    <w:rsid w:val="4A70372C"/>
    <w:rsid w:val="4A731EF7"/>
    <w:rsid w:val="4A806ED3"/>
    <w:rsid w:val="4A841EEE"/>
    <w:rsid w:val="4A8D580A"/>
    <w:rsid w:val="4AA15DFD"/>
    <w:rsid w:val="4AAE0BD9"/>
    <w:rsid w:val="4AC61F4E"/>
    <w:rsid w:val="4AC779BE"/>
    <w:rsid w:val="4AD43207"/>
    <w:rsid w:val="4AD87A63"/>
    <w:rsid w:val="4ADE3D60"/>
    <w:rsid w:val="4AED7D77"/>
    <w:rsid w:val="4AF17CE0"/>
    <w:rsid w:val="4B10058D"/>
    <w:rsid w:val="4B1E4B4A"/>
    <w:rsid w:val="4B21533E"/>
    <w:rsid w:val="4B28159B"/>
    <w:rsid w:val="4B2E67E5"/>
    <w:rsid w:val="4B390BFB"/>
    <w:rsid w:val="4B3F2B00"/>
    <w:rsid w:val="4B4A0011"/>
    <w:rsid w:val="4B552AA6"/>
    <w:rsid w:val="4B5C6ACF"/>
    <w:rsid w:val="4B6A71C8"/>
    <w:rsid w:val="4B6B638E"/>
    <w:rsid w:val="4B6D643D"/>
    <w:rsid w:val="4B745559"/>
    <w:rsid w:val="4B882674"/>
    <w:rsid w:val="4B8A54FE"/>
    <w:rsid w:val="4B8B517E"/>
    <w:rsid w:val="4B8F6B2F"/>
    <w:rsid w:val="4B96350F"/>
    <w:rsid w:val="4B9E2427"/>
    <w:rsid w:val="4BA018A0"/>
    <w:rsid w:val="4BA04532"/>
    <w:rsid w:val="4BB92052"/>
    <w:rsid w:val="4BBF4DBD"/>
    <w:rsid w:val="4BC051C3"/>
    <w:rsid w:val="4BC06E6B"/>
    <w:rsid w:val="4BC07BD6"/>
    <w:rsid w:val="4BCB41AB"/>
    <w:rsid w:val="4BD7290E"/>
    <w:rsid w:val="4BDA697B"/>
    <w:rsid w:val="4BE12767"/>
    <w:rsid w:val="4BE25B8D"/>
    <w:rsid w:val="4BEF5B35"/>
    <w:rsid w:val="4BF519DD"/>
    <w:rsid w:val="4BFB6E16"/>
    <w:rsid w:val="4C02406D"/>
    <w:rsid w:val="4C065300"/>
    <w:rsid w:val="4C0829B7"/>
    <w:rsid w:val="4C0D2254"/>
    <w:rsid w:val="4C15110E"/>
    <w:rsid w:val="4C1705E5"/>
    <w:rsid w:val="4C1D0E21"/>
    <w:rsid w:val="4C254572"/>
    <w:rsid w:val="4C275E76"/>
    <w:rsid w:val="4C277BBD"/>
    <w:rsid w:val="4C2A0E0A"/>
    <w:rsid w:val="4C2F1C58"/>
    <w:rsid w:val="4C34679F"/>
    <w:rsid w:val="4C351426"/>
    <w:rsid w:val="4C406C01"/>
    <w:rsid w:val="4C43492C"/>
    <w:rsid w:val="4C48457C"/>
    <w:rsid w:val="4C6D0AB3"/>
    <w:rsid w:val="4C7E73A7"/>
    <w:rsid w:val="4C855396"/>
    <w:rsid w:val="4C924E2D"/>
    <w:rsid w:val="4CA304D5"/>
    <w:rsid w:val="4CBF4695"/>
    <w:rsid w:val="4CC12C2E"/>
    <w:rsid w:val="4CC964C7"/>
    <w:rsid w:val="4CCF6138"/>
    <w:rsid w:val="4CCF7D94"/>
    <w:rsid w:val="4CD10E70"/>
    <w:rsid w:val="4CD116FA"/>
    <w:rsid w:val="4CEA2347"/>
    <w:rsid w:val="4CF15D4A"/>
    <w:rsid w:val="4CF31342"/>
    <w:rsid w:val="4CF76BDD"/>
    <w:rsid w:val="4CFF2F8E"/>
    <w:rsid w:val="4D0C35CD"/>
    <w:rsid w:val="4D186C63"/>
    <w:rsid w:val="4D2607A2"/>
    <w:rsid w:val="4D331BA1"/>
    <w:rsid w:val="4D3B6F2D"/>
    <w:rsid w:val="4D3D03C8"/>
    <w:rsid w:val="4D3D206B"/>
    <w:rsid w:val="4D3D3420"/>
    <w:rsid w:val="4D47307F"/>
    <w:rsid w:val="4D4B1038"/>
    <w:rsid w:val="4D4F5A6E"/>
    <w:rsid w:val="4D5357FE"/>
    <w:rsid w:val="4D571779"/>
    <w:rsid w:val="4D5A0C89"/>
    <w:rsid w:val="4D5A3314"/>
    <w:rsid w:val="4D5D7B7B"/>
    <w:rsid w:val="4D696DCB"/>
    <w:rsid w:val="4D6C0E41"/>
    <w:rsid w:val="4D7920DB"/>
    <w:rsid w:val="4D7D11B1"/>
    <w:rsid w:val="4D935553"/>
    <w:rsid w:val="4D940DD6"/>
    <w:rsid w:val="4D9617DC"/>
    <w:rsid w:val="4D974DAD"/>
    <w:rsid w:val="4DA954F8"/>
    <w:rsid w:val="4DA95694"/>
    <w:rsid w:val="4DBB7A1A"/>
    <w:rsid w:val="4DCB449F"/>
    <w:rsid w:val="4DE4323A"/>
    <w:rsid w:val="4DF41962"/>
    <w:rsid w:val="4DF57B76"/>
    <w:rsid w:val="4E0C3F18"/>
    <w:rsid w:val="4E0D7C3E"/>
    <w:rsid w:val="4E0F2397"/>
    <w:rsid w:val="4E2E0733"/>
    <w:rsid w:val="4E2F0B30"/>
    <w:rsid w:val="4E3061FA"/>
    <w:rsid w:val="4E380AE9"/>
    <w:rsid w:val="4E4015DB"/>
    <w:rsid w:val="4E404575"/>
    <w:rsid w:val="4E4070FD"/>
    <w:rsid w:val="4E457013"/>
    <w:rsid w:val="4E566916"/>
    <w:rsid w:val="4E5A334C"/>
    <w:rsid w:val="4E63674C"/>
    <w:rsid w:val="4E6F729D"/>
    <w:rsid w:val="4E732BD1"/>
    <w:rsid w:val="4E74471C"/>
    <w:rsid w:val="4E766D7A"/>
    <w:rsid w:val="4E7C6302"/>
    <w:rsid w:val="4E8D0FEE"/>
    <w:rsid w:val="4E9614B3"/>
    <w:rsid w:val="4EA06600"/>
    <w:rsid w:val="4EA344F0"/>
    <w:rsid w:val="4EA35395"/>
    <w:rsid w:val="4EB730DF"/>
    <w:rsid w:val="4EB73B2E"/>
    <w:rsid w:val="4EBF5016"/>
    <w:rsid w:val="4EBF5A8C"/>
    <w:rsid w:val="4EC436C7"/>
    <w:rsid w:val="4EC87644"/>
    <w:rsid w:val="4ECE1A58"/>
    <w:rsid w:val="4ED94B03"/>
    <w:rsid w:val="4EDB1871"/>
    <w:rsid w:val="4EDF0F70"/>
    <w:rsid w:val="4EE36EEF"/>
    <w:rsid w:val="4EE419FD"/>
    <w:rsid w:val="4EE800D0"/>
    <w:rsid w:val="4EF352D3"/>
    <w:rsid w:val="4EF4675F"/>
    <w:rsid w:val="4F0A2013"/>
    <w:rsid w:val="4F0D0B89"/>
    <w:rsid w:val="4F105D44"/>
    <w:rsid w:val="4F2372F3"/>
    <w:rsid w:val="4F2C30E3"/>
    <w:rsid w:val="4F3044E6"/>
    <w:rsid w:val="4F323738"/>
    <w:rsid w:val="4F340E1C"/>
    <w:rsid w:val="4F373148"/>
    <w:rsid w:val="4F461FD1"/>
    <w:rsid w:val="4F5762D3"/>
    <w:rsid w:val="4F5C4B3F"/>
    <w:rsid w:val="4F5E5301"/>
    <w:rsid w:val="4F602B25"/>
    <w:rsid w:val="4F7C2E75"/>
    <w:rsid w:val="4F892702"/>
    <w:rsid w:val="4F8933C5"/>
    <w:rsid w:val="4F905483"/>
    <w:rsid w:val="4F9B4859"/>
    <w:rsid w:val="4FA5253D"/>
    <w:rsid w:val="4FA871BC"/>
    <w:rsid w:val="4FA947B6"/>
    <w:rsid w:val="4FB11242"/>
    <w:rsid w:val="4FB3554D"/>
    <w:rsid w:val="4FC24FED"/>
    <w:rsid w:val="4FC315CA"/>
    <w:rsid w:val="4FCA3B67"/>
    <w:rsid w:val="4FDA6296"/>
    <w:rsid w:val="4FF5558B"/>
    <w:rsid w:val="4FF63703"/>
    <w:rsid w:val="4FFD7886"/>
    <w:rsid w:val="4FFF7BCB"/>
    <w:rsid w:val="500463D5"/>
    <w:rsid w:val="501025C1"/>
    <w:rsid w:val="50111D35"/>
    <w:rsid w:val="501172D1"/>
    <w:rsid w:val="501442ED"/>
    <w:rsid w:val="50232DC3"/>
    <w:rsid w:val="502B6073"/>
    <w:rsid w:val="503C6ADF"/>
    <w:rsid w:val="5054095A"/>
    <w:rsid w:val="505C680E"/>
    <w:rsid w:val="506A2AF8"/>
    <w:rsid w:val="50710727"/>
    <w:rsid w:val="50724046"/>
    <w:rsid w:val="5074374D"/>
    <w:rsid w:val="50795BB8"/>
    <w:rsid w:val="507A5008"/>
    <w:rsid w:val="508B3032"/>
    <w:rsid w:val="5096168B"/>
    <w:rsid w:val="509A7F64"/>
    <w:rsid w:val="50AA7C6B"/>
    <w:rsid w:val="50AD4B50"/>
    <w:rsid w:val="50AE6F54"/>
    <w:rsid w:val="50AF36F5"/>
    <w:rsid w:val="50B60147"/>
    <w:rsid w:val="50C04F20"/>
    <w:rsid w:val="50C75F6A"/>
    <w:rsid w:val="50D756B0"/>
    <w:rsid w:val="50E600E2"/>
    <w:rsid w:val="50EA7200"/>
    <w:rsid w:val="50EE1A52"/>
    <w:rsid w:val="50F25547"/>
    <w:rsid w:val="50F5361C"/>
    <w:rsid w:val="51063B27"/>
    <w:rsid w:val="510E1E6E"/>
    <w:rsid w:val="51101EEB"/>
    <w:rsid w:val="51102912"/>
    <w:rsid w:val="51151FB8"/>
    <w:rsid w:val="511701B4"/>
    <w:rsid w:val="51186119"/>
    <w:rsid w:val="511E28FA"/>
    <w:rsid w:val="51243CCD"/>
    <w:rsid w:val="5129664D"/>
    <w:rsid w:val="512D5BD9"/>
    <w:rsid w:val="513A7B6F"/>
    <w:rsid w:val="513B2E22"/>
    <w:rsid w:val="51505C0D"/>
    <w:rsid w:val="515B27E8"/>
    <w:rsid w:val="516F6B28"/>
    <w:rsid w:val="516F6DC1"/>
    <w:rsid w:val="517602A3"/>
    <w:rsid w:val="518C012F"/>
    <w:rsid w:val="518D58F9"/>
    <w:rsid w:val="518F4E5F"/>
    <w:rsid w:val="51981AB2"/>
    <w:rsid w:val="51B07591"/>
    <w:rsid w:val="51B65975"/>
    <w:rsid w:val="51BB11A6"/>
    <w:rsid w:val="51BF1C4E"/>
    <w:rsid w:val="51D350B7"/>
    <w:rsid w:val="52121BB5"/>
    <w:rsid w:val="52295F56"/>
    <w:rsid w:val="522A4BBD"/>
    <w:rsid w:val="52310CAA"/>
    <w:rsid w:val="52314DA8"/>
    <w:rsid w:val="5234212E"/>
    <w:rsid w:val="5246527A"/>
    <w:rsid w:val="52465DD6"/>
    <w:rsid w:val="524F0571"/>
    <w:rsid w:val="527340EA"/>
    <w:rsid w:val="52746C8E"/>
    <w:rsid w:val="52780022"/>
    <w:rsid w:val="527E6CE5"/>
    <w:rsid w:val="52827F35"/>
    <w:rsid w:val="528B3FEC"/>
    <w:rsid w:val="52AC2F72"/>
    <w:rsid w:val="52B0523E"/>
    <w:rsid w:val="52BB2796"/>
    <w:rsid w:val="52BF2FD2"/>
    <w:rsid w:val="52CC6AA5"/>
    <w:rsid w:val="52D8643B"/>
    <w:rsid w:val="52E15705"/>
    <w:rsid w:val="52F47482"/>
    <w:rsid w:val="53005896"/>
    <w:rsid w:val="53010577"/>
    <w:rsid w:val="531E60C9"/>
    <w:rsid w:val="53211D72"/>
    <w:rsid w:val="53224459"/>
    <w:rsid w:val="53256232"/>
    <w:rsid w:val="5327651F"/>
    <w:rsid w:val="532B0103"/>
    <w:rsid w:val="53313BA6"/>
    <w:rsid w:val="53320BD0"/>
    <w:rsid w:val="53374B27"/>
    <w:rsid w:val="53376114"/>
    <w:rsid w:val="5339367E"/>
    <w:rsid w:val="533B47DB"/>
    <w:rsid w:val="534103F4"/>
    <w:rsid w:val="5354542A"/>
    <w:rsid w:val="535D4D1B"/>
    <w:rsid w:val="53652A6E"/>
    <w:rsid w:val="536A5B67"/>
    <w:rsid w:val="537132FC"/>
    <w:rsid w:val="537301C3"/>
    <w:rsid w:val="53740BBC"/>
    <w:rsid w:val="5374409E"/>
    <w:rsid w:val="53873C09"/>
    <w:rsid w:val="53890416"/>
    <w:rsid w:val="53990737"/>
    <w:rsid w:val="53AD7B35"/>
    <w:rsid w:val="53B17BBB"/>
    <w:rsid w:val="53B231EE"/>
    <w:rsid w:val="53C36CC0"/>
    <w:rsid w:val="53C90763"/>
    <w:rsid w:val="53C925D6"/>
    <w:rsid w:val="53D04B06"/>
    <w:rsid w:val="53D207DC"/>
    <w:rsid w:val="53DA11A0"/>
    <w:rsid w:val="53E57531"/>
    <w:rsid w:val="53F01145"/>
    <w:rsid w:val="53F57F4F"/>
    <w:rsid w:val="53F9235A"/>
    <w:rsid w:val="53FD1AA3"/>
    <w:rsid w:val="54055868"/>
    <w:rsid w:val="540963A1"/>
    <w:rsid w:val="540A68C0"/>
    <w:rsid w:val="540C5FE0"/>
    <w:rsid w:val="541D708F"/>
    <w:rsid w:val="541E7D99"/>
    <w:rsid w:val="54286830"/>
    <w:rsid w:val="542B65B9"/>
    <w:rsid w:val="543306CE"/>
    <w:rsid w:val="5451170C"/>
    <w:rsid w:val="545A5303"/>
    <w:rsid w:val="54685E0C"/>
    <w:rsid w:val="5478143A"/>
    <w:rsid w:val="54821223"/>
    <w:rsid w:val="54845F3D"/>
    <w:rsid w:val="548B4B92"/>
    <w:rsid w:val="54A02A57"/>
    <w:rsid w:val="54A2379D"/>
    <w:rsid w:val="54A35F8E"/>
    <w:rsid w:val="54A96DC4"/>
    <w:rsid w:val="54B6323C"/>
    <w:rsid w:val="54B676FD"/>
    <w:rsid w:val="54BF23BC"/>
    <w:rsid w:val="54C05667"/>
    <w:rsid w:val="54CB3C0A"/>
    <w:rsid w:val="54CE5A66"/>
    <w:rsid w:val="54D07305"/>
    <w:rsid w:val="54D2351C"/>
    <w:rsid w:val="54D413B8"/>
    <w:rsid w:val="54DC7858"/>
    <w:rsid w:val="54EA7569"/>
    <w:rsid w:val="54EB78A8"/>
    <w:rsid w:val="54F00716"/>
    <w:rsid w:val="54FB0CB4"/>
    <w:rsid w:val="55016CA9"/>
    <w:rsid w:val="55065A58"/>
    <w:rsid w:val="550B43A2"/>
    <w:rsid w:val="551556A5"/>
    <w:rsid w:val="551C0D49"/>
    <w:rsid w:val="551F4ED9"/>
    <w:rsid w:val="55203A36"/>
    <w:rsid w:val="552B1DC7"/>
    <w:rsid w:val="552C4461"/>
    <w:rsid w:val="552D04DF"/>
    <w:rsid w:val="55393DD6"/>
    <w:rsid w:val="553A18F3"/>
    <w:rsid w:val="5555648E"/>
    <w:rsid w:val="55605AEA"/>
    <w:rsid w:val="55675C0B"/>
    <w:rsid w:val="556B1BF6"/>
    <w:rsid w:val="55724B5C"/>
    <w:rsid w:val="55782411"/>
    <w:rsid w:val="5597277B"/>
    <w:rsid w:val="55992B5C"/>
    <w:rsid w:val="559B4E77"/>
    <w:rsid w:val="55A10B0C"/>
    <w:rsid w:val="55A748ED"/>
    <w:rsid w:val="55A94A48"/>
    <w:rsid w:val="55AC6E9D"/>
    <w:rsid w:val="55AD6B1D"/>
    <w:rsid w:val="55AE5202"/>
    <w:rsid w:val="55B5015F"/>
    <w:rsid w:val="55BD07C5"/>
    <w:rsid w:val="55C061A9"/>
    <w:rsid w:val="55CF48B0"/>
    <w:rsid w:val="55D02B04"/>
    <w:rsid w:val="55D831E4"/>
    <w:rsid w:val="55DE30F3"/>
    <w:rsid w:val="55E23127"/>
    <w:rsid w:val="55EC2768"/>
    <w:rsid w:val="55EE4484"/>
    <w:rsid w:val="55EF3E74"/>
    <w:rsid w:val="55F654E9"/>
    <w:rsid w:val="56037A82"/>
    <w:rsid w:val="560F58BD"/>
    <w:rsid w:val="56267BA3"/>
    <w:rsid w:val="562D54D7"/>
    <w:rsid w:val="563355E1"/>
    <w:rsid w:val="56436C26"/>
    <w:rsid w:val="56443B98"/>
    <w:rsid w:val="56603A4B"/>
    <w:rsid w:val="56681893"/>
    <w:rsid w:val="566917D2"/>
    <w:rsid w:val="566D6E3D"/>
    <w:rsid w:val="56783056"/>
    <w:rsid w:val="567B6271"/>
    <w:rsid w:val="567F1C29"/>
    <w:rsid w:val="568D4638"/>
    <w:rsid w:val="56A62938"/>
    <w:rsid w:val="56AB17FE"/>
    <w:rsid w:val="56AF1102"/>
    <w:rsid w:val="56AF4ADD"/>
    <w:rsid w:val="56AF608B"/>
    <w:rsid w:val="56B00CC9"/>
    <w:rsid w:val="56B20949"/>
    <w:rsid w:val="56C53BC0"/>
    <w:rsid w:val="56C7506B"/>
    <w:rsid w:val="56D133FC"/>
    <w:rsid w:val="56DD0123"/>
    <w:rsid w:val="56E3448F"/>
    <w:rsid w:val="56E733A1"/>
    <w:rsid w:val="56E803BD"/>
    <w:rsid w:val="56E85FBC"/>
    <w:rsid w:val="57081358"/>
    <w:rsid w:val="57193C9E"/>
    <w:rsid w:val="571B2BD6"/>
    <w:rsid w:val="571E12FD"/>
    <w:rsid w:val="571E5A7A"/>
    <w:rsid w:val="5728768E"/>
    <w:rsid w:val="573640FD"/>
    <w:rsid w:val="573F3A30"/>
    <w:rsid w:val="57411449"/>
    <w:rsid w:val="574B37A4"/>
    <w:rsid w:val="57540152"/>
    <w:rsid w:val="575C1760"/>
    <w:rsid w:val="57631069"/>
    <w:rsid w:val="576B0651"/>
    <w:rsid w:val="57745224"/>
    <w:rsid w:val="57746070"/>
    <w:rsid w:val="57746489"/>
    <w:rsid w:val="577D4571"/>
    <w:rsid w:val="577D5EA0"/>
    <w:rsid w:val="577F009D"/>
    <w:rsid w:val="57852FFA"/>
    <w:rsid w:val="578A642E"/>
    <w:rsid w:val="578D61F6"/>
    <w:rsid w:val="579846C6"/>
    <w:rsid w:val="579D665F"/>
    <w:rsid w:val="57AA72A2"/>
    <w:rsid w:val="57AC2D1A"/>
    <w:rsid w:val="57B0371A"/>
    <w:rsid w:val="57B62775"/>
    <w:rsid w:val="57C00B06"/>
    <w:rsid w:val="57C52DA1"/>
    <w:rsid w:val="57D30140"/>
    <w:rsid w:val="57D6683E"/>
    <w:rsid w:val="57DB3900"/>
    <w:rsid w:val="57EB51CE"/>
    <w:rsid w:val="57EE1C9B"/>
    <w:rsid w:val="57F8328C"/>
    <w:rsid w:val="57FE5164"/>
    <w:rsid w:val="58021570"/>
    <w:rsid w:val="58071D1E"/>
    <w:rsid w:val="580C3AB9"/>
    <w:rsid w:val="581E200C"/>
    <w:rsid w:val="583236E3"/>
    <w:rsid w:val="584B654E"/>
    <w:rsid w:val="58635CE7"/>
    <w:rsid w:val="58821154"/>
    <w:rsid w:val="588562C6"/>
    <w:rsid w:val="588C5750"/>
    <w:rsid w:val="58943B1A"/>
    <w:rsid w:val="589A626B"/>
    <w:rsid w:val="589B4ED6"/>
    <w:rsid w:val="589B7E1A"/>
    <w:rsid w:val="58A92DA2"/>
    <w:rsid w:val="58B07EA7"/>
    <w:rsid w:val="58B57CAD"/>
    <w:rsid w:val="58B77EC9"/>
    <w:rsid w:val="58B9051C"/>
    <w:rsid w:val="58BE03C9"/>
    <w:rsid w:val="58C240DC"/>
    <w:rsid w:val="58C926FB"/>
    <w:rsid w:val="58CA324B"/>
    <w:rsid w:val="58CF5213"/>
    <w:rsid w:val="58D07D0E"/>
    <w:rsid w:val="58D856C0"/>
    <w:rsid w:val="58DB6CD4"/>
    <w:rsid w:val="58E729B4"/>
    <w:rsid w:val="58F91979"/>
    <w:rsid w:val="59081FF5"/>
    <w:rsid w:val="59102387"/>
    <w:rsid w:val="591D7DF3"/>
    <w:rsid w:val="59200DCE"/>
    <w:rsid w:val="592616D2"/>
    <w:rsid w:val="59284765"/>
    <w:rsid w:val="5932495F"/>
    <w:rsid w:val="593276E3"/>
    <w:rsid w:val="593D5A74"/>
    <w:rsid w:val="594015B1"/>
    <w:rsid w:val="59482709"/>
    <w:rsid w:val="59690C59"/>
    <w:rsid w:val="59713BE2"/>
    <w:rsid w:val="5992152A"/>
    <w:rsid w:val="59B31E77"/>
    <w:rsid w:val="59D003EB"/>
    <w:rsid w:val="59D56A1F"/>
    <w:rsid w:val="59E00B01"/>
    <w:rsid w:val="59E929BB"/>
    <w:rsid w:val="59EA6E92"/>
    <w:rsid w:val="59EF6DC0"/>
    <w:rsid w:val="59F02FE1"/>
    <w:rsid w:val="5A006E37"/>
    <w:rsid w:val="5A0A4028"/>
    <w:rsid w:val="5A0C79CA"/>
    <w:rsid w:val="5A102236"/>
    <w:rsid w:val="5A123971"/>
    <w:rsid w:val="5A1E59D0"/>
    <w:rsid w:val="5A21156A"/>
    <w:rsid w:val="5A2342E4"/>
    <w:rsid w:val="5A237C31"/>
    <w:rsid w:val="5A2F627F"/>
    <w:rsid w:val="5A36150F"/>
    <w:rsid w:val="5A387977"/>
    <w:rsid w:val="5A391B9F"/>
    <w:rsid w:val="5A3A20FC"/>
    <w:rsid w:val="5A3E7C7F"/>
    <w:rsid w:val="5A487D19"/>
    <w:rsid w:val="5A496252"/>
    <w:rsid w:val="5A4A5760"/>
    <w:rsid w:val="5A4B333B"/>
    <w:rsid w:val="5A530571"/>
    <w:rsid w:val="5A563FC2"/>
    <w:rsid w:val="5A615BD7"/>
    <w:rsid w:val="5A7561B4"/>
    <w:rsid w:val="5A7877A9"/>
    <w:rsid w:val="5A8012A6"/>
    <w:rsid w:val="5A801ED8"/>
    <w:rsid w:val="5A81444F"/>
    <w:rsid w:val="5A816495"/>
    <w:rsid w:val="5A8A1B6F"/>
    <w:rsid w:val="5A914137"/>
    <w:rsid w:val="5A9802AF"/>
    <w:rsid w:val="5AAD49D1"/>
    <w:rsid w:val="5AB865E5"/>
    <w:rsid w:val="5ACD034C"/>
    <w:rsid w:val="5AD9663A"/>
    <w:rsid w:val="5AE4292D"/>
    <w:rsid w:val="5AE470AA"/>
    <w:rsid w:val="5AED25E8"/>
    <w:rsid w:val="5AEE5423"/>
    <w:rsid w:val="5AF50C6B"/>
    <w:rsid w:val="5AF50EFC"/>
    <w:rsid w:val="5AF9704F"/>
    <w:rsid w:val="5B036422"/>
    <w:rsid w:val="5B0453E0"/>
    <w:rsid w:val="5B081542"/>
    <w:rsid w:val="5B08482F"/>
    <w:rsid w:val="5B0D6C42"/>
    <w:rsid w:val="5B253396"/>
    <w:rsid w:val="5B367666"/>
    <w:rsid w:val="5B4202FE"/>
    <w:rsid w:val="5B492C9B"/>
    <w:rsid w:val="5B5A179A"/>
    <w:rsid w:val="5B5A6C4F"/>
    <w:rsid w:val="5B63589A"/>
    <w:rsid w:val="5B6A7913"/>
    <w:rsid w:val="5B715A14"/>
    <w:rsid w:val="5B801C1D"/>
    <w:rsid w:val="5B834BF3"/>
    <w:rsid w:val="5B83629B"/>
    <w:rsid w:val="5B87723B"/>
    <w:rsid w:val="5B8B7214"/>
    <w:rsid w:val="5B8D6BEB"/>
    <w:rsid w:val="5B913D4A"/>
    <w:rsid w:val="5B936644"/>
    <w:rsid w:val="5B9C20DB"/>
    <w:rsid w:val="5BAE2011"/>
    <w:rsid w:val="5BB34E27"/>
    <w:rsid w:val="5BC832CC"/>
    <w:rsid w:val="5BC86423"/>
    <w:rsid w:val="5BD347B4"/>
    <w:rsid w:val="5BDD2B45"/>
    <w:rsid w:val="5BE6356C"/>
    <w:rsid w:val="5BE80ED6"/>
    <w:rsid w:val="5BF32AEA"/>
    <w:rsid w:val="5BF60410"/>
    <w:rsid w:val="5BF83B0E"/>
    <w:rsid w:val="5BFA35DC"/>
    <w:rsid w:val="5C0127D9"/>
    <w:rsid w:val="5C0D6E2D"/>
    <w:rsid w:val="5C1C593B"/>
    <w:rsid w:val="5C2A6D2E"/>
    <w:rsid w:val="5C343553"/>
    <w:rsid w:val="5C49154C"/>
    <w:rsid w:val="5C4A34F9"/>
    <w:rsid w:val="5C540049"/>
    <w:rsid w:val="5C5745A9"/>
    <w:rsid w:val="5C5F7C1B"/>
    <w:rsid w:val="5C663D12"/>
    <w:rsid w:val="5C6C1373"/>
    <w:rsid w:val="5C7B30E3"/>
    <w:rsid w:val="5C8275E2"/>
    <w:rsid w:val="5C8B3F62"/>
    <w:rsid w:val="5C9522F3"/>
    <w:rsid w:val="5C977AB7"/>
    <w:rsid w:val="5CA03096"/>
    <w:rsid w:val="5CA65BA7"/>
    <w:rsid w:val="5CB96C3F"/>
    <w:rsid w:val="5CBC25F0"/>
    <w:rsid w:val="5CC442FE"/>
    <w:rsid w:val="5CC86AA9"/>
    <w:rsid w:val="5CC9326D"/>
    <w:rsid w:val="5CCC3CFF"/>
    <w:rsid w:val="5CE52843"/>
    <w:rsid w:val="5CE779D0"/>
    <w:rsid w:val="5CEC2D02"/>
    <w:rsid w:val="5CEF4DEF"/>
    <w:rsid w:val="5CF63A26"/>
    <w:rsid w:val="5CF8202F"/>
    <w:rsid w:val="5CF90068"/>
    <w:rsid w:val="5D07239A"/>
    <w:rsid w:val="5D140095"/>
    <w:rsid w:val="5D145459"/>
    <w:rsid w:val="5D2013F1"/>
    <w:rsid w:val="5D220156"/>
    <w:rsid w:val="5D230C5E"/>
    <w:rsid w:val="5D2353DA"/>
    <w:rsid w:val="5D2E6FEF"/>
    <w:rsid w:val="5D370491"/>
    <w:rsid w:val="5D394EE8"/>
    <w:rsid w:val="5D3A7113"/>
    <w:rsid w:val="5D433711"/>
    <w:rsid w:val="5D491DD8"/>
    <w:rsid w:val="5D4F2F81"/>
    <w:rsid w:val="5D5743EF"/>
    <w:rsid w:val="5D5850AB"/>
    <w:rsid w:val="5D60630E"/>
    <w:rsid w:val="5D6845DA"/>
    <w:rsid w:val="5D7A7855"/>
    <w:rsid w:val="5D7F6ADB"/>
    <w:rsid w:val="5D8F5D8E"/>
    <w:rsid w:val="5D916F3A"/>
    <w:rsid w:val="5DA17C07"/>
    <w:rsid w:val="5DAA7FFC"/>
    <w:rsid w:val="5DB314A1"/>
    <w:rsid w:val="5DBB20D6"/>
    <w:rsid w:val="5DC154E3"/>
    <w:rsid w:val="5DD03581"/>
    <w:rsid w:val="5DD067F8"/>
    <w:rsid w:val="5DD34863"/>
    <w:rsid w:val="5DDB040C"/>
    <w:rsid w:val="5DDB4B89"/>
    <w:rsid w:val="5DDF6026"/>
    <w:rsid w:val="5DE078F7"/>
    <w:rsid w:val="5DE9522F"/>
    <w:rsid w:val="5DEF31E3"/>
    <w:rsid w:val="5DEF3ADC"/>
    <w:rsid w:val="5DF01DF9"/>
    <w:rsid w:val="5DF04B2E"/>
    <w:rsid w:val="5DF8261D"/>
    <w:rsid w:val="5E0502AC"/>
    <w:rsid w:val="5E054C41"/>
    <w:rsid w:val="5E1B0C50"/>
    <w:rsid w:val="5E1C077A"/>
    <w:rsid w:val="5E317B16"/>
    <w:rsid w:val="5E325597"/>
    <w:rsid w:val="5E3A67DF"/>
    <w:rsid w:val="5E47553D"/>
    <w:rsid w:val="5E583C9E"/>
    <w:rsid w:val="5E6147C3"/>
    <w:rsid w:val="5E7A5F9F"/>
    <w:rsid w:val="5E7E7C15"/>
    <w:rsid w:val="5E846BCA"/>
    <w:rsid w:val="5E8B2237"/>
    <w:rsid w:val="5EA27843"/>
    <w:rsid w:val="5EA43510"/>
    <w:rsid w:val="5EA70666"/>
    <w:rsid w:val="5EBF3F02"/>
    <w:rsid w:val="5ED440D6"/>
    <w:rsid w:val="5EEE6A26"/>
    <w:rsid w:val="5F01496B"/>
    <w:rsid w:val="5F0279C4"/>
    <w:rsid w:val="5F093472"/>
    <w:rsid w:val="5F0B2CFC"/>
    <w:rsid w:val="5F0F5F1B"/>
    <w:rsid w:val="5F1337CF"/>
    <w:rsid w:val="5F164911"/>
    <w:rsid w:val="5F1E7605"/>
    <w:rsid w:val="5F201ABF"/>
    <w:rsid w:val="5F223BB4"/>
    <w:rsid w:val="5F387044"/>
    <w:rsid w:val="5F433410"/>
    <w:rsid w:val="5F4B2E24"/>
    <w:rsid w:val="5F4D5334"/>
    <w:rsid w:val="5F5A7462"/>
    <w:rsid w:val="5F5B053B"/>
    <w:rsid w:val="5F5B5DD1"/>
    <w:rsid w:val="5F666CF1"/>
    <w:rsid w:val="5F6D531F"/>
    <w:rsid w:val="5F722790"/>
    <w:rsid w:val="5F7836B0"/>
    <w:rsid w:val="5F7902A3"/>
    <w:rsid w:val="5F8D09C3"/>
    <w:rsid w:val="5F8D7940"/>
    <w:rsid w:val="5F8D7DD2"/>
    <w:rsid w:val="5FA37E48"/>
    <w:rsid w:val="5FAE5D89"/>
    <w:rsid w:val="5FC8595B"/>
    <w:rsid w:val="5FE307E1"/>
    <w:rsid w:val="5FE31AB5"/>
    <w:rsid w:val="5FE50461"/>
    <w:rsid w:val="5FE570CA"/>
    <w:rsid w:val="5FF067F2"/>
    <w:rsid w:val="5FFA0406"/>
    <w:rsid w:val="60027706"/>
    <w:rsid w:val="6015179D"/>
    <w:rsid w:val="6017575A"/>
    <w:rsid w:val="60241475"/>
    <w:rsid w:val="60251BBC"/>
    <w:rsid w:val="60341FE1"/>
    <w:rsid w:val="60356969"/>
    <w:rsid w:val="6037528C"/>
    <w:rsid w:val="603A11F0"/>
    <w:rsid w:val="603B43A7"/>
    <w:rsid w:val="603C002E"/>
    <w:rsid w:val="603D23F9"/>
    <w:rsid w:val="6041680B"/>
    <w:rsid w:val="60464640"/>
    <w:rsid w:val="60536C06"/>
    <w:rsid w:val="6054029A"/>
    <w:rsid w:val="60795E91"/>
    <w:rsid w:val="608A2168"/>
    <w:rsid w:val="609531C0"/>
    <w:rsid w:val="60963123"/>
    <w:rsid w:val="609D7C10"/>
    <w:rsid w:val="609E35DC"/>
    <w:rsid w:val="60A22FFC"/>
    <w:rsid w:val="60A81824"/>
    <w:rsid w:val="60A97C6A"/>
    <w:rsid w:val="60B13D77"/>
    <w:rsid w:val="60B24332"/>
    <w:rsid w:val="60B37BB5"/>
    <w:rsid w:val="60B52465"/>
    <w:rsid w:val="60BB2ED0"/>
    <w:rsid w:val="60C842D7"/>
    <w:rsid w:val="60C90494"/>
    <w:rsid w:val="60CC5477"/>
    <w:rsid w:val="60D23209"/>
    <w:rsid w:val="60EB540A"/>
    <w:rsid w:val="60FC2464"/>
    <w:rsid w:val="610678A5"/>
    <w:rsid w:val="610961C7"/>
    <w:rsid w:val="610F0A45"/>
    <w:rsid w:val="611E4CE6"/>
    <w:rsid w:val="613678B7"/>
    <w:rsid w:val="61380D93"/>
    <w:rsid w:val="61407419"/>
    <w:rsid w:val="616365BA"/>
    <w:rsid w:val="61677FB2"/>
    <w:rsid w:val="616C680A"/>
    <w:rsid w:val="617556F4"/>
    <w:rsid w:val="61775374"/>
    <w:rsid w:val="617F2EE1"/>
    <w:rsid w:val="617F71B4"/>
    <w:rsid w:val="618C1A96"/>
    <w:rsid w:val="61967E27"/>
    <w:rsid w:val="61A93F2B"/>
    <w:rsid w:val="61AC7DCD"/>
    <w:rsid w:val="61B46E99"/>
    <w:rsid w:val="61B71E75"/>
    <w:rsid w:val="61B815EC"/>
    <w:rsid w:val="61B85BDA"/>
    <w:rsid w:val="61BC1F78"/>
    <w:rsid w:val="61CE5D83"/>
    <w:rsid w:val="61D56029"/>
    <w:rsid w:val="61DF3EFE"/>
    <w:rsid w:val="61EC69EA"/>
    <w:rsid w:val="61EE40B9"/>
    <w:rsid w:val="620F67EC"/>
    <w:rsid w:val="62173F2A"/>
    <w:rsid w:val="62237826"/>
    <w:rsid w:val="62266964"/>
    <w:rsid w:val="622F4B23"/>
    <w:rsid w:val="62362B46"/>
    <w:rsid w:val="623B4B80"/>
    <w:rsid w:val="623C31ED"/>
    <w:rsid w:val="623E4660"/>
    <w:rsid w:val="62400F9F"/>
    <w:rsid w:val="62465E1A"/>
    <w:rsid w:val="62486582"/>
    <w:rsid w:val="624F2E59"/>
    <w:rsid w:val="62507E2C"/>
    <w:rsid w:val="625B7B17"/>
    <w:rsid w:val="62662FF4"/>
    <w:rsid w:val="626E0142"/>
    <w:rsid w:val="626F56F8"/>
    <w:rsid w:val="6270558C"/>
    <w:rsid w:val="62713B54"/>
    <w:rsid w:val="6275649E"/>
    <w:rsid w:val="62783C0B"/>
    <w:rsid w:val="627B71A0"/>
    <w:rsid w:val="62865532"/>
    <w:rsid w:val="628C2684"/>
    <w:rsid w:val="629574EE"/>
    <w:rsid w:val="62A0765A"/>
    <w:rsid w:val="62A25031"/>
    <w:rsid w:val="62A3286C"/>
    <w:rsid w:val="62A73533"/>
    <w:rsid w:val="62B01BF9"/>
    <w:rsid w:val="62B76F64"/>
    <w:rsid w:val="62C44951"/>
    <w:rsid w:val="62DC5F40"/>
    <w:rsid w:val="62F13046"/>
    <w:rsid w:val="62FA16F0"/>
    <w:rsid w:val="63110999"/>
    <w:rsid w:val="63113CD3"/>
    <w:rsid w:val="63172B21"/>
    <w:rsid w:val="632905BE"/>
    <w:rsid w:val="63293FEB"/>
    <w:rsid w:val="632945F8"/>
    <w:rsid w:val="632B067E"/>
    <w:rsid w:val="632B43D4"/>
    <w:rsid w:val="63455EB5"/>
    <w:rsid w:val="63494123"/>
    <w:rsid w:val="634A31FE"/>
    <w:rsid w:val="634F7A95"/>
    <w:rsid w:val="63515BF7"/>
    <w:rsid w:val="63544614"/>
    <w:rsid w:val="635908C0"/>
    <w:rsid w:val="636802F7"/>
    <w:rsid w:val="637F5749"/>
    <w:rsid w:val="63843310"/>
    <w:rsid w:val="638A735E"/>
    <w:rsid w:val="63946AD2"/>
    <w:rsid w:val="63A13700"/>
    <w:rsid w:val="63AA3121"/>
    <w:rsid w:val="63B42B7E"/>
    <w:rsid w:val="63BD7488"/>
    <w:rsid w:val="63C67A48"/>
    <w:rsid w:val="63C803D6"/>
    <w:rsid w:val="63CB7DC7"/>
    <w:rsid w:val="63CF43D0"/>
    <w:rsid w:val="63D619DB"/>
    <w:rsid w:val="63D66158"/>
    <w:rsid w:val="63E01695"/>
    <w:rsid w:val="63E44CE0"/>
    <w:rsid w:val="63E5166B"/>
    <w:rsid w:val="63E521B1"/>
    <w:rsid w:val="63EB60FE"/>
    <w:rsid w:val="63F6448F"/>
    <w:rsid w:val="63FA6EBC"/>
    <w:rsid w:val="6405729D"/>
    <w:rsid w:val="64114619"/>
    <w:rsid w:val="64176BC2"/>
    <w:rsid w:val="641817AC"/>
    <w:rsid w:val="641C507E"/>
    <w:rsid w:val="642269BE"/>
    <w:rsid w:val="642B49AC"/>
    <w:rsid w:val="642F7D35"/>
    <w:rsid w:val="64430DE3"/>
    <w:rsid w:val="64501EFE"/>
    <w:rsid w:val="64592EAE"/>
    <w:rsid w:val="64624FED"/>
    <w:rsid w:val="646311CD"/>
    <w:rsid w:val="646B1711"/>
    <w:rsid w:val="646B3226"/>
    <w:rsid w:val="646D54D6"/>
    <w:rsid w:val="646E2E54"/>
    <w:rsid w:val="647A0394"/>
    <w:rsid w:val="64803573"/>
    <w:rsid w:val="64841231"/>
    <w:rsid w:val="6484786C"/>
    <w:rsid w:val="64855ECC"/>
    <w:rsid w:val="648869F8"/>
    <w:rsid w:val="648A0433"/>
    <w:rsid w:val="64972EF1"/>
    <w:rsid w:val="64A05CB5"/>
    <w:rsid w:val="64A358AC"/>
    <w:rsid w:val="64A5552C"/>
    <w:rsid w:val="64AB105D"/>
    <w:rsid w:val="64AD0DC9"/>
    <w:rsid w:val="64AF38BD"/>
    <w:rsid w:val="64AF7C49"/>
    <w:rsid w:val="64C23DD5"/>
    <w:rsid w:val="64CE3AE2"/>
    <w:rsid w:val="64D3704A"/>
    <w:rsid w:val="64D6003D"/>
    <w:rsid w:val="64DD4CB3"/>
    <w:rsid w:val="64DE1751"/>
    <w:rsid w:val="64E742EF"/>
    <w:rsid w:val="64FC5F3B"/>
    <w:rsid w:val="64FD483B"/>
    <w:rsid w:val="6508517B"/>
    <w:rsid w:val="650B6F5C"/>
    <w:rsid w:val="651B7F2D"/>
    <w:rsid w:val="65321EAF"/>
    <w:rsid w:val="65424FBE"/>
    <w:rsid w:val="65474D35"/>
    <w:rsid w:val="654753C5"/>
    <w:rsid w:val="65491C1D"/>
    <w:rsid w:val="654A5C21"/>
    <w:rsid w:val="654A627E"/>
    <w:rsid w:val="65547634"/>
    <w:rsid w:val="655A55AD"/>
    <w:rsid w:val="6567306B"/>
    <w:rsid w:val="656C203B"/>
    <w:rsid w:val="657B67E7"/>
    <w:rsid w:val="65927733"/>
    <w:rsid w:val="6598361E"/>
    <w:rsid w:val="659B03FD"/>
    <w:rsid w:val="65A4203A"/>
    <w:rsid w:val="65A50F82"/>
    <w:rsid w:val="65A97358"/>
    <w:rsid w:val="65B02AA9"/>
    <w:rsid w:val="65B26E1A"/>
    <w:rsid w:val="65BC52FA"/>
    <w:rsid w:val="65C91E0B"/>
    <w:rsid w:val="65D43A20"/>
    <w:rsid w:val="65D62F01"/>
    <w:rsid w:val="65DE1DB1"/>
    <w:rsid w:val="65EB000C"/>
    <w:rsid w:val="65FF44E4"/>
    <w:rsid w:val="660202AA"/>
    <w:rsid w:val="660545A7"/>
    <w:rsid w:val="660A2875"/>
    <w:rsid w:val="662B2AB8"/>
    <w:rsid w:val="66377796"/>
    <w:rsid w:val="66383CB1"/>
    <w:rsid w:val="66392A42"/>
    <w:rsid w:val="663E6DBE"/>
    <w:rsid w:val="663F0B50"/>
    <w:rsid w:val="664107D0"/>
    <w:rsid w:val="66423855"/>
    <w:rsid w:val="66532EE5"/>
    <w:rsid w:val="66551E8A"/>
    <w:rsid w:val="66570776"/>
    <w:rsid w:val="66727138"/>
    <w:rsid w:val="6677646F"/>
    <w:rsid w:val="667B7A09"/>
    <w:rsid w:val="667F5D36"/>
    <w:rsid w:val="668D180F"/>
    <w:rsid w:val="669F4100"/>
    <w:rsid w:val="66B27489"/>
    <w:rsid w:val="66B44C49"/>
    <w:rsid w:val="66B87515"/>
    <w:rsid w:val="66BA731E"/>
    <w:rsid w:val="66C75A98"/>
    <w:rsid w:val="66CA26C8"/>
    <w:rsid w:val="66CF38B7"/>
    <w:rsid w:val="66E47FD9"/>
    <w:rsid w:val="66E96F94"/>
    <w:rsid w:val="66EF1BEE"/>
    <w:rsid w:val="66F1359C"/>
    <w:rsid w:val="67041B93"/>
    <w:rsid w:val="67137918"/>
    <w:rsid w:val="671962B5"/>
    <w:rsid w:val="67244646"/>
    <w:rsid w:val="673458F9"/>
    <w:rsid w:val="673A09E8"/>
    <w:rsid w:val="67435FD9"/>
    <w:rsid w:val="67585434"/>
    <w:rsid w:val="67626562"/>
    <w:rsid w:val="67626D6D"/>
    <w:rsid w:val="67662C5B"/>
    <w:rsid w:val="67766731"/>
    <w:rsid w:val="677A5055"/>
    <w:rsid w:val="677C4CD5"/>
    <w:rsid w:val="67805075"/>
    <w:rsid w:val="67961C17"/>
    <w:rsid w:val="679C300B"/>
    <w:rsid w:val="679C7788"/>
    <w:rsid w:val="679D7433"/>
    <w:rsid w:val="679F251D"/>
    <w:rsid w:val="67A37C4B"/>
    <w:rsid w:val="67A54BE1"/>
    <w:rsid w:val="67B1772D"/>
    <w:rsid w:val="67C26478"/>
    <w:rsid w:val="67D15A64"/>
    <w:rsid w:val="67D22E77"/>
    <w:rsid w:val="67DD0208"/>
    <w:rsid w:val="67DD60BA"/>
    <w:rsid w:val="67E85D26"/>
    <w:rsid w:val="67F00D02"/>
    <w:rsid w:val="67F61F5F"/>
    <w:rsid w:val="680A34E7"/>
    <w:rsid w:val="6814614D"/>
    <w:rsid w:val="681B2F09"/>
    <w:rsid w:val="682778C0"/>
    <w:rsid w:val="682B2612"/>
    <w:rsid w:val="682D1A42"/>
    <w:rsid w:val="682F64A8"/>
    <w:rsid w:val="683E799D"/>
    <w:rsid w:val="683F117F"/>
    <w:rsid w:val="6847290D"/>
    <w:rsid w:val="6849531F"/>
    <w:rsid w:val="68511920"/>
    <w:rsid w:val="68516481"/>
    <w:rsid w:val="68547ECC"/>
    <w:rsid w:val="685E13B0"/>
    <w:rsid w:val="68622967"/>
    <w:rsid w:val="686A7773"/>
    <w:rsid w:val="687B76B7"/>
    <w:rsid w:val="688047A5"/>
    <w:rsid w:val="68816DF1"/>
    <w:rsid w:val="68866F70"/>
    <w:rsid w:val="688C06F8"/>
    <w:rsid w:val="68937AAC"/>
    <w:rsid w:val="68953223"/>
    <w:rsid w:val="68A63005"/>
    <w:rsid w:val="68AF1ABE"/>
    <w:rsid w:val="68B32C45"/>
    <w:rsid w:val="68B83318"/>
    <w:rsid w:val="68B958F2"/>
    <w:rsid w:val="68BA526B"/>
    <w:rsid w:val="68C078EA"/>
    <w:rsid w:val="68C2756A"/>
    <w:rsid w:val="68D7265D"/>
    <w:rsid w:val="68D73C8C"/>
    <w:rsid w:val="68DA74C0"/>
    <w:rsid w:val="68DC7CE5"/>
    <w:rsid w:val="68EB74F5"/>
    <w:rsid w:val="68F378DD"/>
    <w:rsid w:val="68F71FC3"/>
    <w:rsid w:val="69023BD7"/>
    <w:rsid w:val="691702F9"/>
    <w:rsid w:val="69241FDE"/>
    <w:rsid w:val="692D1CA2"/>
    <w:rsid w:val="69310E2D"/>
    <w:rsid w:val="693140E6"/>
    <w:rsid w:val="69382A2C"/>
    <w:rsid w:val="693D5F2C"/>
    <w:rsid w:val="694A285B"/>
    <w:rsid w:val="695B3B48"/>
    <w:rsid w:val="69606E87"/>
    <w:rsid w:val="696E0D08"/>
    <w:rsid w:val="697A6D19"/>
    <w:rsid w:val="697B29FF"/>
    <w:rsid w:val="697B79BF"/>
    <w:rsid w:val="697C3854"/>
    <w:rsid w:val="6985092D"/>
    <w:rsid w:val="698F343B"/>
    <w:rsid w:val="698F6CBE"/>
    <w:rsid w:val="699A504F"/>
    <w:rsid w:val="69A126D0"/>
    <w:rsid w:val="69A433E0"/>
    <w:rsid w:val="69A67F0A"/>
    <w:rsid w:val="69A842DD"/>
    <w:rsid w:val="69AE7D52"/>
    <w:rsid w:val="69BB2336"/>
    <w:rsid w:val="69C4740C"/>
    <w:rsid w:val="69CD6BF7"/>
    <w:rsid w:val="69D07728"/>
    <w:rsid w:val="69D8718B"/>
    <w:rsid w:val="69DC7224"/>
    <w:rsid w:val="6A0512F8"/>
    <w:rsid w:val="6A09022B"/>
    <w:rsid w:val="6A0E7DC2"/>
    <w:rsid w:val="6A120191"/>
    <w:rsid w:val="6A134FB1"/>
    <w:rsid w:val="6A1C53D4"/>
    <w:rsid w:val="6A231117"/>
    <w:rsid w:val="6A265BB0"/>
    <w:rsid w:val="6A29456A"/>
    <w:rsid w:val="6A2C5734"/>
    <w:rsid w:val="6A3D00DC"/>
    <w:rsid w:val="6A476164"/>
    <w:rsid w:val="6A4A3203"/>
    <w:rsid w:val="6A53447E"/>
    <w:rsid w:val="6A5C083D"/>
    <w:rsid w:val="6A5D25D7"/>
    <w:rsid w:val="6A5E280F"/>
    <w:rsid w:val="6A642AAA"/>
    <w:rsid w:val="6A8E2A69"/>
    <w:rsid w:val="6A9A6D03"/>
    <w:rsid w:val="6A9E6D59"/>
    <w:rsid w:val="6A9E6E7B"/>
    <w:rsid w:val="6AAF349C"/>
    <w:rsid w:val="6AB844F7"/>
    <w:rsid w:val="6ABA3685"/>
    <w:rsid w:val="6ABE76FB"/>
    <w:rsid w:val="6AC57246"/>
    <w:rsid w:val="6ACF5521"/>
    <w:rsid w:val="6AEB189F"/>
    <w:rsid w:val="6AF14744"/>
    <w:rsid w:val="6AFA3AE7"/>
    <w:rsid w:val="6B004708"/>
    <w:rsid w:val="6B0D580B"/>
    <w:rsid w:val="6B0F1B3B"/>
    <w:rsid w:val="6B0F4667"/>
    <w:rsid w:val="6B217424"/>
    <w:rsid w:val="6B2F77C3"/>
    <w:rsid w:val="6B3163CD"/>
    <w:rsid w:val="6B385531"/>
    <w:rsid w:val="6B385C16"/>
    <w:rsid w:val="6B5704F0"/>
    <w:rsid w:val="6B5C3F29"/>
    <w:rsid w:val="6B604F37"/>
    <w:rsid w:val="6B62463B"/>
    <w:rsid w:val="6B646EC7"/>
    <w:rsid w:val="6B66231C"/>
    <w:rsid w:val="6B7845E0"/>
    <w:rsid w:val="6B81124F"/>
    <w:rsid w:val="6B8E7AC6"/>
    <w:rsid w:val="6B91077B"/>
    <w:rsid w:val="6B97541B"/>
    <w:rsid w:val="6B9B5645"/>
    <w:rsid w:val="6BA456A1"/>
    <w:rsid w:val="6BBA6453"/>
    <w:rsid w:val="6BC04DD2"/>
    <w:rsid w:val="6BC555E9"/>
    <w:rsid w:val="6BC679C4"/>
    <w:rsid w:val="6BCA635C"/>
    <w:rsid w:val="6BCE176C"/>
    <w:rsid w:val="6BD034B1"/>
    <w:rsid w:val="6BD32814"/>
    <w:rsid w:val="6BD93380"/>
    <w:rsid w:val="6BEA7DA0"/>
    <w:rsid w:val="6C0A033A"/>
    <w:rsid w:val="6C1F6917"/>
    <w:rsid w:val="6C2A49C0"/>
    <w:rsid w:val="6C364839"/>
    <w:rsid w:val="6C3B1E96"/>
    <w:rsid w:val="6C400E08"/>
    <w:rsid w:val="6C4504B1"/>
    <w:rsid w:val="6C507880"/>
    <w:rsid w:val="6C515FF1"/>
    <w:rsid w:val="6C5A2E12"/>
    <w:rsid w:val="6C666467"/>
    <w:rsid w:val="6C7147F8"/>
    <w:rsid w:val="6C7500CD"/>
    <w:rsid w:val="6C7C2B89"/>
    <w:rsid w:val="6C7F058A"/>
    <w:rsid w:val="6C881897"/>
    <w:rsid w:val="6C9500C9"/>
    <w:rsid w:val="6C9C58B1"/>
    <w:rsid w:val="6C9C7E18"/>
    <w:rsid w:val="6C9D0B3F"/>
    <w:rsid w:val="6CA2098A"/>
    <w:rsid w:val="6CBD6E76"/>
    <w:rsid w:val="6CD05A66"/>
    <w:rsid w:val="6CD43218"/>
    <w:rsid w:val="6CE640E0"/>
    <w:rsid w:val="6CF23F18"/>
    <w:rsid w:val="6CF40DC4"/>
    <w:rsid w:val="6CFF65A1"/>
    <w:rsid w:val="6D062142"/>
    <w:rsid w:val="6D144001"/>
    <w:rsid w:val="6D16708F"/>
    <w:rsid w:val="6D2B3C26"/>
    <w:rsid w:val="6D2F407A"/>
    <w:rsid w:val="6D324EAF"/>
    <w:rsid w:val="6D351FB7"/>
    <w:rsid w:val="6D3A315F"/>
    <w:rsid w:val="6D3E5E30"/>
    <w:rsid w:val="6D425BC9"/>
    <w:rsid w:val="6D504C80"/>
    <w:rsid w:val="6D52621B"/>
    <w:rsid w:val="6D5502EE"/>
    <w:rsid w:val="6D5B4F1A"/>
    <w:rsid w:val="6D5C3453"/>
    <w:rsid w:val="6D617180"/>
    <w:rsid w:val="6D636A30"/>
    <w:rsid w:val="6D6B0293"/>
    <w:rsid w:val="6D782195"/>
    <w:rsid w:val="6D7A537A"/>
    <w:rsid w:val="6D85309D"/>
    <w:rsid w:val="6D92113C"/>
    <w:rsid w:val="6D9C08DB"/>
    <w:rsid w:val="6DAC0CFD"/>
    <w:rsid w:val="6DBF5418"/>
    <w:rsid w:val="6DCC7033"/>
    <w:rsid w:val="6DD70B0A"/>
    <w:rsid w:val="6DDC7BF5"/>
    <w:rsid w:val="6DE4089C"/>
    <w:rsid w:val="6DE85DA6"/>
    <w:rsid w:val="6DEE55BD"/>
    <w:rsid w:val="6DF723A2"/>
    <w:rsid w:val="6DF77E54"/>
    <w:rsid w:val="6E03170B"/>
    <w:rsid w:val="6E0D3D65"/>
    <w:rsid w:val="6E0D7A9C"/>
    <w:rsid w:val="6E1E14E8"/>
    <w:rsid w:val="6E2B625C"/>
    <w:rsid w:val="6E35746E"/>
    <w:rsid w:val="6E4068C7"/>
    <w:rsid w:val="6E49479B"/>
    <w:rsid w:val="6E4D5F42"/>
    <w:rsid w:val="6E5922A4"/>
    <w:rsid w:val="6E680EDE"/>
    <w:rsid w:val="6E897A2F"/>
    <w:rsid w:val="6EAA5408"/>
    <w:rsid w:val="6EAB5DBA"/>
    <w:rsid w:val="6EB120D4"/>
    <w:rsid w:val="6EB742F5"/>
    <w:rsid w:val="6EB834AF"/>
    <w:rsid w:val="6EBB3D15"/>
    <w:rsid w:val="6EC76ECB"/>
    <w:rsid w:val="6EC92089"/>
    <w:rsid w:val="6EDF71FD"/>
    <w:rsid w:val="6EE75201"/>
    <w:rsid w:val="6EE83457"/>
    <w:rsid w:val="6EE85358"/>
    <w:rsid w:val="6EF23592"/>
    <w:rsid w:val="6EF27C38"/>
    <w:rsid w:val="6EF517B8"/>
    <w:rsid w:val="6EFD77D4"/>
    <w:rsid w:val="6F1218C9"/>
    <w:rsid w:val="6F12190F"/>
    <w:rsid w:val="6F13518C"/>
    <w:rsid w:val="6F156D3B"/>
    <w:rsid w:val="6F1C7C5A"/>
    <w:rsid w:val="6F371D9F"/>
    <w:rsid w:val="6F3C65DA"/>
    <w:rsid w:val="6F3D238D"/>
    <w:rsid w:val="6F5002D8"/>
    <w:rsid w:val="6F502A24"/>
    <w:rsid w:val="6F54558B"/>
    <w:rsid w:val="6F665603"/>
    <w:rsid w:val="6F6B7855"/>
    <w:rsid w:val="6F6D468E"/>
    <w:rsid w:val="6F6F1A4E"/>
    <w:rsid w:val="6F722FD8"/>
    <w:rsid w:val="6F777FA1"/>
    <w:rsid w:val="6F8252D9"/>
    <w:rsid w:val="6F8F48EE"/>
    <w:rsid w:val="6F942D9B"/>
    <w:rsid w:val="6F94661F"/>
    <w:rsid w:val="6FCB0CF7"/>
    <w:rsid w:val="6FE05419"/>
    <w:rsid w:val="70056703"/>
    <w:rsid w:val="700C51DD"/>
    <w:rsid w:val="7016325A"/>
    <w:rsid w:val="701A0CE1"/>
    <w:rsid w:val="70271334"/>
    <w:rsid w:val="702B1C62"/>
    <w:rsid w:val="702B7E90"/>
    <w:rsid w:val="7035282B"/>
    <w:rsid w:val="703716AB"/>
    <w:rsid w:val="703E4ED1"/>
    <w:rsid w:val="704241B9"/>
    <w:rsid w:val="70452701"/>
    <w:rsid w:val="70454A71"/>
    <w:rsid w:val="704D5DCD"/>
    <w:rsid w:val="70502B76"/>
    <w:rsid w:val="705B0B47"/>
    <w:rsid w:val="7063216F"/>
    <w:rsid w:val="70676C1A"/>
    <w:rsid w:val="707F0060"/>
    <w:rsid w:val="7086098D"/>
    <w:rsid w:val="7087503F"/>
    <w:rsid w:val="708E1623"/>
    <w:rsid w:val="70952EFB"/>
    <w:rsid w:val="70984BC8"/>
    <w:rsid w:val="709A0BC8"/>
    <w:rsid w:val="709B0D8D"/>
    <w:rsid w:val="70A05F07"/>
    <w:rsid w:val="70A367DC"/>
    <w:rsid w:val="70A56F0D"/>
    <w:rsid w:val="70B37B3D"/>
    <w:rsid w:val="70BD5584"/>
    <w:rsid w:val="70C40F7D"/>
    <w:rsid w:val="70CF2B23"/>
    <w:rsid w:val="70F53402"/>
    <w:rsid w:val="70FA2BD8"/>
    <w:rsid w:val="70FC615B"/>
    <w:rsid w:val="71005226"/>
    <w:rsid w:val="7105557C"/>
    <w:rsid w:val="710B1FB1"/>
    <w:rsid w:val="711411DE"/>
    <w:rsid w:val="713002C3"/>
    <w:rsid w:val="713118C3"/>
    <w:rsid w:val="71333835"/>
    <w:rsid w:val="714F2465"/>
    <w:rsid w:val="715D5C0A"/>
    <w:rsid w:val="71692EA2"/>
    <w:rsid w:val="717644BC"/>
    <w:rsid w:val="71783771"/>
    <w:rsid w:val="717D3F41"/>
    <w:rsid w:val="7186773D"/>
    <w:rsid w:val="718B11FA"/>
    <w:rsid w:val="719D5F71"/>
    <w:rsid w:val="719D69F4"/>
    <w:rsid w:val="71A65D18"/>
    <w:rsid w:val="71B5485A"/>
    <w:rsid w:val="71BE171C"/>
    <w:rsid w:val="71BE54C5"/>
    <w:rsid w:val="71BE6BBF"/>
    <w:rsid w:val="71C12220"/>
    <w:rsid w:val="71C17044"/>
    <w:rsid w:val="71D32769"/>
    <w:rsid w:val="71D7777B"/>
    <w:rsid w:val="71E13574"/>
    <w:rsid w:val="71EA5EF0"/>
    <w:rsid w:val="71EB0940"/>
    <w:rsid w:val="71EE1A7A"/>
    <w:rsid w:val="71F413EE"/>
    <w:rsid w:val="71F9224B"/>
    <w:rsid w:val="720113A1"/>
    <w:rsid w:val="72075822"/>
    <w:rsid w:val="721466EA"/>
    <w:rsid w:val="721904E0"/>
    <w:rsid w:val="722A1ADB"/>
    <w:rsid w:val="72335600"/>
    <w:rsid w:val="7233577E"/>
    <w:rsid w:val="72364999"/>
    <w:rsid w:val="7240150C"/>
    <w:rsid w:val="724A1465"/>
    <w:rsid w:val="72617C37"/>
    <w:rsid w:val="726B2544"/>
    <w:rsid w:val="72704516"/>
    <w:rsid w:val="727379B5"/>
    <w:rsid w:val="727453AB"/>
    <w:rsid w:val="7276015A"/>
    <w:rsid w:val="72817322"/>
    <w:rsid w:val="7288132C"/>
    <w:rsid w:val="728A78DB"/>
    <w:rsid w:val="72A10820"/>
    <w:rsid w:val="72A11439"/>
    <w:rsid w:val="72A1635F"/>
    <w:rsid w:val="72AD6831"/>
    <w:rsid w:val="72B80445"/>
    <w:rsid w:val="72C05077"/>
    <w:rsid w:val="72C963D7"/>
    <w:rsid w:val="72E95A44"/>
    <w:rsid w:val="72ED66D9"/>
    <w:rsid w:val="72F8122F"/>
    <w:rsid w:val="72FE1C0D"/>
    <w:rsid w:val="730B6CBD"/>
    <w:rsid w:val="730E55D1"/>
    <w:rsid w:val="7319726C"/>
    <w:rsid w:val="73224E88"/>
    <w:rsid w:val="732E3907"/>
    <w:rsid w:val="733213EC"/>
    <w:rsid w:val="733335B6"/>
    <w:rsid w:val="734A0A1D"/>
    <w:rsid w:val="734B7BD2"/>
    <w:rsid w:val="735018BD"/>
    <w:rsid w:val="735720CD"/>
    <w:rsid w:val="735A63E7"/>
    <w:rsid w:val="735B7C4E"/>
    <w:rsid w:val="73651863"/>
    <w:rsid w:val="7377050C"/>
    <w:rsid w:val="737B5F85"/>
    <w:rsid w:val="7386016D"/>
    <w:rsid w:val="739C06B8"/>
    <w:rsid w:val="739F3FA5"/>
    <w:rsid w:val="73A722CC"/>
    <w:rsid w:val="73AB1A61"/>
    <w:rsid w:val="73AB4ED8"/>
    <w:rsid w:val="73B374B8"/>
    <w:rsid w:val="73B90BAC"/>
    <w:rsid w:val="73BE3158"/>
    <w:rsid w:val="73C42388"/>
    <w:rsid w:val="73C60F15"/>
    <w:rsid w:val="73C7661F"/>
    <w:rsid w:val="73C9701A"/>
    <w:rsid w:val="73CC53BA"/>
    <w:rsid w:val="73D362AA"/>
    <w:rsid w:val="73D92EA5"/>
    <w:rsid w:val="73E32F46"/>
    <w:rsid w:val="73FB4CB6"/>
    <w:rsid w:val="73FD7457"/>
    <w:rsid w:val="740A4EF9"/>
    <w:rsid w:val="74140957"/>
    <w:rsid w:val="741A4194"/>
    <w:rsid w:val="741E6BF6"/>
    <w:rsid w:val="74225D54"/>
    <w:rsid w:val="74255C42"/>
    <w:rsid w:val="74277F7A"/>
    <w:rsid w:val="743453B3"/>
    <w:rsid w:val="74462F0F"/>
    <w:rsid w:val="744A039E"/>
    <w:rsid w:val="745436E9"/>
    <w:rsid w:val="74617D0C"/>
    <w:rsid w:val="74710496"/>
    <w:rsid w:val="747D1735"/>
    <w:rsid w:val="747E087F"/>
    <w:rsid w:val="7480686B"/>
    <w:rsid w:val="74825767"/>
    <w:rsid w:val="74DA44E4"/>
    <w:rsid w:val="74E267D1"/>
    <w:rsid w:val="74E657DC"/>
    <w:rsid w:val="74F34ACD"/>
    <w:rsid w:val="75057709"/>
    <w:rsid w:val="75086D99"/>
    <w:rsid w:val="750C5B34"/>
    <w:rsid w:val="750F58FD"/>
    <w:rsid w:val="75101DE0"/>
    <w:rsid w:val="751D528F"/>
    <w:rsid w:val="7521337B"/>
    <w:rsid w:val="752175BA"/>
    <w:rsid w:val="752244C4"/>
    <w:rsid w:val="7523723A"/>
    <w:rsid w:val="752B5A68"/>
    <w:rsid w:val="752E55CB"/>
    <w:rsid w:val="7538395C"/>
    <w:rsid w:val="754357AD"/>
    <w:rsid w:val="754419D6"/>
    <w:rsid w:val="755E68DC"/>
    <w:rsid w:val="75687D77"/>
    <w:rsid w:val="756E1C38"/>
    <w:rsid w:val="75787FC9"/>
    <w:rsid w:val="757A60AE"/>
    <w:rsid w:val="7584184B"/>
    <w:rsid w:val="75AA0272"/>
    <w:rsid w:val="75AF26A1"/>
    <w:rsid w:val="75BB7680"/>
    <w:rsid w:val="75C009E9"/>
    <w:rsid w:val="75CD3BF1"/>
    <w:rsid w:val="75CF09D8"/>
    <w:rsid w:val="75D03F20"/>
    <w:rsid w:val="75ED0BA0"/>
    <w:rsid w:val="76076FFD"/>
    <w:rsid w:val="760D4F0E"/>
    <w:rsid w:val="76233C70"/>
    <w:rsid w:val="763273F7"/>
    <w:rsid w:val="763D0820"/>
    <w:rsid w:val="76406402"/>
    <w:rsid w:val="764B632B"/>
    <w:rsid w:val="764F7024"/>
    <w:rsid w:val="765C3ABF"/>
    <w:rsid w:val="766421C7"/>
    <w:rsid w:val="767232C6"/>
    <w:rsid w:val="76723970"/>
    <w:rsid w:val="76740BEF"/>
    <w:rsid w:val="76790445"/>
    <w:rsid w:val="767E7F9F"/>
    <w:rsid w:val="767F1BEE"/>
    <w:rsid w:val="76A04C68"/>
    <w:rsid w:val="76A51AB3"/>
    <w:rsid w:val="76AC36EB"/>
    <w:rsid w:val="76AE24B4"/>
    <w:rsid w:val="76B22901"/>
    <w:rsid w:val="76B5414D"/>
    <w:rsid w:val="76BE16A4"/>
    <w:rsid w:val="76CD6D69"/>
    <w:rsid w:val="76D04D8C"/>
    <w:rsid w:val="76D10E1C"/>
    <w:rsid w:val="76D46C00"/>
    <w:rsid w:val="76DB17CF"/>
    <w:rsid w:val="76DF5D67"/>
    <w:rsid w:val="76E663C9"/>
    <w:rsid w:val="76EF77A7"/>
    <w:rsid w:val="76F830BB"/>
    <w:rsid w:val="77054375"/>
    <w:rsid w:val="77066F93"/>
    <w:rsid w:val="770B4B5C"/>
    <w:rsid w:val="7723261E"/>
    <w:rsid w:val="772A78E1"/>
    <w:rsid w:val="772B2E92"/>
    <w:rsid w:val="77361223"/>
    <w:rsid w:val="773B74E3"/>
    <w:rsid w:val="77443583"/>
    <w:rsid w:val="775E187F"/>
    <w:rsid w:val="776F3A52"/>
    <w:rsid w:val="77771C8D"/>
    <w:rsid w:val="77794C3F"/>
    <w:rsid w:val="777B1D14"/>
    <w:rsid w:val="77891EB0"/>
    <w:rsid w:val="779D0B82"/>
    <w:rsid w:val="77B06E9C"/>
    <w:rsid w:val="77B33165"/>
    <w:rsid w:val="77B95F79"/>
    <w:rsid w:val="77CB2E7D"/>
    <w:rsid w:val="77D51759"/>
    <w:rsid w:val="77D90A2D"/>
    <w:rsid w:val="77E43A7A"/>
    <w:rsid w:val="77E710CA"/>
    <w:rsid w:val="7805206E"/>
    <w:rsid w:val="780B2412"/>
    <w:rsid w:val="780E02EC"/>
    <w:rsid w:val="78174088"/>
    <w:rsid w:val="781A65AF"/>
    <w:rsid w:val="781C3135"/>
    <w:rsid w:val="781E79F3"/>
    <w:rsid w:val="781F26FF"/>
    <w:rsid w:val="7828626A"/>
    <w:rsid w:val="78307C3A"/>
    <w:rsid w:val="78353A5F"/>
    <w:rsid w:val="783A3050"/>
    <w:rsid w:val="784538CA"/>
    <w:rsid w:val="786C09BA"/>
    <w:rsid w:val="786C1733"/>
    <w:rsid w:val="787F51EA"/>
    <w:rsid w:val="787F6A16"/>
    <w:rsid w:val="78861E4A"/>
    <w:rsid w:val="78913A5E"/>
    <w:rsid w:val="78A472CA"/>
    <w:rsid w:val="78A50A5C"/>
    <w:rsid w:val="78AA2490"/>
    <w:rsid w:val="78B26191"/>
    <w:rsid w:val="78BD2563"/>
    <w:rsid w:val="78CD3560"/>
    <w:rsid w:val="78F25828"/>
    <w:rsid w:val="78FD0B8F"/>
    <w:rsid w:val="78FD5B9F"/>
    <w:rsid w:val="78FF080F"/>
    <w:rsid w:val="79096BA0"/>
    <w:rsid w:val="790E2D96"/>
    <w:rsid w:val="79133290"/>
    <w:rsid w:val="791453EB"/>
    <w:rsid w:val="79276AD0"/>
    <w:rsid w:val="79360369"/>
    <w:rsid w:val="793F45F2"/>
    <w:rsid w:val="793F54D1"/>
    <w:rsid w:val="794B7741"/>
    <w:rsid w:val="795135CA"/>
    <w:rsid w:val="7955121E"/>
    <w:rsid w:val="795B27AC"/>
    <w:rsid w:val="795D3791"/>
    <w:rsid w:val="796075AF"/>
    <w:rsid w:val="796A5940"/>
    <w:rsid w:val="796B01E8"/>
    <w:rsid w:val="796C2272"/>
    <w:rsid w:val="796E5E2F"/>
    <w:rsid w:val="79753CD1"/>
    <w:rsid w:val="79757554"/>
    <w:rsid w:val="797C6C5A"/>
    <w:rsid w:val="79850D92"/>
    <w:rsid w:val="798F4B48"/>
    <w:rsid w:val="79953958"/>
    <w:rsid w:val="799B74F9"/>
    <w:rsid w:val="79A4749B"/>
    <w:rsid w:val="79A65DD0"/>
    <w:rsid w:val="79A75C38"/>
    <w:rsid w:val="79B4314E"/>
    <w:rsid w:val="79B46BE2"/>
    <w:rsid w:val="79B55270"/>
    <w:rsid w:val="79B60D5D"/>
    <w:rsid w:val="79B62EC1"/>
    <w:rsid w:val="79CC46E0"/>
    <w:rsid w:val="79D16604"/>
    <w:rsid w:val="79D74884"/>
    <w:rsid w:val="79DA6447"/>
    <w:rsid w:val="79E7544E"/>
    <w:rsid w:val="79EB155B"/>
    <w:rsid w:val="79EB412B"/>
    <w:rsid w:val="79EF5F6D"/>
    <w:rsid w:val="79F80A27"/>
    <w:rsid w:val="79FF0AC7"/>
    <w:rsid w:val="7A057C7A"/>
    <w:rsid w:val="7A0B743C"/>
    <w:rsid w:val="7A0D09CC"/>
    <w:rsid w:val="7A1D7C7E"/>
    <w:rsid w:val="7A2250EE"/>
    <w:rsid w:val="7A275C3A"/>
    <w:rsid w:val="7A2E16C5"/>
    <w:rsid w:val="7A3B77D6"/>
    <w:rsid w:val="7A564B8A"/>
    <w:rsid w:val="7A5E390D"/>
    <w:rsid w:val="7A5E54C2"/>
    <w:rsid w:val="7A617D32"/>
    <w:rsid w:val="7A811E80"/>
    <w:rsid w:val="7A827615"/>
    <w:rsid w:val="7A8B406C"/>
    <w:rsid w:val="7A8F5AA2"/>
    <w:rsid w:val="7A986384"/>
    <w:rsid w:val="7AA51020"/>
    <w:rsid w:val="7AA51E44"/>
    <w:rsid w:val="7AAC4F8C"/>
    <w:rsid w:val="7AB14ADE"/>
    <w:rsid w:val="7AB42678"/>
    <w:rsid w:val="7AB76852"/>
    <w:rsid w:val="7AC06BD5"/>
    <w:rsid w:val="7AC92260"/>
    <w:rsid w:val="7AD37B95"/>
    <w:rsid w:val="7AD465B2"/>
    <w:rsid w:val="7AD579F5"/>
    <w:rsid w:val="7AE06875"/>
    <w:rsid w:val="7AE76131"/>
    <w:rsid w:val="7AFD2B32"/>
    <w:rsid w:val="7AFD7176"/>
    <w:rsid w:val="7AFF0452"/>
    <w:rsid w:val="7B02377F"/>
    <w:rsid w:val="7B074467"/>
    <w:rsid w:val="7B0C66E5"/>
    <w:rsid w:val="7B1C0B89"/>
    <w:rsid w:val="7B276F1B"/>
    <w:rsid w:val="7B294867"/>
    <w:rsid w:val="7B2F5E36"/>
    <w:rsid w:val="7B47606E"/>
    <w:rsid w:val="7B48396F"/>
    <w:rsid w:val="7B484ED1"/>
    <w:rsid w:val="7B491528"/>
    <w:rsid w:val="7B4A7360"/>
    <w:rsid w:val="7B543063"/>
    <w:rsid w:val="7B5E4E76"/>
    <w:rsid w:val="7B6A0D1A"/>
    <w:rsid w:val="7B6F35BC"/>
    <w:rsid w:val="7B815A26"/>
    <w:rsid w:val="7B841970"/>
    <w:rsid w:val="7B895D52"/>
    <w:rsid w:val="7B965AB3"/>
    <w:rsid w:val="7B9A0717"/>
    <w:rsid w:val="7BA77A66"/>
    <w:rsid w:val="7BBE30A4"/>
    <w:rsid w:val="7BD27A4E"/>
    <w:rsid w:val="7BD74C69"/>
    <w:rsid w:val="7BE0750F"/>
    <w:rsid w:val="7BE63E9B"/>
    <w:rsid w:val="7BEB46DA"/>
    <w:rsid w:val="7BEB7F5D"/>
    <w:rsid w:val="7BEC5E16"/>
    <w:rsid w:val="7BF2196F"/>
    <w:rsid w:val="7BF62A6B"/>
    <w:rsid w:val="7C00467F"/>
    <w:rsid w:val="7C0B1570"/>
    <w:rsid w:val="7C0E2E9E"/>
    <w:rsid w:val="7C10068C"/>
    <w:rsid w:val="7C120BDF"/>
    <w:rsid w:val="7C2100CF"/>
    <w:rsid w:val="7C242551"/>
    <w:rsid w:val="7C252840"/>
    <w:rsid w:val="7C2D09C7"/>
    <w:rsid w:val="7C317FF1"/>
    <w:rsid w:val="7C350334"/>
    <w:rsid w:val="7C42096C"/>
    <w:rsid w:val="7C471B8A"/>
    <w:rsid w:val="7C4F3D47"/>
    <w:rsid w:val="7C560D0F"/>
    <w:rsid w:val="7C735972"/>
    <w:rsid w:val="7C7D2A53"/>
    <w:rsid w:val="7C801AF1"/>
    <w:rsid w:val="7C822B9F"/>
    <w:rsid w:val="7C827F0D"/>
    <w:rsid w:val="7C8313D5"/>
    <w:rsid w:val="7C8A6B48"/>
    <w:rsid w:val="7C8E2248"/>
    <w:rsid w:val="7C916338"/>
    <w:rsid w:val="7C9E773F"/>
    <w:rsid w:val="7CA33E88"/>
    <w:rsid w:val="7CA75D4D"/>
    <w:rsid w:val="7CC006A1"/>
    <w:rsid w:val="7CCE548B"/>
    <w:rsid w:val="7CD16865"/>
    <w:rsid w:val="7CD732EB"/>
    <w:rsid w:val="7CD83B06"/>
    <w:rsid w:val="7CD83B5C"/>
    <w:rsid w:val="7CDA1DE4"/>
    <w:rsid w:val="7CE4330E"/>
    <w:rsid w:val="7CEF1D89"/>
    <w:rsid w:val="7CFA4897"/>
    <w:rsid w:val="7CFC066F"/>
    <w:rsid w:val="7CFF7412"/>
    <w:rsid w:val="7D085F7C"/>
    <w:rsid w:val="7D0E0CC6"/>
    <w:rsid w:val="7D0E737F"/>
    <w:rsid w:val="7D1144BC"/>
    <w:rsid w:val="7D172835"/>
    <w:rsid w:val="7D1943FF"/>
    <w:rsid w:val="7D1E0F94"/>
    <w:rsid w:val="7D291D58"/>
    <w:rsid w:val="7D2C5792"/>
    <w:rsid w:val="7D306F70"/>
    <w:rsid w:val="7D3127F3"/>
    <w:rsid w:val="7D492DAE"/>
    <w:rsid w:val="7D655FB7"/>
    <w:rsid w:val="7D75055F"/>
    <w:rsid w:val="7D7F4BC0"/>
    <w:rsid w:val="7D985F20"/>
    <w:rsid w:val="7D9D30C0"/>
    <w:rsid w:val="7D9D7924"/>
    <w:rsid w:val="7DAC6C2B"/>
    <w:rsid w:val="7DB92344"/>
    <w:rsid w:val="7DBC39C2"/>
    <w:rsid w:val="7DBD5C5A"/>
    <w:rsid w:val="7DD266DC"/>
    <w:rsid w:val="7DD82A51"/>
    <w:rsid w:val="7DDD2662"/>
    <w:rsid w:val="7DE54694"/>
    <w:rsid w:val="7DE951F3"/>
    <w:rsid w:val="7DEB3417"/>
    <w:rsid w:val="7DF30332"/>
    <w:rsid w:val="7DFA43D5"/>
    <w:rsid w:val="7E192F13"/>
    <w:rsid w:val="7E1968A9"/>
    <w:rsid w:val="7E4A0D41"/>
    <w:rsid w:val="7E657F2C"/>
    <w:rsid w:val="7E67785F"/>
    <w:rsid w:val="7E6E7DB8"/>
    <w:rsid w:val="7E750548"/>
    <w:rsid w:val="7E795A6A"/>
    <w:rsid w:val="7E7B0200"/>
    <w:rsid w:val="7E851A36"/>
    <w:rsid w:val="7E8666DE"/>
    <w:rsid w:val="7E8C5D15"/>
    <w:rsid w:val="7E8E6483"/>
    <w:rsid w:val="7E952391"/>
    <w:rsid w:val="7E9633BF"/>
    <w:rsid w:val="7E9D00E3"/>
    <w:rsid w:val="7EA81185"/>
    <w:rsid w:val="7EAD7761"/>
    <w:rsid w:val="7EAE3A27"/>
    <w:rsid w:val="7EB278DF"/>
    <w:rsid w:val="7EB46432"/>
    <w:rsid w:val="7ECD5B6A"/>
    <w:rsid w:val="7EDF30DC"/>
    <w:rsid w:val="7EEB7C9D"/>
    <w:rsid w:val="7EED3DCE"/>
    <w:rsid w:val="7EEE3E8F"/>
    <w:rsid w:val="7EF32C30"/>
    <w:rsid w:val="7EFB527B"/>
    <w:rsid w:val="7EFC01B4"/>
    <w:rsid w:val="7F052F6E"/>
    <w:rsid w:val="7F0B3B5E"/>
    <w:rsid w:val="7F0E456F"/>
    <w:rsid w:val="7F152F0A"/>
    <w:rsid w:val="7F190115"/>
    <w:rsid w:val="7F1A3E85"/>
    <w:rsid w:val="7F242AEB"/>
    <w:rsid w:val="7F242C23"/>
    <w:rsid w:val="7F2C1AE6"/>
    <w:rsid w:val="7F2E4837"/>
    <w:rsid w:val="7F2F7EB0"/>
    <w:rsid w:val="7F376475"/>
    <w:rsid w:val="7F38358F"/>
    <w:rsid w:val="7F392BC8"/>
    <w:rsid w:val="7F496947"/>
    <w:rsid w:val="7F4A17F9"/>
    <w:rsid w:val="7F5D5137"/>
    <w:rsid w:val="7F63726C"/>
    <w:rsid w:val="7F6646A2"/>
    <w:rsid w:val="7F68398A"/>
    <w:rsid w:val="7F693C5A"/>
    <w:rsid w:val="7F695060"/>
    <w:rsid w:val="7F7676A4"/>
    <w:rsid w:val="7F7A3631"/>
    <w:rsid w:val="7F7D7E91"/>
    <w:rsid w:val="7F7E17C0"/>
    <w:rsid w:val="7F811CE4"/>
    <w:rsid w:val="7F913256"/>
    <w:rsid w:val="7FAA6E2A"/>
    <w:rsid w:val="7FB1158D"/>
    <w:rsid w:val="7FB57095"/>
    <w:rsid w:val="7FD05F1D"/>
    <w:rsid w:val="7FD178C3"/>
    <w:rsid w:val="7FD77265"/>
    <w:rsid w:val="7FE155B1"/>
    <w:rsid w:val="7FE45401"/>
    <w:rsid w:val="7FFD038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widowControl/>
      <w:spacing w:before="340" w:after="330" w:line="576" w:lineRule="auto"/>
      <w:jc w:val="left"/>
      <w:outlineLvl w:val="0"/>
    </w:pPr>
    <w:rPr>
      <w:b/>
      <w:bCs/>
      <w:kern w:val="44"/>
      <w:sz w:val="44"/>
      <w:szCs w:val="44"/>
    </w:rPr>
  </w:style>
  <w:style w:type="paragraph" w:styleId="3">
    <w:name w:val="heading 2"/>
    <w:basedOn w:val="1"/>
    <w:next w:val="1"/>
    <w:link w:val="44"/>
    <w:qFormat/>
    <w:uiPriority w:val="0"/>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46"/>
    <w:qFormat/>
    <w:uiPriority w:val="0"/>
    <w:pPr>
      <w:keepNext/>
      <w:keepLines/>
      <w:spacing w:before="260" w:after="260" w:line="415" w:lineRule="auto"/>
      <w:outlineLvl w:val="2"/>
    </w:pPr>
    <w:rPr>
      <w:b/>
      <w:bCs/>
      <w:kern w:val="0"/>
      <w:sz w:val="32"/>
      <w:szCs w:val="32"/>
    </w:rPr>
  </w:style>
  <w:style w:type="paragraph" w:styleId="5">
    <w:name w:val="heading 4"/>
    <w:basedOn w:val="1"/>
    <w:next w:val="1"/>
    <w:link w:val="47"/>
    <w:qFormat/>
    <w:uiPriority w:val="0"/>
    <w:pPr>
      <w:keepNext/>
      <w:keepLines/>
      <w:spacing w:before="280" w:after="290" w:line="374" w:lineRule="auto"/>
      <w:outlineLvl w:val="3"/>
    </w:pPr>
    <w:rPr>
      <w:rFonts w:ascii="Arial" w:hAnsi="Arial" w:eastAsia="黑体"/>
      <w:b/>
      <w:bCs/>
      <w:kern w:val="0"/>
      <w:sz w:val="28"/>
      <w:szCs w:val="28"/>
    </w:rPr>
  </w:style>
  <w:style w:type="character" w:default="1" w:styleId="39">
    <w:name w:val="Default Paragraph Font"/>
    <w:qFormat/>
    <w:uiPriority w:val="0"/>
    <w:rPr>
      <w:rFonts w:ascii="Times New Roman" w:hAnsi="Times New Roman" w:eastAsia="宋体" w:cs="Times New Roman"/>
    </w:rPr>
  </w:style>
  <w:style w:type="table" w:default="1" w:styleId="36">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6">
    <w:name w:val="Normal Indent"/>
    <w:basedOn w:val="1"/>
    <w:next w:val="1"/>
    <w:link w:val="48"/>
    <w:qFormat/>
    <w:uiPriority w:val="0"/>
    <w:pPr>
      <w:widowControl/>
      <w:ind w:firstLine="420"/>
      <w:jc w:val="left"/>
    </w:pPr>
    <w:rPr>
      <w:kern w:val="0"/>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toa heading"/>
    <w:basedOn w:val="1"/>
    <w:next w:val="1"/>
    <w:qFormat/>
    <w:uiPriority w:val="0"/>
    <w:pPr>
      <w:spacing w:before="120"/>
    </w:pPr>
    <w:rPr>
      <w:rFonts w:ascii="Arial" w:hAnsi="Arial"/>
      <w:sz w:val="24"/>
      <w:szCs w:val="21"/>
    </w:rPr>
  </w:style>
  <w:style w:type="paragraph" w:styleId="9">
    <w:name w:val="annotation text"/>
    <w:basedOn w:val="1"/>
    <w:unhideWhenUsed/>
    <w:qFormat/>
    <w:uiPriority w:val="99"/>
    <w:pPr>
      <w:jc w:val="left"/>
    </w:pPr>
  </w:style>
  <w:style w:type="paragraph" w:styleId="10">
    <w:name w:val="Salutation"/>
    <w:basedOn w:val="1"/>
    <w:next w:val="1"/>
    <w:link w:val="49"/>
    <w:qFormat/>
    <w:uiPriority w:val="0"/>
    <w:rPr>
      <w:kern w:val="0"/>
      <w:sz w:val="20"/>
    </w:rPr>
  </w:style>
  <w:style w:type="paragraph" w:styleId="11">
    <w:name w:val="Closing"/>
    <w:basedOn w:val="1"/>
    <w:link w:val="50"/>
    <w:qFormat/>
    <w:uiPriority w:val="0"/>
    <w:pPr>
      <w:ind w:left="100" w:leftChars="2100"/>
    </w:pPr>
    <w:rPr>
      <w:kern w:val="0"/>
      <w:sz w:val="20"/>
    </w:rPr>
  </w:style>
  <w:style w:type="paragraph" w:styleId="12">
    <w:name w:val="Body Text"/>
    <w:basedOn w:val="1"/>
    <w:next w:val="13"/>
    <w:link w:val="51"/>
    <w:qFormat/>
    <w:uiPriority w:val="0"/>
    <w:pPr>
      <w:widowControl/>
      <w:jc w:val="left"/>
    </w:pPr>
    <w:rPr>
      <w:kern w:val="0"/>
      <w:sz w:val="24"/>
      <w:szCs w:val="20"/>
    </w:rPr>
  </w:style>
  <w:style w:type="paragraph" w:styleId="13">
    <w:name w:val="Body Text Indent"/>
    <w:basedOn w:val="1"/>
    <w:next w:val="1"/>
    <w:link w:val="52"/>
    <w:qFormat/>
    <w:uiPriority w:val="0"/>
    <w:pPr>
      <w:spacing w:after="120"/>
      <w:ind w:left="420" w:leftChars="200"/>
    </w:pPr>
    <w:rPr>
      <w:kern w:val="0"/>
      <w:sz w:val="20"/>
    </w:rPr>
  </w:style>
  <w:style w:type="paragraph" w:styleId="14">
    <w:name w:val="Block Text"/>
    <w:basedOn w:val="1"/>
    <w:qFormat/>
    <w:uiPriority w:val="0"/>
    <w:pPr>
      <w:autoSpaceDE w:val="0"/>
      <w:autoSpaceDN w:val="0"/>
      <w:adjustRightInd w:val="0"/>
      <w:spacing w:line="360" w:lineRule="atLeast"/>
      <w:ind w:left="1418" w:right="1800" w:rightChars="857" w:firstLine="540"/>
    </w:pPr>
    <w:rPr>
      <w:rFonts w:ascii="宋体" w:hAnsi="Times New Roman" w:eastAsia="宋体" w:cs="Times New Roman"/>
      <w:color w:val="000000"/>
      <w:kern w:val="0"/>
      <w:sz w:val="24"/>
    </w:rPr>
  </w:style>
  <w:style w:type="paragraph" w:styleId="15">
    <w:name w:val="toc 3"/>
    <w:basedOn w:val="1"/>
    <w:next w:val="1"/>
    <w:unhideWhenUsed/>
    <w:qFormat/>
    <w:uiPriority w:val="39"/>
    <w:pPr>
      <w:ind w:left="400" w:leftChars="400"/>
    </w:pPr>
    <w:rPr>
      <w:rFonts w:eastAsia="微软雅黑"/>
      <w:sz w:val="24"/>
    </w:rPr>
  </w:style>
  <w:style w:type="paragraph" w:styleId="16">
    <w:name w:val="Plain Text"/>
    <w:basedOn w:val="1"/>
    <w:link w:val="53"/>
    <w:qFormat/>
    <w:uiPriority w:val="0"/>
    <w:rPr>
      <w:rFonts w:ascii="宋体" w:hAnsi="Courier New"/>
      <w:kern w:val="0"/>
      <w:sz w:val="20"/>
      <w:szCs w:val="20"/>
    </w:rPr>
  </w:style>
  <w:style w:type="paragraph" w:styleId="17">
    <w:name w:val="Date"/>
    <w:basedOn w:val="1"/>
    <w:next w:val="1"/>
    <w:link w:val="54"/>
    <w:qFormat/>
    <w:uiPriority w:val="0"/>
    <w:pPr>
      <w:ind w:left="100" w:leftChars="2500"/>
    </w:pPr>
    <w:rPr>
      <w:kern w:val="0"/>
      <w:sz w:val="20"/>
    </w:rPr>
  </w:style>
  <w:style w:type="paragraph" w:styleId="18">
    <w:name w:val="Body Text Indent 2"/>
    <w:basedOn w:val="1"/>
    <w:link w:val="55"/>
    <w:qFormat/>
    <w:uiPriority w:val="0"/>
    <w:pPr>
      <w:spacing w:line="360" w:lineRule="auto"/>
      <w:ind w:left="839" w:hanging="839" w:hangingChars="355"/>
    </w:pPr>
    <w:rPr>
      <w:b/>
      <w:kern w:val="0"/>
      <w:sz w:val="24"/>
    </w:rPr>
  </w:style>
  <w:style w:type="paragraph" w:styleId="19">
    <w:name w:val="Balloon Text"/>
    <w:basedOn w:val="1"/>
    <w:link w:val="56"/>
    <w:qFormat/>
    <w:uiPriority w:val="99"/>
    <w:rPr>
      <w:kern w:val="0"/>
      <w:sz w:val="18"/>
      <w:szCs w:val="18"/>
    </w:rPr>
  </w:style>
  <w:style w:type="paragraph" w:styleId="20">
    <w:name w:val="footer"/>
    <w:basedOn w:val="1"/>
    <w:link w:val="57"/>
    <w:qFormat/>
    <w:uiPriority w:val="99"/>
    <w:pPr>
      <w:tabs>
        <w:tab w:val="center" w:pos="4153"/>
        <w:tab w:val="right" w:pos="8306"/>
      </w:tabs>
      <w:snapToGrid w:val="0"/>
      <w:jc w:val="left"/>
    </w:pPr>
    <w:rPr>
      <w:kern w:val="0"/>
      <w:sz w:val="18"/>
      <w:szCs w:val="18"/>
    </w:rPr>
  </w:style>
  <w:style w:type="paragraph" w:styleId="21">
    <w:name w:val="header"/>
    <w:basedOn w:val="1"/>
    <w:link w:val="58"/>
    <w:qFormat/>
    <w:uiPriority w:val="99"/>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qFormat/>
    <w:uiPriority w:val="0"/>
    <w:pPr>
      <w:tabs>
        <w:tab w:val="left" w:pos="840"/>
        <w:tab w:val="right" w:leader="dot" w:pos="8210"/>
      </w:tabs>
      <w:jc w:val="left"/>
    </w:pPr>
    <w:rPr>
      <w:rFonts w:ascii="仿宋_GB2312" w:hAnsi="宋体" w:eastAsia="仿宋_GB2312" w:cs="Times New Roman"/>
      <w:b/>
      <w:bCs/>
      <w:caps/>
      <w:sz w:val="32"/>
      <w:szCs w:val="32"/>
    </w:rPr>
  </w:style>
  <w:style w:type="paragraph" w:styleId="23">
    <w:name w:val="List"/>
    <w:basedOn w:val="1"/>
    <w:qFormat/>
    <w:uiPriority w:val="0"/>
    <w:pPr>
      <w:ind w:left="200" w:hanging="200" w:hangingChars="200"/>
    </w:pPr>
  </w:style>
  <w:style w:type="paragraph" w:styleId="24">
    <w:name w:val="footnote text"/>
    <w:basedOn w:val="1"/>
    <w:qFormat/>
    <w:uiPriority w:val="0"/>
    <w:pPr>
      <w:snapToGrid w:val="0"/>
      <w:jc w:val="left"/>
    </w:pPr>
    <w:rPr>
      <w:sz w:val="18"/>
    </w:rPr>
  </w:style>
  <w:style w:type="paragraph" w:styleId="25">
    <w:name w:val="index 7"/>
    <w:basedOn w:val="1"/>
    <w:next w:val="1"/>
    <w:qFormat/>
    <w:uiPriority w:val="0"/>
    <w:pPr>
      <w:adjustRightInd w:val="0"/>
      <w:spacing w:line="312" w:lineRule="atLeast"/>
      <w:ind w:left="1200" w:leftChars="1200"/>
      <w:textAlignment w:val="baseline"/>
    </w:pPr>
    <w:rPr>
      <w:rFonts w:ascii="Calibri" w:hAnsi="Calibri" w:eastAsia="仿宋" w:cs="Times New Roman"/>
      <w:kern w:val="0"/>
      <w:sz w:val="32"/>
      <w:szCs w:val="20"/>
    </w:rPr>
  </w:style>
  <w:style w:type="paragraph" w:styleId="26">
    <w:name w:val="table of figures"/>
    <w:basedOn w:val="1"/>
    <w:next w:val="1"/>
    <w:qFormat/>
    <w:uiPriority w:val="0"/>
    <w:pPr>
      <w:adjustRightInd w:val="0"/>
      <w:ind w:left="420" w:hanging="420"/>
      <w:jc w:val="left"/>
      <w:textAlignment w:val="baseline"/>
    </w:pPr>
    <w:rPr>
      <w:rFonts w:ascii="Times New Roman" w:hAnsi="Times New Roman" w:eastAsia="楷体_GB2312" w:cs="Times New Roman"/>
      <w:smallCaps/>
      <w:sz w:val="24"/>
      <w:szCs w:val="20"/>
    </w:rPr>
  </w:style>
  <w:style w:type="paragraph" w:styleId="27">
    <w:name w:val="toc 2"/>
    <w:basedOn w:val="1"/>
    <w:next w:val="1"/>
    <w:unhideWhenUsed/>
    <w:qFormat/>
    <w:uiPriority w:val="39"/>
    <w:pPr>
      <w:ind w:left="200" w:leftChars="200"/>
    </w:pPr>
    <w:rPr>
      <w:rFonts w:eastAsia="微软雅黑"/>
      <w:sz w:val="24"/>
    </w:rPr>
  </w:style>
  <w:style w:type="paragraph" w:styleId="28">
    <w:name w:val="toc 9"/>
    <w:basedOn w:val="1"/>
    <w:next w:val="1"/>
    <w:unhideWhenUsed/>
    <w:qFormat/>
    <w:uiPriority w:val="39"/>
    <w:pPr>
      <w:ind w:left="1680"/>
      <w:jc w:val="left"/>
    </w:pPr>
    <w:rPr>
      <w:rFonts w:ascii="Calibri" w:hAnsi="Calibri" w:cs="Calibri"/>
      <w:sz w:val="18"/>
      <w:szCs w:val="18"/>
    </w:rPr>
  </w:style>
  <w:style w:type="paragraph" w:styleId="29">
    <w:name w:val="Body Text 2"/>
    <w:basedOn w:val="1"/>
    <w:link w:val="59"/>
    <w:unhideWhenUsed/>
    <w:qFormat/>
    <w:uiPriority w:val="99"/>
    <w:pPr>
      <w:spacing w:after="120" w:line="480" w:lineRule="auto"/>
    </w:pPr>
    <w:rPr>
      <w:rFonts w:ascii="Calibri" w:hAnsi="Calibri"/>
      <w:szCs w:val="22"/>
    </w:rPr>
  </w:style>
  <w:style w:type="paragraph" w:styleId="30">
    <w:name w:val="HTML Preformatted"/>
    <w:basedOn w:val="1"/>
    <w:link w:val="6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1">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paragraph" w:styleId="32">
    <w:name w:val="index 1"/>
    <w:basedOn w:val="1"/>
    <w:next w:val="1"/>
    <w:qFormat/>
    <w:uiPriority w:val="0"/>
    <w:rPr>
      <w:rFonts w:ascii="Times New Roman" w:hAnsi="Times New Roman" w:eastAsia="宋体" w:cs="Times New Roman"/>
    </w:rPr>
  </w:style>
  <w:style w:type="paragraph" w:styleId="33">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34">
    <w:name w:val="Body Text First Indent"/>
    <w:basedOn w:val="12"/>
    <w:link w:val="61"/>
    <w:qFormat/>
    <w:uiPriority w:val="0"/>
    <w:pPr>
      <w:widowControl w:val="0"/>
      <w:spacing w:after="120"/>
      <w:ind w:firstLine="420" w:firstLineChars="100"/>
      <w:jc w:val="both"/>
    </w:pPr>
    <w:rPr>
      <w:kern w:val="2"/>
      <w:sz w:val="21"/>
      <w:szCs w:val="21"/>
      <w:lang w:val="en-US" w:eastAsia="zh-CN"/>
    </w:rPr>
  </w:style>
  <w:style w:type="paragraph" w:styleId="35">
    <w:name w:val="Body Text First Indent 2"/>
    <w:basedOn w:val="13"/>
    <w:unhideWhenUsed/>
    <w:qFormat/>
    <w:uiPriority w:val="99"/>
    <w:pPr>
      <w:ind w:firstLine="420" w:firstLineChars="200"/>
    </w:pPr>
  </w:style>
  <w:style w:type="table" w:styleId="37">
    <w:name w:val="Table Grid"/>
    <w:basedOn w:val="36"/>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8">
    <w:name w:val="Table Theme"/>
    <w:basedOn w:val="3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22"/>
    <w:rPr>
      <w:b/>
    </w:rPr>
  </w:style>
  <w:style w:type="character" w:styleId="41">
    <w:name w:val="page number"/>
    <w:qFormat/>
    <w:uiPriority w:val="0"/>
    <w:rPr>
      <w:rFonts w:ascii="Times New Roman" w:hAnsi="Times New Roman" w:eastAsia="宋体" w:cs="Times New Roman"/>
    </w:rPr>
  </w:style>
  <w:style w:type="character" w:styleId="42">
    <w:name w:val="Hyperlink"/>
    <w:qFormat/>
    <w:uiPriority w:val="0"/>
    <w:rPr>
      <w:rFonts w:ascii="Times New Roman" w:hAnsi="Times New Roman" w:eastAsia="宋体" w:cs="Times New Roman"/>
      <w:color w:val="0000FF"/>
      <w:u w:val="single"/>
    </w:rPr>
  </w:style>
  <w:style w:type="character" w:styleId="43">
    <w:name w:val="HTML Sample"/>
    <w:unhideWhenUsed/>
    <w:qFormat/>
    <w:uiPriority w:val="99"/>
    <w:rPr>
      <w:rFonts w:ascii="Courier New" w:hAnsi="Courier New"/>
    </w:rPr>
  </w:style>
  <w:style w:type="character" w:customStyle="1" w:styleId="44">
    <w:name w:val="标题 2 字符"/>
    <w:link w:val="3"/>
    <w:qFormat/>
    <w:uiPriority w:val="0"/>
    <w:rPr>
      <w:rFonts w:ascii="Arial" w:hAnsi="Arial" w:eastAsia="黑体" w:cs="Times New Roman"/>
      <w:b/>
      <w:bCs/>
      <w:sz w:val="32"/>
      <w:szCs w:val="32"/>
    </w:rPr>
  </w:style>
  <w:style w:type="character" w:customStyle="1" w:styleId="45">
    <w:name w:val="标题 1 字符"/>
    <w:link w:val="2"/>
    <w:qFormat/>
    <w:uiPriority w:val="0"/>
    <w:rPr>
      <w:rFonts w:ascii="Times New Roman" w:hAnsi="Times New Roman" w:eastAsia="宋体" w:cs="Times New Roman"/>
      <w:b/>
      <w:bCs/>
      <w:kern w:val="44"/>
      <w:sz w:val="44"/>
      <w:szCs w:val="44"/>
    </w:rPr>
  </w:style>
  <w:style w:type="character" w:customStyle="1" w:styleId="46">
    <w:name w:val="标题 3 字符"/>
    <w:link w:val="4"/>
    <w:qFormat/>
    <w:uiPriority w:val="0"/>
    <w:rPr>
      <w:rFonts w:ascii="Times New Roman" w:hAnsi="Times New Roman" w:eastAsia="宋体" w:cs="Times New Roman"/>
      <w:b/>
      <w:bCs/>
      <w:sz w:val="32"/>
      <w:szCs w:val="32"/>
    </w:rPr>
  </w:style>
  <w:style w:type="character" w:customStyle="1" w:styleId="47">
    <w:name w:val="标题 4 字符"/>
    <w:link w:val="5"/>
    <w:qFormat/>
    <w:uiPriority w:val="0"/>
    <w:rPr>
      <w:rFonts w:ascii="Arial" w:hAnsi="Arial" w:eastAsia="黑体" w:cs="Times New Roman"/>
      <w:b/>
      <w:bCs/>
      <w:sz w:val="28"/>
      <w:szCs w:val="28"/>
    </w:rPr>
  </w:style>
  <w:style w:type="character" w:customStyle="1" w:styleId="48">
    <w:name w:val="正文缩进 字符"/>
    <w:link w:val="6"/>
    <w:qFormat/>
    <w:uiPriority w:val="0"/>
    <w:rPr>
      <w:rFonts w:ascii="Times New Roman" w:hAnsi="Times New Roman" w:eastAsia="宋体" w:cs="Times New Roman"/>
    </w:rPr>
  </w:style>
  <w:style w:type="character" w:customStyle="1" w:styleId="49">
    <w:name w:val="称呼 字符"/>
    <w:link w:val="10"/>
    <w:qFormat/>
    <w:uiPriority w:val="0"/>
    <w:rPr>
      <w:rFonts w:ascii="Times New Roman" w:hAnsi="Times New Roman" w:eastAsia="宋体" w:cs="Times New Roman"/>
      <w:szCs w:val="24"/>
    </w:rPr>
  </w:style>
  <w:style w:type="character" w:customStyle="1" w:styleId="50">
    <w:name w:val="结束语 字符"/>
    <w:link w:val="11"/>
    <w:qFormat/>
    <w:uiPriority w:val="0"/>
    <w:rPr>
      <w:rFonts w:ascii="Times New Roman" w:hAnsi="Times New Roman" w:eastAsia="宋体" w:cs="Times New Roman"/>
      <w:szCs w:val="24"/>
    </w:rPr>
  </w:style>
  <w:style w:type="character" w:customStyle="1" w:styleId="51">
    <w:name w:val="正文文本 字符"/>
    <w:link w:val="12"/>
    <w:qFormat/>
    <w:uiPriority w:val="0"/>
    <w:rPr>
      <w:rFonts w:ascii="Times New Roman" w:hAnsi="Times New Roman" w:eastAsia="宋体" w:cs="Times New Roman"/>
      <w:kern w:val="0"/>
      <w:sz w:val="24"/>
      <w:szCs w:val="20"/>
    </w:rPr>
  </w:style>
  <w:style w:type="character" w:customStyle="1" w:styleId="52">
    <w:name w:val="正文文本缩进 字符"/>
    <w:link w:val="13"/>
    <w:qFormat/>
    <w:uiPriority w:val="0"/>
    <w:rPr>
      <w:rFonts w:ascii="Times New Roman" w:hAnsi="Times New Roman" w:eastAsia="宋体" w:cs="Times New Roman"/>
      <w:szCs w:val="24"/>
    </w:rPr>
  </w:style>
  <w:style w:type="character" w:customStyle="1" w:styleId="53">
    <w:name w:val="纯文本 字符"/>
    <w:link w:val="16"/>
    <w:qFormat/>
    <w:uiPriority w:val="0"/>
    <w:rPr>
      <w:rFonts w:ascii="宋体" w:hAnsi="Courier New" w:eastAsia="宋体" w:cs="Times New Roman"/>
    </w:rPr>
  </w:style>
  <w:style w:type="character" w:customStyle="1" w:styleId="54">
    <w:name w:val="日期 字符"/>
    <w:link w:val="17"/>
    <w:qFormat/>
    <w:uiPriority w:val="0"/>
    <w:rPr>
      <w:rFonts w:ascii="Times New Roman" w:hAnsi="Times New Roman" w:eastAsia="宋体" w:cs="Times New Roman"/>
      <w:szCs w:val="24"/>
    </w:rPr>
  </w:style>
  <w:style w:type="character" w:customStyle="1" w:styleId="55">
    <w:name w:val="正文文本缩进 2 字符"/>
    <w:link w:val="18"/>
    <w:qFormat/>
    <w:uiPriority w:val="0"/>
    <w:rPr>
      <w:rFonts w:ascii="Times New Roman" w:hAnsi="Times New Roman" w:eastAsia="宋体" w:cs="Times New Roman"/>
      <w:b/>
      <w:sz w:val="24"/>
      <w:szCs w:val="24"/>
    </w:rPr>
  </w:style>
  <w:style w:type="character" w:customStyle="1" w:styleId="56">
    <w:name w:val="批注框文本 字符"/>
    <w:link w:val="19"/>
    <w:qFormat/>
    <w:uiPriority w:val="99"/>
    <w:rPr>
      <w:rFonts w:ascii="Times New Roman" w:hAnsi="Times New Roman" w:eastAsia="宋体" w:cs="Times New Roman"/>
      <w:sz w:val="18"/>
      <w:szCs w:val="18"/>
    </w:rPr>
  </w:style>
  <w:style w:type="character" w:customStyle="1" w:styleId="57">
    <w:name w:val="页脚 字符"/>
    <w:link w:val="20"/>
    <w:qFormat/>
    <w:uiPriority w:val="99"/>
    <w:rPr>
      <w:rFonts w:ascii="Times New Roman" w:hAnsi="Times New Roman" w:eastAsia="宋体" w:cs="Times New Roman"/>
      <w:sz w:val="18"/>
      <w:szCs w:val="18"/>
    </w:rPr>
  </w:style>
  <w:style w:type="character" w:customStyle="1" w:styleId="58">
    <w:name w:val="页眉 字符"/>
    <w:link w:val="21"/>
    <w:qFormat/>
    <w:uiPriority w:val="99"/>
    <w:rPr>
      <w:rFonts w:ascii="Times New Roman" w:hAnsi="Times New Roman" w:eastAsia="宋体" w:cs="Times New Roman"/>
      <w:sz w:val="18"/>
      <w:szCs w:val="18"/>
    </w:rPr>
  </w:style>
  <w:style w:type="character" w:customStyle="1" w:styleId="59">
    <w:name w:val="正文文本 2 字符"/>
    <w:link w:val="29"/>
    <w:qFormat/>
    <w:uiPriority w:val="99"/>
    <w:rPr>
      <w:rFonts w:ascii="Calibri" w:hAnsi="Calibri" w:eastAsia="宋体" w:cs="Times New Roman"/>
      <w:kern w:val="2"/>
      <w:sz w:val="21"/>
      <w:szCs w:val="22"/>
    </w:rPr>
  </w:style>
  <w:style w:type="character" w:customStyle="1" w:styleId="60">
    <w:name w:val="HTML 预设格式 字符"/>
    <w:link w:val="30"/>
    <w:qFormat/>
    <w:uiPriority w:val="0"/>
    <w:rPr>
      <w:rFonts w:ascii="宋体" w:hAnsi="宋体" w:eastAsia="宋体" w:cs="宋体"/>
      <w:kern w:val="0"/>
      <w:sz w:val="24"/>
      <w:szCs w:val="24"/>
    </w:rPr>
  </w:style>
  <w:style w:type="character" w:customStyle="1" w:styleId="61">
    <w:name w:val="正文首行缩进 字符"/>
    <w:link w:val="34"/>
    <w:qFormat/>
    <w:uiPriority w:val="0"/>
    <w:rPr>
      <w:rFonts w:ascii="Times New Roman" w:hAnsi="Times New Roman" w:eastAsia="宋体" w:cs="Times New Roman"/>
      <w:kern w:val="2"/>
      <w:sz w:val="21"/>
      <w:szCs w:val="21"/>
      <w:lang w:val="en-US" w:eastAsia="zh-CN" w:bidi="ar-SA"/>
    </w:rPr>
  </w:style>
  <w:style w:type="paragraph" w:customStyle="1" w:styleId="62">
    <w:name w:val="样式 四号 左 行距: 单倍行距"/>
    <w:basedOn w:val="1"/>
    <w:qFormat/>
    <w:uiPriority w:val="0"/>
    <w:pPr>
      <w:widowControl/>
      <w:ind w:firstLine="200" w:firstLineChars="200"/>
      <w:jc w:val="left"/>
      <w:textAlignment w:val="baseline"/>
    </w:pPr>
    <w:rPr>
      <w:color w:val="000000"/>
      <w:kern w:val="0"/>
      <w:sz w:val="28"/>
      <w:szCs w:val="20"/>
      <w:u w:val="none" w:color="000000"/>
    </w:rPr>
  </w:style>
  <w:style w:type="character" w:customStyle="1" w:styleId="63">
    <w:name w:val="p31"/>
    <w:qFormat/>
    <w:uiPriority w:val="0"/>
    <w:rPr>
      <w:rFonts w:ascii="Times New Roman" w:hAnsi="Times New Roman" w:eastAsia="宋体" w:cs="Times New Roman"/>
      <w:sz w:val="20"/>
      <w:szCs w:val="20"/>
    </w:rPr>
  </w:style>
  <w:style w:type="character" w:customStyle="1" w:styleId="64">
    <w:name w:val="正文缩进 Char1"/>
    <w:qFormat/>
    <w:uiPriority w:val="0"/>
    <w:rPr>
      <w:rFonts w:ascii="Times New Roman" w:hAnsi="Times New Roman" w:eastAsia="宋体" w:cs="Times New Roman"/>
      <w:kern w:val="2"/>
      <w:sz w:val="21"/>
      <w:szCs w:val="24"/>
      <w:lang w:val="en-US" w:eastAsia="zh-CN" w:bidi="ar-SA"/>
    </w:rPr>
  </w:style>
  <w:style w:type="character" w:customStyle="1" w:styleId="65">
    <w:name w:val="Char Char16"/>
    <w:qFormat/>
    <w:uiPriority w:val="0"/>
    <w:rPr>
      <w:rFonts w:ascii="仿宋体" w:hAnsi="Times New Roman" w:eastAsia="仿宋体" w:cs="Times New Roman"/>
      <w:kern w:val="2"/>
      <w:sz w:val="24"/>
      <w:szCs w:val="24"/>
    </w:rPr>
  </w:style>
  <w:style w:type="character" w:customStyle="1" w:styleId="66">
    <w:name w:val="日期 Char1"/>
    <w:qFormat/>
    <w:uiPriority w:val="0"/>
    <w:rPr>
      <w:rFonts w:ascii="Times New Roman" w:hAnsi="Times New Roman" w:eastAsia="宋体" w:cs="Times New Roman"/>
      <w:szCs w:val="24"/>
    </w:rPr>
  </w:style>
  <w:style w:type="character" w:customStyle="1" w:styleId="67">
    <w:name w:val="采购二级 Char"/>
    <w:link w:val="68"/>
    <w:qFormat/>
    <w:uiPriority w:val="0"/>
    <w:rPr>
      <w:rFonts w:ascii="仿宋" w:hAnsi="仿宋" w:eastAsia="仿宋" w:cs="Times New Roman"/>
      <w:b/>
      <w:kern w:val="2"/>
      <w:sz w:val="24"/>
      <w:szCs w:val="24"/>
    </w:rPr>
  </w:style>
  <w:style w:type="paragraph" w:customStyle="1" w:styleId="68">
    <w:name w:val="采购二级"/>
    <w:basedOn w:val="1"/>
    <w:link w:val="67"/>
    <w:qFormat/>
    <w:uiPriority w:val="0"/>
    <w:pPr>
      <w:snapToGrid w:val="0"/>
      <w:spacing w:line="560" w:lineRule="exact"/>
      <w:ind w:firstLine="480" w:firstLineChars="200"/>
      <w:outlineLvl w:val="1"/>
    </w:pPr>
    <w:rPr>
      <w:rFonts w:ascii="仿宋" w:hAnsi="仿宋" w:eastAsia="仿宋"/>
      <w:b/>
      <w:sz w:val="24"/>
    </w:rPr>
  </w:style>
  <w:style w:type="character" w:customStyle="1" w:styleId="69">
    <w:name w:val="hei"/>
    <w:qFormat/>
    <w:uiPriority w:val="0"/>
    <w:rPr>
      <w:rFonts w:ascii="Times New Roman" w:hAnsi="Times New Roman" w:eastAsia="宋体" w:cs="Times New Roman"/>
    </w:rPr>
  </w:style>
  <w:style w:type="character" w:customStyle="1" w:styleId="70">
    <w:name w:val="采购正文 Char"/>
    <w:link w:val="71"/>
    <w:qFormat/>
    <w:uiPriority w:val="0"/>
    <w:rPr>
      <w:rFonts w:ascii="仿宋" w:hAnsi="仿宋" w:eastAsia="仿宋"/>
      <w:color w:val="000000"/>
      <w:kern w:val="2"/>
      <w:sz w:val="24"/>
      <w:szCs w:val="24"/>
    </w:rPr>
  </w:style>
  <w:style w:type="paragraph" w:customStyle="1" w:styleId="71">
    <w:name w:val="采购正文"/>
    <w:basedOn w:val="1"/>
    <w:link w:val="70"/>
    <w:qFormat/>
    <w:uiPriority w:val="0"/>
    <w:pPr>
      <w:snapToGrid w:val="0"/>
      <w:spacing w:line="560" w:lineRule="exact"/>
      <w:ind w:firstLine="480" w:firstLineChars="200"/>
    </w:pPr>
    <w:rPr>
      <w:rFonts w:ascii="仿宋" w:hAnsi="仿宋" w:eastAsia="仿宋"/>
      <w:color w:val="000000"/>
      <w:sz w:val="24"/>
    </w:rPr>
  </w:style>
  <w:style w:type="character" w:customStyle="1" w:styleId="72">
    <w:name w:val="纯文本 Char1"/>
    <w:qFormat/>
    <w:uiPriority w:val="0"/>
    <w:rPr>
      <w:rFonts w:ascii="宋体" w:hAnsi="Courier New" w:eastAsia="宋体" w:cs="Courier New"/>
      <w:szCs w:val="21"/>
    </w:rPr>
  </w:style>
  <w:style w:type="character" w:customStyle="1" w:styleId="73">
    <w:name w:val="font11"/>
    <w:qFormat/>
    <w:uiPriority w:val="0"/>
    <w:rPr>
      <w:rFonts w:hint="eastAsia" w:ascii="仿宋" w:hAnsi="仿宋" w:eastAsia="仿宋" w:cs="仿宋"/>
      <w:color w:val="000000"/>
      <w:sz w:val="24"/>
      <w:szCs w:val="24"/>
      <w:u w:val="none"/>
    </w:rPr>
  </w:style>
  <w:style w:type="character" w:customStyle="1" w:styleId="74">
    <w:name w:val="font31"/>
    <w:qFormat/>
    <w:uiPriority w:val="0"/>
    <w:rPr>
      <w:rFonts w:hint="eastAsia" w:ascii="仿宋" w:hAnsi="仿宋" w:eastAsia="仿宋" w:cs="仿宋"/>
      <w:color w:val="000000"/>
      <w:sz w:val="24"/>
      <w:szCs w:val="24"/>
      <w:u w:val="none"/>
    </w:rPr>
  </w:style>
  <w:style w:type="character" w:customStyle="1" w:styleId="75">
    <w:name w:val="正文文本缩进 Char1"/>
    <w:qFormat/>
    <w:uiPriority w:val="0"/>
    <w:rPr>
      <w:rFonts w:ascii="Times New Roman" w:hAnsi="Times New Roman" w:eastAsia="宋体" w:cs="Times New Roman"/>
      <w:szCs w:val="24"/>
    </w:rPr>
  </w:style>
  <w:style w:type="character" w:customStyle="1" w:styleId="76">
    <w:name w:val=" Char Char16"/>
    <w:qFormat/>
    <w:uiPriority w:val="0"/>
    <w:rPr>
      <w:rFonts w:ascii="仿宋体" w:hAnsi="Times New Roman" w:eastAsia="仿宋体" w:cs="Times New Roman"/>
      <w:kern w:val="2"/>
      <w:sz w:val="24"/>
      <w:szCs w:val="24"/>
    </w:rPr>
  </w:style>
  <w:style w:type="paragraph" w:customStyle="1" w:styleId="77">
    <w:name w:val="text9"/>
    <w:basedOn w:val="1"/>
    <w:qFormat/>
    <w:uiPriority w:val="0"/>
    <w:pPr>
      <w:widowControl/>
      <w:spacing w:before="100" w:beforeAutospacing="1" w:after="100" w:afterAutospacing="1"/>
      <w:jc w:val="left"/>
    </w:pPr>
    <w:rPr>
      <w:rFonts w:ascii="宋体" w:hAnsi="宋体" w:eastAsia="宋体" w:cs="Times New Roman"/>
      <w:kern w:val="0"/>
      <w:sz w:val="24"/>
    </w:rPr>
  </w:style>
  <w:style w:type="paragraph" w:customStyle="1" w:styleId="7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9">
    <w:name w:val="封面字体4"/>
    <w:basedOn w:val="1"/>
    <w:qFormat/>
    <w:uiPriority w:val="0"/>
    <w:pPr>
      <w:spacing w:line="240" w:lineRule="atLeast"/>
    </w:pPr>
    <w:rPr>
      <w:rFonts w:ascii="黑体" w:hAnsi="华文细黑" w:eastAsia="黑体" w:cs="Arial"/>
      <w:b/>
      <w:bCs/>
      <w:spacing w:val="100"/>
      <w:kern w:val="0"/>
      <w:sz w:val="44"/>
      <w:szCs w:val="28"/>
    </w:rPr>
  </w:style>
  <w:style w:type="paragraph" w:customStyle="1" w:styleId="80">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小节标题"/>
    <w:basedOn w:val="1"/>
    <w:next w:val="1"/>
    <w:qFormat/>
    <w:uiPriority w:val="0"/>
    <w:pPr>
      <w:widowControl/>
      <w:spacing w:before="175" w:after="102" w:line="351" w:lineRule="atLeast"/>
      <w:textAlignment w:val="baseline"/>
    </w:pPr>
    <w:rPr>
      <w:rFonts w:ascii="Times New Roman" w:hAnsi="Times New Roman" w:eastAsia="黑体" w:cs="Times New Roman"/>
      <w:color w:val="000000"/>
      <w:kern w:val="0"/>
      <w:szCs w:val="20"/>
      <w:u w:val="none" w:color="000000"/>
    </w:rPr>
  </w:style>
  <w:style w:type="paragraph" w:customStyle="1" w:styleId="82">
    <w:name w:val="_Style 5"/>
    <w:basedOn w:val="1"/>
    <w:qFormat/>
    <w:uiPriority w:val="0"/>
    <w:pPr>
      <w:adjustRightInd w:val="0"/>
      <w:spacing w:line="360" w:lineRule="auto"/>
    </w:pPr>
    <w:rPr>
      <w:rFonts w:ascii="宋体" w:hAnsi="宋体" w:eastAsia="宋体" w:cs="宋体"/>
      <w:kern w:val="0"/>
      <w:sz w:val="24"/>
      <w:szCs w:val="20"/>
    </w:rPr>
  </w:style>
  <w:style w:type="paragraph" w:customStyle="1" w:styleId="83">
    <w:name w:val="0"/>
    <w:basedOn w:val="1"/>
    <w:qFormat/>
    <w:uiPriority w:val="0"/>
    <w:pPr>
      <w:widowControl/>
      <w:snapToGrid w:val="0"/>
    </w:pPr>
    <w:rPr>
      <w:rFonts w:ascii="Times New Roman" w:hAnsi="Times New Roman" w:eastAsia="宋体" w:cs="Times New Roman"/>
      <w:kern w:val="0"/>
      <w:szCs w:val="21"/>
    </w:rPr>
  </w:style>
  <w:style w:type="paragraph" w:styleId="84">
    <w:name w:val="List Paragraph"/>
    <w:basedOn w:val="1"/>
    <w:qFormat/>
    <w:uiPriority w:val="99"/>
    <w:pPr>
      <w:ind w:firstLine="420" w:firstLineChars="200"/>
    </w:pPr>
    <w:rPr>
      <w:rFonts w:ascii="Times New Roman" w:hAnsi="Times New Roman" w:eastAsia="宋体" w:cs="Times New Roman"/>
    </w:rPr>
  </w:style>
  <w:style w:type="paragraph" w:customStyle="1" w:styleId="85">
    <w:name w:val="正文无缩进"/>
    <w:basedOn w:val="1"/>
    <w:qFormat/>
    <w:uiPriority w:val="0"/>
    <w:pPr>
      <w:widowControl/>
      <w:autoSpaceDE w:val="0"/>
      <w:autoSpaceDN w:val="0"/>
      <w:spacing w:line="300" w:lineRule="auto"/>
      <w:textAlignment w:val="bottom"/>
    </w:pPr>
    <w:rPr>
      <w:rFonts w:ascii="Times New Roman" w:hAnsi="Times New Roman" w:eastAsia="楷体_GB2312" w:cs="Times New Roman"/>
      <w:szCs w:val="20"/>
    </w:rPr>
  </w:style>
  <w:style w:type="paragraph" w:customStyle="1" w:styleId="86">
    <w:name w:val="默认段落字体 Para Char Char Char Char"/>
    <w:basedOn w:val="1"/>
    <w:qFormat/>
    <w:uiPriority w:val="0"/>
    <w:rPr>
      <w:rFonts w:ascii="Times New Roman" w:hAnsi="Times New Roman" w:eastAsia="宋体" w:cs="Times New Roman"/>
    </w:rPr>
  </w:style>
  <w:style w:type="paragraph" w:customStyle="1" w:styleId="87">
    <w:name w:val="纯文本1"/>
    <w:basedOn w:val="1"/>
    <w:qFormat/>
    <w:uiPriority w:val="0"/>
    <w:pPr>
      <w:adjustRightInd w:val="0"/>
      <w:textAlignment w:val="baseline"/>
    </w:pPr>
    <w:rPr>
      <w:rFonts w:ascii="宋体" w:hAnsi="Courier New" w:eastAsia="楷体_GB2312" w:cs="Times New Roman"/>
      <w:sz w:val="26"/>
      <w:szCs w:val="20"/>
    </w:rPr>
  </w:style>
  <w:style w:type="paragraph" w:customStyle="1" w:styleId="88">
    <w:name w:val="纯文本2"/>
    <w:basedOn w:val="1"/>
    <w:qFormat/>
    <w:uiPriority w:val="0"/>
    <w:pPr>
      <w:adjustRightInd w:val="0"/>
      <w:textAlignment w:val="baseline"/>
    </w:pPr>
    <w:rPr>
      <w:rFonts w:ascii="宋体" w:hAnsi="Courier New" w:eastAsia="楷体_GB2312" w:cs="Times New Roman"/>
      <w:sz w:val="26"/>
      <w:szCs w:val="20"/>
    </w:rPr>
  </w:style>
  <w:style w:type="paragraph" w:customStyle="1" w:styleId="89">
    <w:name w:val="样式5"/>
    <w:basedOn w:val="1"/>
    <w:qFormat/>
    <w:uiPriority w:val="0"/>
    <w:pPr>
      <w:ind w:firstLine="425"/>
    </w:pPr>
    <w:rPr>
      <w:sz w:val="24"/>
    </w:rPr>
  </w:style>
  <w:style w:type="paragraph" w:styleId="90">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1">
    <w:name w:val="Char Char5"/>
    <w:basedOn w:val="1"/>
    <w:qFormat/>
    <w:uiPriority w:val="0"/>
    <w:pPr>
      <w:adjustRightInd w:val="0"/>
      <w:spacing w:line="360" w:lineRule="auto"/>
    </w:pPr>
    <w:rPr>
      <w:rFonts w:ascii="宋体" w:hAnsi="宋体" w:eastAsia="宋体" w:cs="宋体"/>
      <w:kern w:val="0"/>
      <w:sz w:val="24"/>
      <w:szCs w:val="20"/>
    </w:rPr>
  </w:style>
  <w:style w:type="paragraph" w:customStyle="1" w:styleId="92">
    <w:name w:val="文档正文"/>
    <w:basedOn w:val="6"/>
    <w:qFormat/>
    <w:uiPriority w:val="0"/>
    <w:pPr>
      <w:adjustRightInd w:val="0"/>
      <w:spacing w:line="480" w:lineRule="atLeast"/>
      <w:ind w:firstLine="567"/>
      <w:textAlignment w:val="baseline"/>
    </w:pPr>
    <w:rPr>
      <w:rFonts w:ascii="仿宋_GB2312" w:hAnsi="Times New Roman" w:eastAsia="仿宋_GB2312" w:cs="Times New Roman"/>
      <w:kern w:val="0"/>
      <w:sz w:val="28"/>
      <w:szCs w:val="20"/>
    </w:rPr>
  </w:style>
  <w:style w:type="paragraph" w:customStyle="1" w:styleId="93">
    <w:name w:val="封面字体3"/>
    <w:basedOn w:val="1"/>
    <w:qFormat/>
    <w:uiPriority w:val="0"/>
    <w:pPr>
      <w:spacing w:line="240" w:lineRule="atLeast"/>
    </w:pPr>
    <w:rPr>
      <w:rFonts w:ascii="黑体" w:hAnsi="华文细黑" w:eastAsia="黑体" w:cs="Arial"/>
      <w:bCs/>
      <w:spacing w:val="100"/>
      <w:kern w:val="0"/>
      <w:sz w:val="44"/>
      <w:szCs w:val="28"/>
    </w:rPr>
  </w:style>
  <w:style w:type="paragraph" w:customStyle="1" w:styleId="94">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95">
    <w:name w:val="列出段落1"/>
    <w:basedOn w:val="1"/>
    <w:qFormat/>
    <w:uiPriority w:val="0"/>
    <w:pPr>
      <w:ind w:firstLine="420" w:firstLineChars="200"/>
    </w:pPr>
    <w:rPr>
      <w:rFonts w:ascii="Calibri" w:hAnsi="Calibri" w:eastAsia="宋体" w:cs="Times New Roman"/>
      <w:szCs w:val="22"/>
    </w:rPr>
  </w:style>
  <w:style w:type="paragraph" w:customStyle="1" w:styleId="96">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7">
    <w:name w:val="Other|1"/>
    <w:basedOn w:val="1"/>
    <w:qFormat/>
    <w:uiPriority w:val="0"/>
    <w:pPr>
      <w:widowControl w:val="0"/>
      <w:shd w:val="clear" w:color="auto" w:fill="auto"/>
      <w:spacing w:line="406" w:lineRule="auto"/>
      <w:ind w:firstLine="400"/>
    </w:pPr>
    <w:rPr>
      <w:rFonts w:ascii="宋体" w:hAnsi="宋体" w:eastAsia="宋体" w:cs="宋体"/>
      <w:sz w:val="22"/>
      <w:szCs w:val="22"/>
      <w:u w:val="none"/>
      <w:shd w:val="clear" w:color="auto" w:fill="auto"/>
      <w:lang w:val="zh-TW" w:eastAsia="zh-TW" w:bidi="zh-TW"/>
    </w:rPr>
  </w:style>
  <w:style w:type="paragraph" w:customStyle="1" w:styleId="98">
    <w:name w:val="默认段落字体 Para Char"/>
    <w:basedOn w:val="1"/>
    <w:qFormat/>
    <w:uiPriority w:val="0"/>
    <w:pPr>
      <w:adjustRightInd w:val="0"/>
      <w:spacing w:line="360" w:lineRule="auto"/>
    </w:pPr>
    <w:rPr>
      <w:rFonts w:ascii="宋体" w:hAnsi="宋体" w:eastAsia="宋体" w:cs="宋体"/>
      <w:kern w:val="0"/>
      <w:sz w:val="24"/>
      <w:szCs w:val="20"/>
    </w:rPr>
  </w:style>
  <w:style w:type="paragraph" w:customStyle="1" w:styleId="99">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0">
    <w:name w:val="xl36"/>
    <w:basedOn w:val="1"/>
    <w:qFormat/>
    <w:uiPriority w:val="0"/>
    <w:pPr>
      <w:widowControl/>
      <w:spacing w:before="100" w:after="100"/>
      <w:jc w:val="center"/>
    </w:pPr>
    <w:rPr>
      <w:rFonts w:ascii="宋体" w:hAnsi="宋体" w:eastAsia="宋体" w:cs="Times New Roman"/>
      <w:kern w:val="0"/>
      <w:sz w:val="24"/>
      <w:szCs w:val="20"/>
    </w:rPr>
  </w:style>
  <w:style w:type="paragraph" w:customStyle="1" w:styleId="101">
    <w:name w:val="_Style 100"/>
    <w:basedOn w:val="1"/>
    <w:qFormat/>
    <w:uiPriority w:val="0"/>
    <w:pPr>
      <w:ind w:firstLine="420" w:firstLineChars="200"/>
    </w:pPr>
    <w:rPr>
      <w:rFonts w:ascii="Times New Roman" w:hAnsi="Times New Roman" w:eastAsia="宋体" w:cs="Times New Roman"/>
    </w:rPr>
  </w:style>
  <w:style w:type="paragraph" w:customStyle="1" w:styleId="102">
    <w:name w:val="白皮书 正文"/>
    <w:basedOn w:val="1"/>
    <w:qFormat/>
    <w:uiPriority w:val="0"/>
    <w:pPr>
      <w:spacing w:before="156" w:beforeLines="50" w:after="156" w:afterLines="50"/>
      <w:ind w:firstLine="480" w:firstLineChars="200"/>
    </w:pPr>
    <w:rPr>
      <w:rFonts w:ascii="宋体"/>
      <w:sz w:val="24"/>
      <w:szCs w:val="20"/>
    </w:rPr>
  </w:style>
  <w:style w:type="paragraph" w:customStyle="1" w:styleId="10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04">
    <w:name w:val="List Paragraph1"/>
    <w:basedOn w:val="1"/>
    <w:qFormat/>
    <w:uiPriority w:val="34"/>
    <w:pPr>
      <w:ind w:firstLine="420" w:firstLineChars="200"/>
    </w:pPr>
  </w:style>
  <w:style w:type="paragraph" w:customStyle="1" w:styleId="105">
    <w:name w:val="二级标签（首行缩进4字）"/>
    <w:basedOn w:val="1"/>
    <w:qFormat/>
    <w:uiPriority w:val="0"/>
    <w:pPr>
      <w:widowControl/>
      <w:numPr>
        <w:ilvl w:val="0"/>
        <w:numId w:val="1"/>
      </w:numPr>
      <w:spacing w:line="360" w:lineRule="auto"/>
      <w:jc w:val="left"/>
    </w:pPr>
    <w:rPr>
      <w:kern w:val="0"/>
      <w:sz w:val="24"/>
      <w:szCs w:val="20"/>
    </w:rPr>
  </w:style>
  <w:style w:type="paragraph" w:customStyle="1" w:styleId="106">
    <w:name w:val="标准正文"/>
    <w:basedOn w:val="1"/>
    <w:qFormat/>
    <w:uiPriority w:val="0"/>
    <w:pPr>
      <w:spacing w:line="360" w:lineRule="auto"/>
      <w:ind w:firstLine="420" w:firstLineChars="200"/>
    </w:pPr>
    <w:rPr>
      <w:rFonts w:ascii="Calibri" w:hAnsi="Calibri"/>
      <w:kern w:val="0"/>
      <w:sz w:val="20"/>
      <w:szCs w:val="20"/>
    </w:rPr>
  </w:style>
  <w:style w:type="paragraph" w:customStyle="1" w:styleId="107">
    <w:name w:val="!BECC正文"/>
    <w:basedOn w:val="1"/>
    <w:qFormat/>
    <w:uiPriority w:val="0"/>
    <w:pPr>
      <w:tabs>
        <w:tab w:val="left" w:pos="0"/>
      </w:tabs>
      <w:spacing w:beforeLines="50" w:afterLines="50" w:line="360" w:lineRule="auto"/>
      <w:ind w:firstLine="200" w:firstLineChars="200"/>
      <w:contextualSpacing/>
    </w:pPr>
    <w:rPr>
      <w:sz w:val="24"/>
    </w:rPr>
  </w:style>
  <w:style w:type="paragraph" w:customStyle="1" w:styleId="108">
    <w:name w:val="Table Paragraph"/>
    <w:basedOn w:val="1"/>
    <w:qFormat/>
    <w:uiPriority w:val="1"/>
    <w:rPr>
      <w:rFonts w:ascii="宋体" w:hAnsi="宋体" w:cs="宋体"/>
      <w:lang w:val="zh-CN" w:bidi="zh-CN"/>
    </w:rPr>
  </w:style>
  <w:style w:type="table" w:customStyle="1" w:styleId="109">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110">
    <w:name w:val="WPSOffice手动目录 1"/>
    <w:qFormat/>
    <w:uiPriority w:val="0"/>
    <w:rPr>
      <w:rFonts w:ascii="Times New Roman" w:hAnsi="Times New Roman" w:eastAsia="宋体" w:cs="Times New Roman"/>
      <w:lang w:val="en-US" w:eastAsia="zh-CN" w:bidi="ar-SA"/>
    </w:rPr>
  </w:style>
  <w:style w:type="paragraph" w:customStyle="1" w:styleId="111">
    <w:name w:val="WPSOffice手动目录 2"/>
    <w:qFormat/>
    <w:uiPriority w:val="0"/>
    <w:pPr>
      <w:ind w:leftChars="200"/>
    </w:pPr>
    <w:rPr>
      <w:rFonts w:ascii="Times New Roman" w:hAnsi="Times New Roman" w:eastAsia="宋体" w:cs="Times New Roman"/>
      <w:lang w:val="en-US" w:eastAsia="zh-CN" w:bidi="ar-SA"/>
    </w:rPr>
  </w:style>
  <w:style w:type="paragraph" w:customStyle="1" w:styleId="112">
    <w:name w:val="WPSOffice手动目录 3"/>
    <w:qFormat/>
    <w:uiPriority w:val="0"/>
    <w:pPr>
      <w:ind w:leftChars="400"/>
    </w:pPr>
    <w:rPr>
      <w:rFonts w:ascii="Times New Roman" w:hAnsi="Times New Roman" w:eastAsia="宋体" w:cs="Times New Roman"/>
      <w:lang w:val="en-US" w:eastAsia="zh-CN" w:bidi="ar-SA"/>
    </w:rPr>
  </w:style>
  <w:style w:type="paragraph" w:customStyle="1" w:styleId="113">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114">
    <w:name w:val="正文_1_0"/>
    <w:basedOn w:val="115"/>
    <w:next w:val="117"/>
    <w:qFormat/>
    <w:uiPriority w:val="0"/>
    <w:pPr>
      <w:widowControl w:val="0"/>
      <w:jc w:val="both"/>
    </w:pPr>
    <w:rPr>
      <w:kern w:val="2"/>
      <w:sz w:val="21"/>
      <w:szCs w:val="24"/>
      <w:lang w:val="en-US" w:eastAsia="zh-CN" w:bidi="ar-SA"/>
    </w:rPr>
  </w:style>
  <w:style w:type="paragraph" w:customStyle="1" w:styleId="115">
    <w:name w:val="正文_2_0"/>
    <w:basedOn w:val="116"/>
    <w:qFormat/>
    <w:uiPriority w:val="0"/>
    <w:pPr>
      <w:widowControl w:val="0"/>
      <w:jc w:val="both"/>
    </w:pPr>
    <w:rPr>
      <w:rFonts w:ascii="Calibri" w:hAnsi="Calibri"/>
      <w:kern w:val="2"/>
      <w:sz w:val="21"/>
      <w:szCs w:val="22"/>
      <w:lang w:val="en-US" w:eastAsia="zh-CN" w:bidi="ar-SA"/>
    </w:rPr>
  </w:style>
  <w:style w:type="paragraph" w:customStyle="1" w:styleId="116">
    <w:name w:val="正文_2"/>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117">
    <w:name w:val="正文首行缩进1"/>
    <w:basedOn w:val="118"/>
    <w:unhideWhenUsed/>
    <w:qFormat/>
    <w:uiPriority w:val="99"/>
    <w:pPr>
      <w:ind w:firstLine="420" w:firstLineChars="100"/>
    </w:pPr>
    <w:rPr>
      <w:szCs w:val="22"/>
    </w:rPr>
  </w:style>
  <w:style w:type="paragraph" w:customStyle="1" w:styleId="118">
    <w:name w:val="正文文本_0_0"/>
    <w:basedOn w:val="119"/>
    <w:qFormat/>
    <w:uiPriority w:val="0"/>
    <w:pPr>
      <w:spacing w:after="120"/>
    </w:pPr>
    <w:rPr>
      <w:kern w:val="0"/>
      <w:sz w:val="20"/>
    </w:rPr>
  </w:style>
  <w:style w:type="paragraph" w:customStyle="1" w:styleId="119">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正文_0_1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
    <w:name w:val="正文_0_1_0"/>
    <w:semiHidden/>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123">
    <w:name w:val="Item List in Table"/>
    <w:basedOn w:val="1"/>
    <w:qFormat/>
    <w:uiPriority w:val="0"/>
    <w:pPr>
      <w:numPr>
        <w:ilvl w:val="0"/>
        <w:numId w:val="2"/>
      </w:numPr>
      <w:tabs>
        <w:tab w:val="left" w:pos="420"/>
        <w:tab w:val="clear" w:pos="960"/>
      </w:tabs>
      <w:jc w:val="left"/>
    </w:pPr>
    <w:rPr>
      <w:rFonts w:eastAsia="宋体"/>
      <w:sz w:val="21"/>
      <w:szCs w:val="24"/>
    </w:rPr>
  </w:style>
  <w:style w:type="paragraph" w:customStyle="1" w:styleId="124">
    <w:name w:val="Table Text"/>
    <w:basedOn w:val="1"/>
    <w:semiHidden/>
    <w:qFormat/>
    <w:uiPriority w:val="0"/>
    <w:rPr>
      <w:rFonts w:ascii="宋体" w:hAnsi="宋体" w:eastAsia="宋体" w:cs="宋体"/>
      <w:sz w:val="24"/>
      <w:szCs w:val="24"/>
      <w:lang w:val="en-US" w:eastAsia="en-US" w:bidi="ar-SA"/>
    </w:rPr>
  </w:style>
  <w:style w:type="paragraph" w:customStyle="1" w:styleId="125">
    <w:name w:val="目录 61"/>
    <w:next w:val="1"/>
    <w:qFormat/>
    <w:uiPriority w:val="0"/>
    <w:pPr>
      <w:wordWrap w:val="0"/>
      <w:ind w:left="2125"/>
      <w:jc w:val="both"/>
    </w:pPr>
    <w:rPr>
      <w:rFonts w:ascii="Calibri" w:hAnsi="Calibri" w:eastAsia="宋体" w:cs="Times New Roman"/>
      <w:sz w:val="21"/>
      <w:lang w:val="en-US" w:eastAsia="zh-CN" w:bidi="ar-SA"/>
    </w:rPr>
  </w:style>
  <w:style w:type="paragraph" w:customStyle="1" w:styleId="126">
    <w:name w:val="Body text|1"/>
    <w:basedOn w:val="1"/>
    <w:qFormat/>
    <w:uiPriority w:val="0"/>
    <w:pPr>
      <w:spacing w:line="391" w:lineRule="auto"/>
      <w:ind w:firstLine="400"/>
    </w:pPr>
    <w:rPr>
      <w:rFonts w:ascii="宋体" w:hAnsi="宋体" w:eastAsia="宋体" w:cs="宋体"/>
      <w:sz w:val="26"/>
      <w:szCs w:val="26"/>
      <w:lang w:val="zh-TW" w:eastAsia="zh-TW" w:bidi="zh-TW"/>
    </w:rPr>
  </w:style>
  <w:style w:type="paragraph" w:customStyle="1" w:styleId="127">
    <w:name w:val="正文1"/>
    <w:basedOn w:val="1"/>
    <w:qFormat/>
    <w:uiPriority w:val="0"/>
    <w:pPr>
      <w:overflowPunct w:val="0"/>
      <w:autoSpaceDE w:val="0"/>
      <w:autoSpaceDN w:val="0"/>
      <w:spacing w:line="360" w:lineRule="auto"/>
      <w:textAlignment w:val="baseline"/>
    </w:pPr>
    <w:rPr>
      <w:rFonts w:hint="eastAsia" w:ascii="Arial" w:hAnsi="Arial"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注册单位=China</Company>
  <Pages>70</Pages>
  <Words>7513</Words>
  <Characters>8300</Characters>
  <Lines>283</Lines>
  <Paragraphs>79</Paragraphs>
  <TotalTime>1</TotalTime>
  <ScaleCrop>false</ScaleCrop>
  <LinksUpToDate>false</LinksUpToDate>
  <CharactersWithSpaces>8536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2025-04-05T15:03:00Z</dcterms:created>
  <dc:creator>微软用户</dc:creator>
  <cp:lastModifiedBy>Sole 、Memory</cp:lastModifiedBy>
  <cp:lastPrinted>2025-04-15T05:27:00Z</cp:lastPrinted>
  <dcterms:modified xsi:type="dcterms:W3CDTF">2025-07-08T11:40:22Z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53218E3F7CC44536B7D811E46E654AB6_13</vt:lpwstr>
  </property>
  <property fmtid="{D5CDD505-2E9C-101B-9397-08002B2CF9AE}" pid="4" name="KSOTemplateDocerSaveRecord">
    <vt:lpwstr>eyJoZGlkIjoiMzUwNTVmZGE3NWFmY2I3ZDNiMWM1YzQ3YTRhMWU5MmEiLCJ1c2VySWQiOiIyOTc2ODg4MDkifQ==</vt:lpwstr>
  </property>
</Properties>
</file>