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color w:val="auto"/>
          <w:sz w:val="24"/>
        </w:rPr>
        <w:object>
          <v:shape id="_x0000_i1025" o:spt="75" type="#_x0000_t75" style="height:33.3pt;width:54.45pt;" o:ole="t" filled="f" o:preferrelative="t" stroked="f" coordsize="21600,21600">
            <v:path/>
            <v:fill on="f" focussize="0,0"/>
            <v:stroke on="f" joinstyle="miter"/>
            <v:imagedata r:id="rId12" o:title=""/>
            <o:lock v:ext="edit" aspectratio="t"/>
            <w10:wrap type="none"/>
            <w10:anchorlock/>
          </v:shape>
          <o:OLEObject Type="Embed" ProgID="CorelDRAW.Graphic.9" ShapeID="_x0000_i1025" DrawAspect="Content" ObjectID="_1468075725" r:id="rId11">
            <o:LockedField>false</o:LockedField>
          </o:OLEObject>
        </w:object>
      </w:r>
    </w:p>
    <w:p>
      <w:pPr>
        <w:spacing w:line="360" w:lineRule="auto"/>
        <w:jc w:val="center"/>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 xml:space="preserve">                                                                             新疆天麒</w:t>
      </w:r>
    </w:p>
    <w:p>
      <w:pPr>
        <w:spacing w:line="360" w:lineRule="auto"/>
        <w:jc w:val="center"/>
        <w:rPr>
          <w:rFonts w:asciiTheme="minorEastAsia" w:hAnsiTheme="minorEastAsia" w:eastAsiaTheme="minorEastAsia" w:cstheme="minorEastAsia"/>
          <w:b/>
          <w:color w:val="auto"/>
          <w:sz w:val="56"/>
          <w:szCs w:val="56"/>
        </w:rPr>
      </w:pPr>
      <w:r>
        <w:rPr>
          <w:rFonts w:hint="eastAsia" w:asciiTheme="minorEastAsia" w:hAnsiTheme="minorEastAsia" w:eastAsiaTheme="minorEastAsia" w:cstheme="minorEastAsia"/>
          <w:b/>
          <w:color w:val="auto"/>
          <w:sz w:val="60"/>
          <w:szCs w:val="60"/>
        </w:rPr>
        <w:t>克拉玛依市中心医院1号（汉餐）、2号（清餐）食堂服务外包项目</w:t>
      </w:r>
    </w:p>
    <w:p>
      <w:pPr>
        <w:spacing w:line="360" w:lineRule="auto"/>
        <w:jc w:val="center"/>
        <w:rPr>
          <w:rFonts w:asciiTheme="minorEastAsia" w:hAnsiTheme="minorEastAsia" w:eastAsiaTheme="minorEastAsia" w:cstheme="minorEastAsia"/>
          <w:b/>
          <w:color w:val="auto"/>
          <w:sz w:val="56"/>
          <w:szCs w:val="56"/>
        </w:rPr>
      </w:pPr>
      <w:r>
        <w:rPr>
          <w:rFonts w:hint="eastAsia" w:asciiTheme="minorEastAsia" w:hAnsiTheme="minorEastAsia" w:eastAsiaTheme="minorEastAsia" w:cstheme="minorEastAsia"/>
          <w:b/>
          <w:color w:val="auto"/>
          <w:sz w:val="48"/>
          <w:szCs w:val="48"/>
        </w:rPr>
        <w:br w:type="textWrapping"/>
      </w:r>
      <w:bookmarkStart w:id="0" w:name="_Toc225166185"/>
    </w:p>
    <w:p>
      <w:pPr>
        <w:spacing w:line="360" w:lineRule="auto"/>
        <w:jc w:val="center"/>
        <w:rPr>
          <w:rFonts w:asciiTheme="minorEastAsia" w:hAnsiTheme="minorEastAsia" w:eastAsiaTheme="minorEastAsia" w:cstheme="minorEastAsia"/>
          <w:b/>
          <w:color w:val="auto"/>
          <w:sz w:val="72"/>
          <w:szCs w:val="72"/>
        </w:rPr>
      </w:pPr>
      <w:r>
        <w:rPr>
          <w:rFonts w:hint="eastAsia" w:asciiTheme="minorEastAsia" w:hAnsiTheme="minorEastAsia" w:eastAsiaTheme="minorEastAsia" w:cstheme="minorEastAsia"/>
          <w:b/>
          <w:color w:val="auto"/>
          <w:sz w:val="72"/>
          <w:szCs w:val="72"/>
        </w:rPr>
        <w:t>招 标 文 件</w:t>
      </w:r>
      <w:bookmarkEnd w:id="0"/>
    </w:p>
    <w:p>
      <w:pPr>
        <w:spacing w:line="360" w:lineRule="auto"/>
        <w:jc w:val="center"/>
        <w:rPr>
          <w:rFonts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招标文件编号：KSZXYY（ZC）2020-10</w:t>
      </w:r>
    </w:p>
    <w:p>
      <w:pPr>
        <w:spacing w:line="360" w:lineRule="auto"/>
        <w:rPr>
          <w:rFonts w:asciiTheme="minorEastAsia" w:hAnsiTheme="minorEastAsia" w:eastAsiaTheme="minorEastAsia" w:cstheme="minorEastAsia"/>
          <w:b/>
          <w:color w:val="auto"/>
          <w:sz w:val="30"/>
          <w:szCs w:val="30"/>
        </w:rPr>
      </w:pPr>
    </w:p>
    <w:p>
      <w:pPr>
        <w:spacing w:line="360" w:lineRule="auto"/>
        <w:rPr>
          <w:rFonts w:asciiTheme="minorEastAsia" w:hAnsiTheme="minorEastAsia" w:eastAsiaTheme="minorEastAsia" w:cstheme="minorEastAsia"/>
          <w:b/>
          <w:color w:val="auto"/>
          <w:sz w:val="30"/>
          <w:szCs w:val="30"/>
        </w:rPr>
      </w:pPr>
    </w:p>
    <w:p>
      <w:pPr>
        <w:spacing w:line="360" w:lineRule="auto"/>
        <w:ind w:firstLine="602" w:firstLineChars="200"/>
        <w:rPr>
          <w:rFonts w:asciiTheme="minorEastAsia" w:hAnsiTheme="minorEastAsia" w:eastAsiaTheme="minorEastAsia" w:cstheme="minorEastAsia"/>
          <w:b/>
          <w:color w:val="auto"/>
          <w:sz w:val="30"/>
          <w:szCs w:val="30"/>
        </w:rPr>
      </w:pPr>
    </w:p>
    <w:p>
      <w:pPr>
        <w:spacing w:line="360" w:lineRule="auto"/>
        <w:ind w:firstLine="602" w:firstLineChars="200"/>
        <w:rPr>
          <w:rFonts w:asciiTheme="minorEastAsia" w:hAnsiTheme="minorEastAsia" w:eastAsiaTheme="minorEastAsia" w:cstheme="minorEastAsia"/>
          <w:b/>
          <w:color w:val="auto"/>
          <w:sz w:val="30"/>
          <w:szCs w:val="30"/>
        </w:rPr>
      </w:pPr>
      <w:r>
        <w:rPr>
          <w:rFonts w:hint="eastAsia" w:asciiTheme="minorEastAsia" w:hAnsiTheme="minorEastAsia" w:eastAsiaTheme="minorEastAsia" w:cstheme="minorEastAsia"/>
          <w:b/>
          <w:color w:val="auto"/>
          <w:sz w:val="30"/>
          <w:szCs w:val="30"/>
        </w:rPr>
        <w:t>招标人：克拉玛依市中心医院</w:t>
      </w:r>
    </w:p>
    <w:p>
      <w:pPr>
        <w:spacing w:line="360" w:lineRule="auto"/>
        <w:rPr>
          <w:rFonts w:asciiTheme="minorEastAsia" w:hAnsiTheme="minorEastAsia" w:eastAsiaTheme="minorEastAsia" w:cstheme="minorEastAsia"/>
          <w:b/>
          <w:color w:val="auto"/>
          <w:sz w:val="30"/>
          <w:szCs w:val="30"/>
        </w:rPr>
      </w:pPr>
    </w:p>
    <w:p>
      <w:pPr>
        <w:spacing w:line="360" w:lineRule="auto"/>
        <w:ind w:firstLine="602" w:firstLineChars="200"/>
        <w:rPr>
          <w:rFonts w:asciiTheme="minorEastAsia" w:hAnsiTheme="minorEastAsia" w:eastAsiaTheme="minorEastAsia" w:cstheme="minorEastAsia"/>
          <w:b/>
          <w:color w:val="auto"/>
          <w:sz w:val="30"/>
          <w:szCs w:val="30"/>
        </w:rPr>
      </w:pPr>
    </w:p>
    <w:p>
      <w:pPr>
        <w:spacing w:line="360" w:lineRule="auto"/>
        <w:ind w:firstLine="602" w:firstLineChars="200"/>
        <w:rPr>
          <w:rFonts w:asciiTheme="minorEastAsia" w:hAnsiTheme="minorEastAsia" w:eastAsiaTheme="minorEastAsia" w:cstheme="minorEastAsia"/>
          <w:b/>
          <w:color w:val="auto"/>
          <w:sz w:val="30"/>
          <w:szCs w:val="30"/>
        </w:rPr>
      </w:pPr>
      <w:r>
        <w:rPr>
          <w:rFonts w:hint="eastAsia" w:asciiTheme="minorEastAsia" w:hAnsiTheme="minorEastAsia" w:eastAsiaTheme="minorEastAsia" w:cstheme="minorEastAsia"/>
          <w:b/>
          <w:color w:val="auto"/>
          <w:sz w:val="30"/>
          <w:szCs w:val="30"/>
        </w:rPr>
        <w:t>招标代理机构：新疆天麒工程项目管理咨询有限责任公司</w:t>
      </w:r>
    </w:p>
    <w:p>
      <w:pPr>
        <w:spacing w:line="360" w:lineRule="auto"/>
        <w:ind w:firstLine="602" w:firstLineChars="200"/>
        <w:jc w:val="center"/>
        <w:rPr>
          <w:rFonts w:asciiTheme="minorEastAsia" w:hAnsiTheme="minorEastAsia" w:eastAsiaTheme="minorEastAsia" w:cstheme="minorEastAsia"/>
          <w:b/>
          <w:color w:val="auto"/>
          <w:sz w:val="30"/>
          <w:szCs w:val="30"/>
        </w:rPr>
      </w:pPr>
    </w:p>
    <w:p>
      <w:pPr>
        <w:spacing w:line="360" w:lineRule="auto"/>
        <w:ind w:firstLine="602" w:firstLineChars="200"/>
        <w:jc w:val="center"/>
        <w:rPr>
          <w:rFonts w:asciiTheme="minorEastAsia" w:hAnsiTheme="minorEastAsia" w:eastAsiaTheme="minorEastAsia" w:cstheme="minorEastAsia"/>
          <w:b/>
          <w:color w:val="auto"/>
          <w:sz w:val="30"/>
          <w:szCs w:val="30"/>
        </w:rPr>
      </w:pPr>
    </w:p>
    <w:p>
      <w:pPr>
        <w:spacing w:line="360" w:lineRule="auto"/>
        <w:ind w:firstLine="602" w:firstLineChars="200"/>
        <w:jc w:val="center"/>
        <w:rPr>
          <w:rFonts w:asciiTheme="minorEastAsia" w:hAnsiTheme="minorEastAsia" w:eastAsiaTheme="minorEastAsia" w:cstheme="minorEastAsia"/>
          <w:b/>
          <w:color w:val="auto"/>
          <w:sz w:val="30"/>
          <w:szCs w:val="30"/>
        </w:rPr>
      </w:pPr>
      <w:r>
        <w:rPr>
          <w:rFonts w:hint="eastAsia" w:asciiTheme="minorEastAsia" w:hAnsiTheme="minorEastAsia" w:eastAsiaTheme="minorEastAsia" w:cstheme="minorEastAsia"/>
          <w:b/>
          <w:color w:val="auto"/>
          <w:sz w:val="30"/>
          <w:szCs w:val="30"/>
        </w:rPr>
        <w:t>二零二零年四月</w:t>
      </w:r>
    </w:p>
    <w:p>
      <w:pPr>
        <w:spacing w:line="360" w:lineRule="auto"/>
        <w:jc w:val="center"/>
        <w:rPr>
          <w:rFonts w:asciiTheme="minorEastAsia" w:hAnsiTheme="minorEastAsia" w:eastAsiaTheme="minorEastAsia" w:cstheme="minorEastAsia"/>
          <w:b/>
          <w:color w:val="auto"/>
          <w:sz w:val="44"/>
          <w:szCs w:val="44"/>
        </w:rPr>
      </w:pPr>
    </w:p>
    <w:p>
      <w:pPr>
        <w:spacing w:line="360" w:lineRule="auto"/>
        <w:jc w:val="center"/>
        <w:rPr>
          <w:rFonts w:asciiTheme="minorEastAsia" w:hAnsiTheme="minorEastAsia" w:eastAsiaTheme="minorEastAsia" w:cstheme="minorEastAsia"/>
          <w:b/>
          <w:color w:val="auto"/>
          <w:sz w:val="44"/>
          <w:szCs w:val="44"/>
        </w:rPr>
      </w:pPr>
      <w:r>
        <w:rPr>
          <w:rFonts w:hint="eastAsia" w:asciiTheme="minorEastAsia" w:hAnsiTheme="minorEastAsia" w:eastAsiaTheme="minorEastAsia" w:cstheme="minorEastAsia"/>
          <w:b/>
          <w:color w:val="auto"/>
          <w:sz w:val="44"/>
          <w:szCs w:val="44"/>
        </w:rPr>
        <w:t>总目录</w:t>
      </w:r>
    </w:p>
    <w:p>
      <w:pPr>
        <w:spacing w:line="360" w:lineRule="auto"/>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第一章</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t>招标公告--------------------------------------第1页</w:t>
      </w:r>
    </w:p>
    <w:p>
      <w:pPr>
        <w:spacing w:line="360" w:lineRule="auto"/>
        <w:ind w:firstLine="560" w:firstLineChars="200"/>
        <w:rPr>
          <w:rFonts w:asciiTheme="minorEastAsia" w:hAnsiTheme="minorEastAsia" w:eastAsiaTheme="minorEastAsia" w:cstheme="minorEastAsia"/>
          <w:color w:val="auto"/>
          <w:sz w:val="28"/>
          <w:szCs w:val="28"/>
        </w:rPr>
      </w:pPr>
    </w:p>
    <w:p>
      <w:pPr>
        <w:spacing w:line="360" w:lineRule="auto"/>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第二章  投标人须知------------------------------------第3页</w:t>
      </w:r>
    </w:p>
    <w:p>
      <w:pPr>
        <w:spacing w:line="360" w:lineRule="auto"/>
        <w:ind w:firstLine="560" w:firstLineChars="200"/>
        <w:rPr>
          <w:rFonts w:asciiTheme="minorEastAsia" w:hAnsiTheme="minorEastAsia" w:eastAsiaTheme="minorEastAsia" w:cstheme="minorEastAsia"/>
          <w:color w:val="auto"/>
          <w:sz w:val="28"/>
          <w:szCs w:val="28"/>
        </w:rPr>
      </w:pPr>
    </w:p>
    <w:p>
      <w:pPr>
        <w:spacing w:line="360" w:lineRule="auto"/>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第三章  项目采购需求----------------------------------第21页</w:t>
      </w:r>
    </w:p>
    <w:p>
      <w:pPr>
        <w:spacing w:line="360" w:lineRule="auto"/>
        <w:ind w:firstLine="560" w:firstLineChars="200"/>
        <w:rPr>
          <w:rFonts w:asciiTheme="minorEastAsia" w:hAnsiTheme="minorEastAsia" w:eastAsiaTheme="minorEastAsia" w:cstheme="minorEastAsia"/>
          <w:color w:val="auto"/>
          <w:sz w:val="28"/>
          <w:szCs w:val="28"/>
        </w:rPr>
      </w:pPr>
    </w:p>
    <w:p>
      <w:pPr>
        <w:spacing w:line="360" w:lineRule="auto"/>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第四章</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t>合同条款--------------------------------------第24页</w:t>
      </w:r>
    </w:p>
    <w:p>
      <w:pPr>
        <w:spacing w:line="360" w:lineRule="auto"/>
        <w:ind w:firstLine="560" w:firstLineChars="200"/>
        <w:rPr>
          <w:rFonts w:asciiTheme="minorEastAsia" w:hAnsiTheme="minorEastAsia" w:eastAsiaTheme="minorEastAsia" w:cstheme="minorEastAsia"/>
          <w:color w:val="auto"/>
          <w:sz w:val="28"/>
          <w:szCs w:val="28"/>
        </w:rPr>
      </w:pPr>
    </w:p>
    <w:p>
      <w:pPr>
        <w:spacing w:line="360" w:lineRule="auto"/>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第五章  投标文件格式----------------------------------第27页</w:t>
      </w:r>
    </w:p>
    <w:p>
      <w:pPr>
        <w:spacing w:line="360" w:lineRule="auto"/>
        <w:ind w:firstLine="560" w:firstLineChars="200"/>
        <w:rPr>
          <w:rFonts w:asciiTheme="minorEastAsia" w:hAnsiTheme="minorEastAsia" w:eastAsiaTheme="minorEastAsia" w:cstheme="minorEastAsia"/>
          <w:color w:val="auto"/>
          <w:sz w:val="28"/>
          <w:szCs w:val="28"/>
        </w:rPr>
      </w:pPr>
    </w:p>
    <w:p>
      <w:pPr>
        <w:spacing w:line="360" w:lineRule="auto"/>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第六章  评标办法（综合评分法）------------------------第39页</w:t>
      </w:r>
    </w:p>
    <w:p>
      <w:pPr>
        <w:spacing w:line="360" w:lineRule="auto"/>
        <w:rPr>
          <w:rFonts w:asciiTheme="minorEastAsia" w:hAnsiTheme="minorEastAsia" w:eastAsiaTheme="minorEastAsia" w:cstheme="minorEastAsia"/>
          <w:color w:val="auto"/>
          <w:sz w:val="32"/>
          <w:szCs w:val="32"/>
        </w:rPr>
      </w:pPr>
    </w:p>
    <w:p>
      <w:pPr>
        <w:spacing w:line="360" w:lineRule="auto"/>
        <w:rPr>
          <w:rFonts w:asciiTheme="minorEastAsia" w:hAnsiTheme="minorEastAsia" w:eastAsiaTheme="minorEastAsia" w:cstheme="minorEastAsia"/>
          <w:color w:val="auto"/>
          <w:sz w:val="32"/>
          <w:szCs w:val="32"/>
        </w:rPr>
      </w:pPr>
    </w:p>
    <w:p>
      <w:pPr>
        <w:spacing w:line="360" w:lineRule="auto"/>
        <w:rPr>
          <w:rFonts w:asciiTheme="minorEastAsia" w:hAnsiTheme="minorEastAsia" w:eastAsiaTheme="minorEastAsia" w:cstheme="minorEastAsia"/>
          <w:color w:val="auto"/>
          <w:sz w:val="32"/>
          <w:szCs w:val="32"/>
        </w:rPr>
      </w:pPr>
    </w:p>
    <w:p>
      <w:pPr>
        <w:spacing w:line="360" w:lineRule="auto"/>
        <w:rPr>
          <w:rFonts w:asciiTheme="minorEastAsia" w:hAnsiTheme="minorEastAsia" w:eastAsiaTheme="minorEastAsia" w:cstheme="minorEastAsia"/>
          <w:color w:val="auto"/>
          <w:sz w:val="32"/>
          <w:szCs w:val="32"/>
        </w:rPr>
      </w:pPr>
    </w:p>
    <w:p>
      <w:pPr>
        <w:spacing w:line="360" w:lineRule="auto"/>
        <w:rPr>
          <w:rFonts w:asciiTheme="minorEastAsia" w:hAnsiTheme="minorEastAsia" w:eastAsiaTheme="minorEastAsia" w:cstheme="minorEastAsia"/>
          <w:color w:val="auto"/>
          <w:sz w:val="32"/>
          <w:szCs w:val="32"/>
        </w:rPr>
      </w:pPr>
    </w:p>
    <w:p>
      <w:pPr>
        <w:spacing w:line="360" w:lineRule="auto"/>
        <w:rPr>
          <w:rFonts w:asciiTheme="minorEastAsia" w:hAnsiTheme="minorEastAsia" w:eastAsiaTheme="minorEastAsia" w:cstheme="minorEastAsia"/>
          <w:color w:val="auto"/>
          <w:sz w:val="32"/>
          <w:szCs w:val="32"/>
        </w:rPr>
      </w:pPr>
    </w:p>
    <w:p>
      <w:pPr>
        <w:spacing w:line="360" w:lineRule="auto"/>
        <w:rPr>
          <w:rFonts w:asciiTheme="minorEastAsia" w:hAnsiTheme="minorEastAsia" w:eastAsiaTheme="minorEastAsia" w:cstheme="minorEastAsia"/>
          <w:color w:val="auto"/>
          <w:sz w:val="32"/>
          <w:szCs w:val="32"/>
        </w:rPr>
      </w:pPr>
    </w:p>
    <w:p>
      <w:pPr>
        <w:spacing w:line="360" w:lineRule="auto"/>
        <w:rPr>
          <w:rFonts w:asciiTheme="minorEastAsia" w:hAnsiTheme="minorEastAsia" w:eastAsiaTheme="minorEastAsia" w:cstheme="minorEastAsia"/>
          <w:color w:val="auto"/>
          <w:sz w:val="32"/>
          <w:szCs w:val="32"/>
        </w:rPr>
      </w:pPr>
    </w:p>
    <w:p>
      <w:pPr>
        <w:spacing w:line="360" w:lineRule="auto"/>
        <w:rPr>
          <w:rFonts w:asciiTheme="minorEastAsia" w:hAnsiTheme="minorEastAsia" w:eastAsiaTheme="minorEastAsia" w:cstheme="minorEastAsia"/>
          <w:color w:val="auto"/>
          <w:sz w:val="32"/>
          <w:szCs w:val="32"/>
        </w:rPr>
      </w:pPr>
    </w:p>
    <w:p>
      <w:pPr>
        <w:spacing w:line="360" w:lineRule="auto"/>
        <w:rPr>
          <w:rFonts w:asciiTheme="minorEastAsia" w:hAnsiTheme="minorEastAsia" w:eastAsiaTheme="minorEastAsia" w:cstheme="minorEastAsia"/>
          <w:color w:val="auto"/>
          <w:sz w:val="32"/>
          <w:szCs w:val="32"/>
        </w:rPr>
      </w:pPr>
    </w:p>
    <w:p>
      <w:pPr>
        <w:pStyle w:val="3"/>
        <w:numPr>
          <w:ilvl w:val="0"/>
          <w:numId w:val="1"/>
        </w:numPr>
        <w:spacing w:line="280" w:lineRule="exact"/>
        <w:jc w:val="center"/>
        <w:rPr>
          <w:rFonts w:asciiTheme="minorEastAsia" w:hAnsiTheme="minorEastAsia" w:eastAsiaTheme="minorEastAsia" w:cstheme="minorEastAsia"/>
          <w:bCs w:val="0"/>
          <w:color w:val="auto"/>
          <w:sz w:val="28"/>
          <w:szCs w:val="28"/>
        </w:rPr>
        <w:sectPr>
          <w:footerReference r:id="rId3" w:type="default"/>
          <w:pgSz w:w="11907" w:h="16840"/>
          <w:pgMar w:top="1440" w:right="1077" w:bottom="1440" w:left="1077" w:header="964" w:footer="992" w:gutter="0"/>
          <w:pgNumType w:start="1"/>
          <w:cols w:space="425" w:num="1"/>
          <w:docGrid w:linePitch="354" w:charSpace="0"/>
        </w:sectPr>
      </w:pPr>
    </w:p>
    <w:p>
      <w:pPr>
        <w:pStyle w:val="3"/>
        <w:numPr>
          <w:ilvl w:val="0"/>
          <w:numId w:val="1"/>
        </w:numPr>
        <w:spacing w:line="280" w:lineRule="exact"/>
        <w:jc w:val="center"/>
        <w:rPr>
          <w:rFonts w:asciiTheme="minorEastAsia" w:hAnsiTheme="minorEastAsia" w:eastAsiaTheme="minorEastAsia" w:cstheme="minorEastAsia"/>
          <w:bCs w:val="0"/>
          <w:color w:val="auto"/>
          <w:sz w:val="28"/>
          <w:szCs w:val="28"/>
        </w:rPr>
      </w:pPr>
      <w:r>
        <w:rPr>
          <w:rFonts w:hint="eastAsia" w:asciiTheme="minorEastAsia" w:hAnsiTheme="minorEastAsia" w:eastAsiaTheme="minorEastAsia" w:cstheme="minorEastAsia"/>
          <w:bCs w:val="0"/>
          <w:color w:val="auto"/>
          <w:sz w:val="28"/>
          <w:szCs w:val="28"/>
        </w:rPr>
        <w:t>招标公告</w:t>
      </w:r>
      <w:bookmarkStart w:id="1" w:name="_Toc154996575"/>
    </w:p>
    <w:p>
      <w:pPr>
        <w:widowControl/>
        <w:autoSpaceDE w:val="0"/>
        <w:spacing w:before="75" w:after="75" w:line="280" w:lineRule="exact"/>
        <w:rPr>
          <w:rFonts w:asciiTheme="minorEastAsia" w:hAnsiTheme="minorEastAsia" w:eastAsiaTheme="minorEastAsia" w:cstheme="minorEastAsia"/>
          <w:color w:val="auto"/>
          <w:kern w:val="0"/>
          <w:sz w:val="24"/>
        </w:rPr>
      </w:pPr>
      <w:r>
        <w:rPr>
          <w:rStyle w:val="527"/>
          <w:rFonts w:hint="eastAsia" w:asciiTheme="minorEastAsia" w:hAnsiTheme="minorEastAsia" w:eastAsiaTheme="minorEastAsia" w:cstheme="minorEastAsia"/>
          <w:color w:val="auto"/>
          <w:sz w:val="24"/>
        </w:rPr>
        <w:t>一、   招标项目编号：</w:t>
      </w:r>
      <w:r>
        <w:rPr>
          <w:rFonts w:hint="eastAsia" w:asciiTheme="minorEastAsia" w:hAnsiTheme="minorEastAsia" w:eastAsiaTheme="minorEastAsia" w:cstheme="minorEastAsia"/>
          <w:color w:val="auto"/>
          <w:kern w:val="0"/>
          <w:sz w:val="24"/>
        </w:rPr>
        <w:t xml:space="preserve">  KSRSJ（ZC）2020-09 </w:t>
      </w:r>
    </w:p>
    <w:p>
      <w:pPr>
        <w:widowControl/>
        <w:autoSpaceDE w:val="0"/>
        <w:spacing w:before="75" w:after="75" w:line="280" w:lineRule="exact"/>
        <w:rPr>
          <w:rFonts w:asciiTheme="minorEastAsia" w:hAnsiTheme="minorEastAsia" w:eastAsiaTheme="minorEastAsia" w:cstheme="minorEastAsia"/>
          <w:color w:val="auto"/>
          <w:kern w:val="0"/>
          <w:sz w:val="24"/>
        </w:rPr>
      </w:pPr>
      <w:r>
        <w:rPr>
          <w:rStyle w:val="527"/>
          <w:rFonts w:hint="eastAsia" w:asciiTheme="minorEastAsia" w:hAnsiTheme="minorEastAsia" w:eastAsiaTheme="minorEastAsia" w:cstheme="minorEastAsia"/>
          <w:color w:val="auto"/>
          <w:sz w:val="24"/>
        </w:rPr>
        <w:t>二、   采购组织类型：</w:t>
      </w:r>
      <w:r>
        <w:rPr>
          <w:rFonts w:hint="eastAsia" w:asciiTheme="minorEastAsia" w:hAnsiTheme="minorEastAsia" w:eastAsiaTheme="minorEastAsia" w:cstheme="minorEastAsia"/>
          <w:color w:val="auto"/>
          <w:kern w:val="0"/>
          <w:sz w:val="24"/>
        </w:rPr>
        <w:t xml:space="preserve">  部门集中采购-委托中介机构 </w:t>
      </w:r>
    </w:p>
    <w:p>
      <w:pPr>
        <w:widowControl/>
        <w:autoSpaceDE w:val="0"/>
        <w:spacing w:before="75" w:after="75" w:line="280" w:lineRule="exact"/>
        <w:rPr>
          <w:rFonts w:asciiTheme="minorEastAsia" w:hAnsiTheme="minorEastAsia" w:eastAsiaTheme="minorEastAsia" w:cstheme="minorEastAsia"/>
          <w:color w:val="auto"/>
          <w:kern w:val="0"/>
          <w:sz w:val="24"/>
        </w:rPr>
      </w:pPr>
      <w:r>
        <w:rPr>
          <w:rStyle w:val="527"/>
          <w:rFonts w:hint="eastAsia" w:asciiTheme="minorEastAsia" w:hAnsiTheme="minorEastAsia" w:eastAsiaTheme="minorEastAsia" w:cstheme="minorEastAsia"/>
          <w:color w:val="auto"/>
          <w:sz w:val="24"/>
        </w:rPr>
        <w:t>三、   招标项目概况</w:t>
      </w:r>
    </w:p>
    <w:tbl>
      <w:tblPr>
        <w:tblStyle w:val="58"/>
        <w:tblW w:w="5305" w:type="pct"/>
        <w:tblInd w:w="-206" w:type="dxa"/>
        <w:tblLayout w:type="autofit"/>
        <w:tblCellMar>
          <w:top w:w="15" w:type="dxa"/>
          <w:left w:w="15" w:type="dxa"/>
          <w:bottom w:w="15" w:type="dxa"/>
          <w:right w:w="15" w:type="dxa"/>
        </w:tblCellMar>
      </w:tblPr>
      <w:tblGrid>
        <w:gridCol w:w="1557"/>
        <w:gridCol w:w="1503"/>
        <w:gridCol w:w="931"/>
        <w:gridCol w:w="2162"/>
        <w:gridCol w:w="952"/>
        <w:gridCol w:w="2630"/>
        <w:gridCol w:w="931"/>
      </w:tblGrid>
      <w:tr>
        <w:tblPrEx>
          <w:tblCellMar>
            <w:top w:w="15" w:type="dxa"/>
            <w:left w:w="15" w:type="dxa"/>
            <w:bottom w:w="15" w:type="dxa"/>
            <w:right w:w="15" w:type="dxa"/>
          </w:tblCellMar>
        </w:tblPrEx>
        <w:tc>
          <w:tcPr>
            <w:tcW w:w="730" w:type="pct"/>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widowControl/>
              <w:autoSpaceDE w:val="0"/>
              <w:spacing w:line="280" w:lineRule="exact"/>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标项序号</w:t>
            </w:r>
          </w:p>
        </w:tc>
        <w:tc>
          <w:tcPr>
            <w:tcW w:w="704" w:type="pct"/>
            <w:tcBorders>
              <w:top w:val="dashed" w:color="DDDDDD" w:sz="6" w:space="0"/>
              <w:left w:val="nil"/>
              <w:bottom w:val="dashed" w:color="DDDDDD" w:sz="6" w:space="0"/>
              <w:right w:val="dashed" w:color="DDDDDD" w:sz="6" w:space="0"/>
            </w:tcBorders>
            <w:shd w:val="clear" w:color="auto" w:fill="auto"/>
            <w:tcMar>
              <w:top w:w="75" w:type="dxa"/>
              <w:left w:w="150" w:type="dxa"/>
              <w:bottom w:w="75" w:type="dxa"/>
              <w:right w:w="150" w:type="dxa"/>
            </w:tcMar>
            <w:vAlign w:val="center"/>
          </w:tcPr>
          <w:p>
            <w:pPr>
              <w:widowControl/>
              <w:autoSpaceDE w:val="0"/>
              <w:spacing w:line="280" w:lineRule="exact"/>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标项名称</w:t>
            </w:r>
          </w:p>
        </w:tc>
        <w:tc>
          <w:tcPr>
            <w:tcW w:w="436" w:type="pct"/>
            <w:tcBorders>
              <w:top w:val="dashed" w:color="DDDDDD" w:sz="6" w:space="0"/>
              <w:left w:val="nil"/>
              <w:bottom w:val="dashed" w:color="DDDDDD" w:sz="6" w:space="0"/>
              <w:right w:val="dashed" w:color="DDDDDD" w:sz="6" w:space="0"/>
            </w:tcBorders>
            <w:shd w:val="clear" w:color="auto" w:fill="auto"/>
            <w:tcMar>
              <w:top w:w="75" w:type="dxa"/>
              <w:left w:w="150" w:type="dxa"/>
              <w:bottom w:w="75" w:type="dxa"/>
              <w:right w:w="150" w:type="dxa"/>
            </w:tcMar>
            <w:vAlign w:val="center"/>
          </w:tcPr>
          <w:p>
            <w:pPr>
              <w:widowControl/>
              <w:autoSpaceDE w:val="0"/>
              <w:spacing w:line="280" w:lineRule="exact"/>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数量</w:t>
            </w:r>
          </w:p>
        </w:tc>
        <w:tc>
          <w:tcPr>
            <w:tcW w:w="1013" w:type="pct"/>
            <w:tcBorders>
              <w:top w:val="dashed" w:color="DDDDDD" w:sz="6" w:space="0"/>
              <w:left w:val="nil"/>
              <w:bottom w:val="dashed" w:color="DDDDDD" w:sz="6" w:space="0"/>
              <w:right w:val="dashed" w:color="DDDDDD" w:sz="6" w:space="0"/>
            </w:tcBorders>
            <w:shd w:val="clear" w:color="auto" w:fill="auto"/>
            <w:tcMar>
              <w:top w:w="75" w:type="dxa"/>
              <w:left w:w="150" w:type="dxa"/>
              <w:bottom w:w="75" w:type="dxa"/>
              <w:right w:w="150" w:type="dxa"/>
            </w:tcMar>
            <w:vAlign w:val="center"/>
          </w:tcPr>
          <w:p>
            <w:pPr>
              <w:widowControl/>
              <w:autoSpaceDE w:val="0"/>
              <w:spacing w:line="280" w:lineRule="exact"/>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预算金额(元)</w:t>
            </w:r>
          </w:p>
        </w:tc>
        <w:tc>
          <w:tcPr>
            <w:tcW w:w="446" w:type="pct"/>
            <w:tcBorders>
              <w:top w:val="dashed" w:color="DDDDDD" w:sz="6" w:space="0"/>
              <w:left w:val="nil"/>
              <w:bottom w:val="dashed" w:color="DDDDDD" w:sz="6" w:space="0"/>
              <w:right w:val="dashed" w:color="DDDDDD" w:sz="6" w:space="0"/>
            </w:tcBorders>
            <w:shd w:val="clear" w:color="auto" w:fill="auto"/>
            <w:tcMar>
              <w:top w:w="75" w:type="dxa"/>
              <w:left w:w="150" w:type="dxa"/>
              <w:bottom w:w="75" w:type="dxa"/>
              <w:right w:w="150" w:type="dxa"/>
            </w:tcMar>
            <w:vAlign w:val="center"/>
          </w:tcPr>
          <w:p>
            <w:pPr>
              <w:widowControl/>
              <w:autoSpaceDE w:val="0"/>
              <w:spacing w:line="280" w:lineRule="exact"/>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单位</w:t>
            </w:r>
          </w:p>
        </w:tc>
        <w:tc>
          <w:tcPr>
            <w:tcW w:w="1232" w:type="pct"/>
            <w:tcBorders>
              <w:top w:val="dashed" w:color="DDDDDD" w:sz="6" w:space="0"/>
              <w:left w:val="nil"/>
              <w:bottom w:val="dashed" w:color="DDDDDD" w:sz="6" w:space="0"/>
              <w:right w:val="dashed" w:color="DDDDDD" w:sz="6" w:space="0"/>
            </w:tcBorders>
            <w:shd w:val="clear" w:color="auto" w:fill="auto"/>
            <w:tcMar>
              <w:top w:w="75" w:type="dxa"/>
              <w:left w:w="150" w:type="dxa"/>
              <w:bottom w:w="75" w:type="dxa"/>
              <w:right w:w="150" w:type="dxa"/>
            </w:tcMar>
            <w:vAlign w:val="center"/>
          </w:tcPr>
          <w:p>
            <w:pPr>
              <w:widowControl/>
              <w:autoSpaceDE w:val="0"/>
              <w:spacing w:line="280" w:lineRule="exact"/>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简要规格描述</w:t>
            </w:r>
          </w:p>
        </w:tc>
        <w:tc>
          <w:tcPr>
            <w:tcW w:w="436" w:type="pct"/>
            <w:tcBorders>
              <w:top w:val="dashed" w:color="DDDDDD" w:sz="6" w:space="0"/>
              <w:left w:val="nil"/>
              <w:bottom w:val="dashed" w:color="DDDDDD" w:sz="6" w:space="0"/>
              <w:right w:val="dashed" w:color="DDDDDD" w:sz="6" w:space="0"/>
            </w:tcBorders>
            <w:shd w:val="clear" w:color="auto" w:fill="auto"/>
            <w:tcMar>
              <w:top w:w="75" w:type="dxa"/>
              <w:left w:w="150" w:type="dxa"/>
              <w:bottom w:w="75" w:type="dxa"/>
              <w:right w:w="150" w:type="dxa"/>
            </w:tcMar>
            <w:vAlign w:val="center"/>
          </w:tcPr>
          <w:p>
            <w:pPr>
              <w:widowControl/>
              <w:autoSpaceDE w:val="0"/>
              <w:spacing w:line="280" w:lineRule="exact"/>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备注</w:t>
            </w:r>
          </w:p>
        </w:tc>
      </w:tr>
      <w:tr>
        <w:tblPrEx>
          <w:tblCellMar>
            <w:top w:w="15" w:type="dxa"/>
            <w:left w:w="15" w:type="dxa"/>
            <w:bottom w:w="15" w:type="dxa"/>
            <w:right w:w="15" w:type="dxa"/>
          </w:tblCellMar>
        </w:tblPrEx>
        <w:tc>
          <w:tcPr>
            <w:tcW w:w="730" w:type="pct"/>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widowControl/>
              <w:autoSpaceDE w:val="0"/>
              <w:spacing w:line="280" w:lineRule="exact"/>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标项1</w:t>
            </w:r>
          </w:p>
        </w:tc>
        <w:tc>
          <w:tcPr>
            <w:tcW w:w="704" w:type="pct"/>
            <w:tcBorders>
              <w:top w:val="dashed" w:color="DDDDDD" w:sz="6" w:space="0"/>
              <w:left w:val="nil"/>
              <w:bottom w:val="dashed" w:color="DDDDDD" w:sz="6" w:space="0"/>
              <w:right w:val="dashed" w:color="DDDDDD" w:sz="6" w:space="0"/>
            </w:tcBorders>
            <w:shd w:val="clear" w:color="auto" w:fill="auto"/>
            <w:tcMar>
              <w:top w:w="75" w:type="dxa"/>
              <w:left w:w="150" w:type="dxa"/>
              <w:bottom w:w="75" w:type="dxa"/>
              <w:right w:w="150" w:type="dxa"/>
            </w:tcMar>
            <w:vAlign w:val="center"/>
          </w:tcPr>
          <w:p>
            <w:pPr>
              <w:widowControl/>
              <w:autoSpaceDE w:val="0"/>
              <w:spacing w:line="280" w:lineRule="exact"/>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sz w:val="24"/>
              </w:rPr>
              <w:t>克拉玛依市中心医院1号（汉餐）食堂服务外包项目</w:t>
            </w:r>
          </w:p>
        </w:tc>
        <w:tc>
          <w:tcPr>
            <w:tcW w:w="436" w:type="pct"/>
            <w:tcBorders>
              <w:top w:val="dashed" w:color="DDDDDD" w:sz="6" w:space="0"/>
              <w:left w:val="nil"/>
              <w:bottom w:val="dashed" w:color="DDDDDD" w:sz="6" w:space="0"/>
              <w:right w:val="dashed" w:color="DDDDDD" w:sz="6" w:space="0"/>
            </w:tcBorders>
            <w:shd w:val="clear" w:color="auto" w:fill="auto"/>
            <w:tcMar>
              <w:top w:w="75" w:type="dxa"/>
              <w:left w:w="150" w:type="dxa"/>
              <w:bottom w:w="75" w:type="dxa"/>
              <w:right w:w="150" w:type="dxa"/>
            </w:tcMar>
            <w:vAlign w:val="center"/>
          </w:tcPr>
          <w:p>
            <w:pPr>
              <w:widowControl/>
              <w:autoSpaceDE w:val="0"/>
              <w:spacing w:line="280" w:lineRule="exact"/>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w:t>
            </w:r>
          </w:p>
        </w:tc>
        <w:tc>
          <w:tcPr>
            <w:tcW w:w="1013" w:type="pct"/>
            <w:tcBorders>
              <w:top w:val="dashed" w:color="DDDDDD" w:sz="6" w:space="0"/>
              <w:left w:val="nil"/>
              <w:bottom w:val="dashed" w:color="DDDDDD" w:sz="6" w:space="0"/>
              <w:right w:val="dashed" w:color="DDDDDD" w:sz="6" w:space="0"/>
            </w:tcBorders>
            <w:shd w:val="clear" w:color="auto" w:fill="auto"/>
            <w:tcMar>
              <w:top w:w="75" w:type="dxa"/>
              <w:left w:w="150" w:type="dxa"/>
              <w:bottom w:w="75" w:type="dxa"/>
              <w:right w:w="150" w:type="dxa"/>
            </w:tcMar>
            <w:vAlign w:val="center"/>
          </w:tcPr>
          <w:p>
            <w:pPr>
              <w:widowControl/>
              <w:autoSpaceDE w:val="0"/>
              <w:spacing w:line="280" w:lineRule="exact"/>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3000000</w:t>
            </w:r>
          </w:p>
        </w:tc>
        <w:tc>
          <w:tcPr>
            <w:tcW w:w="446" w:type="pct"/>
            <w:tcBorders>
              <w:top w:val="dashed" w:color="DDDDDD" w:sz="6" w:space="0"/>
              <w:left w:val="nil"/>
              <w:bottom w:val="dashed" w:color="DDDDDD" w:sz="6" w:space="0"/>
              <w:right w:val="dashed" w:color="DDDDDD" w:sz="6" w:space="0"/>
            </w:tcBorders>
            <w:shd w:val="clear" w:color="auto" w:fill="auto"/>
            <w:tcMar>
              <w:top w:w="75" w:type="dxa"/>
              <w:left w:w="150" w:type="dxa"/>
              <w:bottom w:w="75" w:type="dxa"/>
              <w:right w:w="150" w:type="dxa"/>
            </w:tcMar>
            <w:vAlign w:val="center"/>
          </w:tcPr>
          <w:p>
            <w:pPr>
              <w:widowControl/>
              <w:autoSpaceDE w:val="0"/>
              <w:spacing w:line="280" w:lineRule="exact"/>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项</w:t>
            </w:r>
          </w:p>
        </w:tc>
        <w:tc>
          <w:tcPr>
            <w:tcW w:w="1232" w:type="pct"/>
            <w:tcBorders>
              <w:top w:val="dashed" w:color="DDDDDD" w:sz="6" w:space="0"/>
              <w:left w:val="nil"/>
              <w:bottom w:val="dashed" w:color="DDDDDD" w:sz="6" w:space="0"/>
              <w:right w:val="dashed" w:color="DDDDDD" w:sz="6" w:space="0"/>
            </w:tcBorders>
            <w:shd w:val="clear" w:color="auto" w:fill="auto"/>
            <w:tcMar>
              <w:top w:w="75" w:type="dxa"/>
              <w:left w:w="150" w:type="dxa"/>
              <w:bottom w:w="75" w:type="dxa"/>
              <w:right w:w="150" w:type="dxa"/>
            </w:tcMar>
            <w:vAlign w:val="center"/>
          </w:tcPr>
          <w:p>
            <w:pPr>
              <w:widowControl/>
              <w:autoSpaceDE w:val="0"/>
              <w:spacing w:line="280" w:lineRule="exact"/>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涉及面积1号食堂410.4平方米（一楼大厅面积181平方米，后堂面积229.4平方米，地下室23平米）及1号平房非职工就餐区102平米。</w:t>
            </w:r>
          </w:p>
        </w:tc>
        <w:tc>
          <w:tcPr>
            <w:tcW w:w="436" w:type="pct"/>
            <w:tcBorders>
              <w:top w:val="dashed" w:color="DDDDDD" w:sz="6" w:space="0"/>
              <w:left w:val="nil"/>
              <w:bottom w:val="dashed" w:color="DDDDDD" w:sz="6" w:space="0"/>
              <w:right w:val="dashed" w:color="DDDDDD" w:sz="6" w:space="0"/>
            </w:tcBorders>
            <w:shd w:val="clear" w:color="auto" w:fill="auto"/>
            <w:tcMar>
              <w:top w:w="75" w:type="dxa"/>
              <w:left w:w="150" w:type="dxa"/>
              <w:bottom w:w="75" w:type="dxa"/>
              <w:right w:w="150" w:type="dxa"/>
            </w:tcMar>
            <w:vAlign w:val="center"/>
          </w:tcPr>
          <w:p>
            <w:pPr>
              <w:widowControl/>
              <w:autoSpaceDE w:val="0"/>
              <w:spacing w:line="280" w:lineRule="exact"/>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w:t>
            </w:r>
          </w:p>
        </w:tc>
      </w:tr>
      <w:tr>
        <w:tblPrEx>
          <w:tblCellMar>
            <w:top w:w="15" w:type="dxa"/>
            <w:left w:w="15" w:type="dxa"/>
            <w:bottom w:w="15" w:type="dxa"/>
            <w:right w:w="15" w:type="dxa"/>
          </w:tblCellMar>
        </w:tblPrEx>
        <w:tc>
          <w:tcPr>
            <w:tcW w:w="730" w:type="pct"/>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widowControl/>
              <w:autoSpaceDE w:val="0"/>
              <w:spacing w:line="280" w:lineRule="exact"/>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标项2</w:t>
            </w:r>
          </w:p>
        </w:tc>
        <w:tc>
          <w:tcPr>
            <w:tcW w:w="704" w:type="pct"/>
            <w:tcBorders>
              <w:top w:val="dashed" w:color="DDDDDD" w:sz="6" w:space="0"/>
              <w:left w:val="nil"/>
              <w:bottom w:val="dashed" w:color="DDDDDD" w:sz="6" w:space="0"/>
              <w:right w:val="dashed" w:color="DDDDDD" w:sz="6" w:space="0"/>
            </w:tcBorders>
            <w:shd w:val="clear" w:color="auto" w:fill="auto"/>
            <w:tcMar>
              <w:top w:w="75" w:type="dxa"/>
              <w:left w:w="150" w:type="dxa"/>
              <w:bottom w:w="75" w:type="dxa"/>
              <w:right w:w="150" w:type="dxa"/>
            </w:tcMar>
            <w:vAlign w:val="center"/>
          </w:tcPr>
          <w:p>
            <w:pPr>
              <w:widowControl/>
              <w:autoSpaceDE w:val="0"/>
              <w:spacing w:line="280" w:lineRule="exact"/>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sz w:val="24"/>
              </w:rPr>
              <w:t>克拉玛依市中心医院2号（清餐）食堂服务外包项目</w:t>
            </w:r>
          </w:p>
        </w:tc>
        <w:tc>
          <w:tcPr>
            <w:tcW w:w="436" w:type="pct"/>
            <w:tcBorders>
              <w:top w:val="dashed" w:color="DDDDDD" w:sz="6" w:space="0"/>
              <w:left w:val="nil"/>
              <w:bottom w:val="dashed" w:color="DDDDDD" w:sz="6" w:space="0"/>
              <w:right w:val="dashed" w:color="DDDDDD" w:sz="6" w:space="0"/>
            </w:tcBorders>
            <w:shd w:val="clear" w:color="auto" w:fill="auto"/>
            <w:tcMar>
              <w:top w:w="75" w:type="dxa"/>
              <w:left w:w="150" w:type="dxa"/>
              <w:bottom w:w="75" w:type="dxa"/>
              <w:right w:w="150" w:type="dxa"/>
            </w:tcMar>
            <w:vAlign w:val="center"/>
          </w:tcPr>
          <w:p>
            <w:pPr>
              <w:widowControl/>
              <w:autoSpaceDE w:val="0"/>
              <w:spacing w:line="280" w:lineRule="exact"/>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w:t>
            </w:r>
          </w:p>
        </w:tc>
        <w:tc>
          <w:tcPr>
            <w:tcW w:w="1013" w:type="pct"/>
            <w:tcBorders>
              <w:top w:val="dashed" w:color="DDDDDD" w:sz="6" w:space="0"/>
              <w:left w:val="nil"/>
              <w:bottom w:val="dashed" w:color="DDDDDD" w:sz="6" w:space="0"/>
              <w:right w:val="dashed" w:color="DDDDDD" w:sz="6" w:space="0"/>
            </w:tcBorders>
            <w:shd w:val="clear" w:color="auto" w:fill="auto"/>
            <w:tcMar>
              <w:top w:w="75" w:type="dxa"/>
              <w:left w:w="150" w:type="dxa"/>
              <w:bottom w:w="75" w:type="dxa"/>
              <w:right w:w="150" w:type="dxa"/>
            </w:tcMar>
            <w:vAlign w:val="center"/>
          </w:tcPr>
          <w:p>
            <w:pPr>
              <w:widowControl/>
              <w:autoSpaceDE w:val="0"/>
              <w:spacing w:line="280" w:lineRule="exact"/>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3000000</w:t>
            </w:r>
          </w:p>
        </w:tc>
        <w:tc>
          <w:tcPr>
            <w:tcW w:w="446" w:type="pct"/>
            <w:tcBorders>
              <w:top w:val="dashed" w:color="DDDDDD" w:sz="6" w:space="0"/>
              <w:left w:val="nil"/>
              <w:bottom w:val="dashed" w:color="DDDDDD" w:sz="6" w:space="0"/>
              <w:right w:val="dashed" w:color="DDDDDD" w:sz="6" w:space="0"/>
            </w:tcBorders>
            <w:shd w:val="clear" w:color="auto" w:fill="auto"/>
            <w:tcMar>
              <w:top w:w="75" w:type="dxa"/>
              <w:left w:w="150" w:type="dxa"/>
              <w:bottom w:w="75" w:type="dxa"/>
              <w:right w:w="150" w:type="dxa"/>
            </w:tcMar>
            <w:vAlign w:val="center"/>
          </w:tcPr>
          <w:p>
            <w:pPr>
              <w:widowControl/>
              <w:autoSpaceDE w:val="0"/>
              <w:spacing w:line="280" w:lineRule="exact"/>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项</w:t>
            </w:r>
          </w:p>
        </w:tc>
        <w:tc>
          <w:tcPr>
            <w:tcW w:w="1232" w:type="pct"/>
            <w:tcBorders>
              <w:top w:val="dashed" w:color="DDDDDD" w:sz="6" w:space="0"/>
              <w:left w:val="nil"/>
              <w:bottom w:val="dashed" w:color="DDDDDD" w:sz="6" w:space="0"/>
              <w:right w:val="dashed" w:color="DDDDDD" w:sz="6" w:space="0"/>
            </w:tcBorders>
            <w:shd w:val="clear" w:color="auto" w:fill="auto"/>
            <w:tcMar>
              <w:top w:w="75" w:type="dxa"/>
              <w:left w:w="150" w:type="dxa"/>
              <w:bottom w:w="75" w:type="dxa"/>
              <w:right w:w="150" w:type="dxa"/>
            </w:tcMar>
            <w:vAlign w:val="center"/>
          </w:tcPr>
          <w:p>
            <w:pPr>
              <w:widowControl/>
              <w:autoSpaceDE w:val="0"/>
              <w:spacing w:line="280" w:lineRule="exact"/>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涉及面积2号食堂490余平米（二楼前厅237平方米，后堂面积194平方米）及2号平房非职工就餐区60平米。</w:t>
            </w:r>
          </w:p>
        </w:tc>
        <w:tc>
          <w:tcPr>
            <w:tcW w:w="436" w:type="pct"/>
            <w:tcBorders>
              <w:top w:val="dashed" w:color="DDDDDD" w:sz="6" w:space="0"/>
              <w:left w:val="nil"/>
              <w:bottom w:val="dashed" w:color="DDDDDD" w:sz="6" w:space="0"/>
              <w:right w:val="dashed" w:color="DDDDDD" w:sz="6" w:space="0"/>
            </w:tcBorders>
            <w:shd w:val="clear" w:color="auto" w:fill="auto"/>
            <w:tcMar>
              <w:top w:w="75" w:type="dxa"/>
              <w:left w:w="150" w:type="dxa"/>
              <w:bottom w:w="75" w:type="dxa"/>
              <w:right w:w="150" w:type="dxa"/>
            </w:tcMar>
            <w:vAlign w:val="center"/>
          </w:tcPr>
          <w:p>
            <w:pPr>
              <w:widowControl/>
              <w:autoSpaceDE w:val="0"/>
              <w:spacing w:line="280" w:lineRule="exact"/>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w:t>
            </w:r>
          </w:p>
        </w:tc>
      </w:tr>
    </w:tbl>
    <w:p>
      <w:pPr>
        <w:widowControl/>
        <w:autoSpaceDE w:val="0"/>
        <w:spacing w:before="75" w:after="75" w:line="280" w:lineRule="exact"/>
        <w:rPr>
          <w:rFonts w:asciiTheme="minorEastAsia" w:hAnsiTheme="minorEastAsia" w:eastAsiaTheme="minorEastAsia" w:cstheme="minorEastAsia"/>
          <w:color w:val="auto"/>
          <w:kern w:val="0"/>
          <w:sz w:val="24"/>
        </w:rPr>
      </w:pPr>
      <w:r>
        <w:rPr>
          <w:rStyle w:val="527"/>
          <w:rFonts w:hint="eastAsia" w:asciiTheme="minorEastAsia" w:hAnsiTheme="minorEastAsia" w:eastAsiaTheme="minorEastAsia" w:cstheme="minorEastAsia"/>
          <w:color w:val="auto"/>
          <w:sz w:val="24"/>
        </w:rPr>
        <w:t>四、   投标供应商资格要求:</w:t>
      </w:r>
    </w:p>
    <w:p>
      <w:pPr>
        <w:widowControl/>
        <w:autoSpaceDE w:val="0"/>
        <w:spacing w:before="75" w:after="75" w:line="280" w:lineRule="exac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xml:space="preserve"> （一）基本资格条件 </w:t>
      </w:r>
    </w:p>
    <w:p>
      <w:pPr>
        <w:widowControl/>
        <w:autoSpaceDE w:val="0"/>
        <w:spacing w:before="75" w:after="75" w:line="280" w:lineRule="exac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xml:space="preserve">1、具有独立承担民事责任的能力； </w:t>
      </w:r>
    </w:p>
    <w:p>
      <w:pPr>
        <w:widowControl/>
        <w:autoSpaceDE w:val="0"/>
        <w:spacing w:before="75" w:after="75" w:line="280" w:lineRule="exac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xml:space="preserve">2、具有良好的商业信誉和健全的财务会计制度； </w:t>
      </w:r>
    </w:p>
    <w:p>
      <w:pPr>
        <w:widowControl/>
        <w:autoSpaceDE w:val="0"/>
        <w:spacing w:before="75" w:after="75" w:line="280" w:lineRule="exac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xml:space="preserve">3、具有履行合同所必需的设备和专业技术能力； </w:t>
      </w:r>
    </w:p>
    <w:p>
      <w:pPr>
        <w:widowControl/>
        <w:autoSpaceDE w:val="0"/>
        <w:spacing w:before="75" w:after="75" w:line="280" w:lineRule="exac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xml:space="preserve">4、有依法缴纳税收和社会保障资金的良好记录； </w:t>
      </w:r>
    </w:p>
    <w:p>
      <w:pPr>
        <w:widowControl/>
        <w:autoSpaceDE w:val="0"/>
        <w:spacing w:before="75" w:after="75" w:line="280" w:lineRule="exac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5、参加政府采购活动前三年内，未因违法经营受到刑事处罚或者责令停产停业、吊销许可证或者执照、较大数额罚款等行政处罚。</w:t>
      </w:r>
    </w:p>
    <w:p>
      <w:pPr>
        <w:widowControl/>
        <w:autoSpaceDE w:val="0"/>
        <w:spacing w:before="75" w:after="75" w:line="280" w:lineRule="exac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(二）</w:t>
      </w:r>
      <w:r>
        <w:rPr>
          <w:rFonts w:hint="eastAsia" w:asciiTheme="minorEastAsia" w:hAnsiTheme="minorEastAsia" w:eastAsiaTheme="minorEastAsia" w:cstheme="minorEastAsia"/>
          <w:color w:val="auto"/>
          <w:sz w:val="24"/>
        </w:rPr>
        <w:t>具有独立法人资格并依法取得企业营业执照及营业执照在有效期内并包含本采购项目相应经营范围</w:t>
      </w:r>
      <w:r>
        <w:rPr>
          <w:rFonts w:hint="eastAsia" w:asciiTheme="minorEastAsia" w:hAnsiTheme="minorEastAsia" w:eastAsiaTheme="minorEastAsia" w:cstheme="minorEastAsia"/>
          <w:color w:val="auto"/>
          <w:kern w:val="0"/>
          <w:sz w:val="24"/>
        </w:rPr>
        <w:t xml:space="preserve">； </w:t>
      </w:r>
    </w:p>
    <w:p>
      <w:pPr>
        <w:widowControl/>
        <w:autoSpaceDE w:val="0"/>
        <w:spacing w:before="75" w:after="75" w:line="280" w:lineRule="exac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(三）</w:t>
      </w:r>
      <w:r>
        <w:rPr>
          <w:rFonts w:hint="eastAsia" w:ascii="宋体" w:hAnsi="宋体" w:cs="宋体"/>
          <w:color w:val="auto"/>
          <w:sz w:val="24"/>
        </w:rPr>
        <w:t>具有在有效期内的《餐饮服务许可证》或《食品经营许可证》；</w:t>
      </w:r>
    </w:p>
    <w:p>
      <w:pPr>
        <w:widowControl/>
        <w:autoSpaceDE w:val="0"/>
        <w:spacing w:before="75" w:after="75" w:line="280" w:lineRule="exac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(四）本项目不接受联合体投标人参加投标。</w:t>
      </w:r>
    </w:p>
    <w:p>
      <w:pPr>
        <w:widowControl/>
        <w:autoSpaceDE w:val="0"/>
        <w:spacing w:before="75" w:after="75" w:line="280" w:lineRule="exact"/>
        <w:rPr>
          <w:rFonts w:asciiTheme="minorEastAsia" w:hAnsiTheme="minorEastAsia" w:eastAsiaTheme="minorEastAsia" w:cstheme="minorEastAsia"/>
          <w:color w:val="auto"/>
          <w:kern w:val="0"/>
          <w:sz w:val="24"/>
        </w:rPr>
      </w:pPr>
      <w:r>
        <w:rPr>
          <w:rStyle w:val="527"/>
          <w:rFonts w:hint="eastAsia" w:asciiTheme="minorEastAsia" w:hAnsiTheme="minorEastAsia" w:eastAsiaTheme="minorEastAsia" w:cstheme="minorEastAsia"/>
          <w:color w:val="auto"/>
          <w:sz w:val="24"/>
        </w:rPr>
        <w:t>五、   招标文件的报名/发售时间、地址、售价:</w:t>
      </w:r>
    </w:p>
    <w:p>
      <w:pPr>
        <w:widowControl/>
        <w:autoSpaceDE w:val="0"/>
        <w:spacing w:before="75" w:after="75" w:line="280" w:lineRule="exact"/>
        <w:rPr>
          <w:rFonts w:asciiTheme="minorEastAsia" w:hAnsiTheme="minorEastAsia" w:eastAsiaTheme="minorEastAsia" w:cstheme="minorEastAsia"/>
          <w:color w:val="auto"/>
          <w:kern w:val="0"/>
          <w:sz w:val="24"/>
        </w:rPr>
      </w:pPr>
      <w:r>
        <w:rPr>
          <w:rStyle w:val="527"/>
          <w:rFonts w:hint="eastAsia" w:asciiTheme="minorEastAsia" w:hAnsiTheme="minorEastAsia" w:eastAsiaTheme="minorEastAsia" w:cstheme="minorEastAsia"/>
          <w:color w:val="auto"/>
          <w:sz w:val="24"/>
        </w:rPr>
        <w:t>1．     报名（发售／获取）时间：</w:t>
      </w:r>
      <w:r>
        <w:rPr>
          <w:rFonts w:hint="eastAsia" w:asciiTheme="minorEastAsia" w:hAnsiTheme="minorEastAsia" w:eastAsiaTheme="minorEastAsia" w:cstheme="minorEastAsia"/>
          <w:color w:val="auto"/>
          <w:kern w:val="0"/>
          <w:sz w:val="24"/>
        </w:rPr>
        <w:t xml:space="preserve"> 2020-04-</w:t>
      </w:r>
      <w:r>
        <w:rPr>
          <w:rFonts w:hint="eastAsia" w:asciiTheme="minorEastAsia" w:hAnsiTheme="minorEastAsia" w:eastAsiaTheme="minorEastAsia" w:cstheme="minorEastAsia"/>
          <w:color w:val="auto"/>
          <w:kern w:val="0"/>
          <w:sz w:val="24"/>
          <w:lang w:val="en-US" w:eastAsia="zh-CN"/>
        </w:rPr>
        <w:t>30</w:t>
      </w:r>
      <w:r>
        <w:rPr>
          <w:rFonts w:hint="eastAsia" w:asciiTheme="minorEastAsia" w:hAnsiTheme="minorEastAsia" w:eastAsiaTheme="minorEastAsia" w:cstheme="minorEastAsia"/>
          <w:color w:val="auto"/>
          <w:kern w:val="0"/>
          <w:sz w:val="24"/>
        </w:rPr>
        <w:t xml:space="preserve">   至 2020-05-</w:t>
      </w:r>
      <w:r>
        <w:rPr>
          <w:rFonts w:hint="eastAsia" w:asciiTheme="minorEastAsia" w:hAnsiTheme="minorEastAsia" w:eastAsiaTheme="minorEastAsia" w:cstheme="minorEastAsia"/>
          <w:color w:val="auto"/>
          <w:kern w:val="0"/>
          <w:sz w:val="24"/>
          <w:lang w:val="en-US" w:eastAsia="zh-CN"/>
        </w:rPr>
        <w:t>19</w:t>
      </w:r>
      <w:r>
        <w:rPr>
          <w:rFonts w:hint="eastAsia" w:asciiTheme="minorEastAsia" w:hAnsiTheme="minorEastAsia" w:eastAsiaTheme="minorEastAsia" w:cstheme="minorEastAsia"/>
          <w:color w:val="auto"/>
          <w:kern w:val="0"/>
          <w:sz w:val="24"/>
        </w:rPr>
        <w:t xml:space="preserve">   19:00:00 </w:t>
      </w:r>
    </w:p>
    <w:p>
      <w:pPr>
        <w:widowControl/>
        <w:autoSpaceDE w:val="0"/>
        <w:spacing w:before="75" w:after="75" w:line="280" w:lineRule="exact"/>
        <w:rPr>
          <w:rFonts w:asciiTheme="minorEastAsia" w:hAnsiTheme="minorEastAsia" w:eastAsiaTheme="minorEastAsia" w:cstheme="minorEastAsia"/>
          <w:color w:val="auto"/>
          <w:kern w:val="0"/>
          <w:sz w:val="24"/>
        </w:rPr>
      </w:pPr>
      <w:r>
        <w:rPr>
          <w:rStyle w:val="527"/>
          <w:rFonts w:hint="eastAsia" w:asciiTheme="minorEastAsia" w:hAnsiTheme="minorEastAsia" w:eastAsiaTheme="minorEastAsia" w:cstheme="minorEastAsia"/>
          <w:color w:val="auto"/>
          <w:sz w:val="24"/>
        </w:rPr>
        <w:t>上午：</w:t>
      </w:r>
      <w:r>
        <w:rPr>
          <w:rFonts w:hint="eastAsia" w:asciiTheme="minorEastAsia" w:hAnsiTheme="minorEastAsia" w:eastAsiaTheme="minorEastAsia" w:cstheme="minorEastAsia"/>
          <w:color w:val="auto"/>
          <w:kern w:val="0"/>
          <w:sz w:val="24"/>
        </w:rPr>
        <w:t xml:space="preserve"> 10:30-13:30</w:t>
      </w:r>
    </w:p>
    <w:p>
      <w:pPr>
        <w:widowControl/>
        <w:autoSpaceDE w:val="0"/>
        <w:spacing w:before="75" w:after="75" w:line="280" w:lineRule="exac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xml:space="preserve"> </w:t>
      </w:r>
      <w:r>
        <w:rPr>
          <w:rStyle w:val="527"/>
          <w:rFonts w:hint="eastAsia" w:asciiTheme="minorEastAsia" w:hAnsiTheme="minorEastAsia" w:eastAsiaTheme="minorEastAsia" w:cstheme="minorEastAsia"/>
          <w:color w:val="auto"/>
          <w:sz w:val="24"/>
        </w:rPr>
        <w:t>下午：</w:t>
      </w:r>
      <w:r>
        <w:rPr>
          <w:rFonts w:hint="eastAsia" w:asciiTheme="minorEastAsia" w:hAnsiTheme="minorEastAsia" w:eastAsiaTheme="minorEastAsia" w:cstheme="minorEastAsia"/>
          <w:color w:val="auto"/>
          <w:kern w:val="0"/>
          <w:sz w:val="24"/>
        </w:rPr>
        <w:t xml:space="preserve"> 16:00-19:00</w:t>
      </w:r>
    </w:p>
    <w:p>
      <w:pPr>
        <w:widowControl/>
        <w:autoSpaceDE w:val="0"/>
        <w:spacing w:before="75" w:after="75" w:line="280" w:lineRule="exac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xml:space="preserve"> </w:t>
      </w:r>
      <w:r>
        <w:rPr>
          <w:rStyle w:val="527"/>
          <w:rFonts w:hint="eastAsia" w:asciiTheme="minorEastAsia" w:hAnsiTheme="minorEastAsia" w:eastAsiaTheme="minorEastAsia" w:cstheme="minorEastAsia"/>
          <w:color w:val="auto"/>
          <w:sz w:val="24"/>
        </w:rPr>
        <w:t>2．报名（发售／获取）地址：</w:t>
      </w:r>
      <w:r>
        <w:rPr>
          <w:rFonts w:hint="eastAsia" w:asciiTheme="minorEastAsia" w:hAnsiTheme="minorEastAsia" w:eastAsiaTheme="minorEastAsia" w:cstheme="minorEastAsia"/>
          <w:color w:val="auto"/>
          <w:kern w:val="0"/>
          <w:sz w:val="24"/>
        </w:rPr>
        <w:t xml:space="preserve">  新疆天麒工程项目管理咨询有限责任公司二楼201室（克拉玛依市通讯路44号） </w:t>
      </w:r>
    </w:p>
    <w:p>
      <w:pPr>
        <w:widowControl/>
        <w:autoSpaceDE w:val="0"/>
        <w:spacing w:before="75" w:after="75" w:line="280" w:lineRule="exact"/>
        <w:rPr>
          <w:rFonts w:asciiTheme="minorEastAsia" w:hAnsiTheme="minorEastAsia" w:eastAsiaTheme="minorEastAsia" w:cstheme="minorEastAsia"/>
          <w:color w:val="auto"/>
          <w:kern w:val="0"/>
          <w:sz w:val="24"/>
        </w:rPr>
      </w:pPr>
      <w:r>
        <w:rPr>
          <w:rStyle w:val="527"/>
          <w:rFonts w:hint="eastAsia" w:asciiTheme="minorEastAsia" w:hAnsiTheme="minorEastAsia" w:eastAsiaTheme="minorEastAsia" w:cstheme="minorEastAsia"/>
          <w:color w:val="auto"/>
          <w:sz w:val="24"/>
        </w:rPr>
        <w:t>3．标书售价(元)：</w:t>
      </w:r>
      <w:r>
        <w:rPr>
          <w:rFonts w:hint="eastAsia" w:asciiTheme="minorEastAsia" w:hAnsiTheme="minorEastAsia" w:eastAsiaTheme="minorEastAsia" w:cstheme="minorEastAsia"/>
          <w:color w:val="auto"/>
          <w:kern w:val="0"/>
          <w:sz w:val="24"/>
        </w:rPr>
        <w:t xml:space="preserve"> 300 </w:t>
      </w:r>
    </w:p>
    <w:p>
      <w:pPr>
        <w:widowControl/>
        <w:autoSpaceDE w:val="0"/>
        <w:spacing w:before="75" w:after="75" w:line="280" w:lineRule="exact"/>
        <w:rPr>
          <w:rFonts w:asciiTheme="minorEastAsia" w:hAnsiTheme="minorEastAsia" w:eastAsiaTheme="minorEastAsia" w:cstheme="minorEastAsia"/>
          <w:color w:val="auto"/>
          <w:kern w:val="0"/>
          <w:sz w:val="24"/>
        </w:rPr>
      </w:pPr>
      <w:r>
        <w:rPr>
          <w:rStyle w:val="527"/>
          <w:rFonts w:hint="eastAsia" w:asciiTheme="minorEastAsia" w:hAnsiTheme="minorEastAsia" w:eastAsiaTheme="minorEastAsia" w:cstheme="minorEastAsia"/>
          <w:color w:val="auto"/>
          <w:sz w:val="24"/>
        </w:rPr>
        <w:t>4．投标人购买标书时应提交的资料：</w:t>
      </w:r>
      <w:r>
        <w:rPr>
          <w:rFonts w:hint="eastAsia" w:asciiTheme="minorEastAsia" w:hAnsiTheme="minorEastAsia" w:eastAsiaTheme="minorEastAsia" w:cstheme="minorEastAsia"/>
          <w:color w:val="auto"/>
          <w:kern w:val="0"/>
          <w:sz w:val="24"/>
        </w:rPr>
        <w:t xml:space="preserve">   </w:t>
      </w:r>
    </w:p>
    <w:p>
      <w:pPr>
        <w:widowControl/>
        <w:autoSpaceDE w:val="0"/>
        <w:spacing w:before="75" w:after="75" w:line="280" w:lineRule="exac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xml:space="preserve">报名：填写《供应商参加政府采购项目报名表》，将《报名表》及文件费交纳凭证扫描件一同发送到邮箱：603781401@qq.com，邮件名称必须为：项目名称+项目编号+供应商名称，未提交报名表及文件费交纳凭证的供应商不得参加采购活动。报名表必须填写完整并加盖公章。 </w:t>
      </w:r>
    </w:p>
    <w:p>
      <w:pPr>
        <w:widowControl/>
        <w:autoSpaceDE w:val="0"/>
        <w:spacing w:before="75" w:after="75" w:line="280" w:lineRule="exact"/>
        <w:rPr>
          <w:rFonts w:asciiTheme="minorEastAsia" w:hAnsiTheme="minorEastAsia" w:eastAsiaTheme="minorEastAsia" w:cstheme="minorEastAsia"/>
          <w:color w:val="auto"/>
          <w:kern w:val="0"/>
          <w:sz w:val="24"/>
        </w:rPr>
      </w:pPr>
      <w:r>
        <w:rPr>
          <w:rStyle w:val="527"/>
          <w:rFonts w:hint="eastAsia" w:asciiTheme="minorEastAsia" w:hAnsiTheme="minorEastAsia" w:eastAsiaTheme="minorEastAsia" w:cstheme="minorEastAsia"/>
          <w:color w:val="auto"/>
          <w:sz w:val="24"/>
        </w:rPr>
        <w:t>六、    投标截止时间：</w:t>
      </w:r>
      <w:r>
        <w:rPr>
          <w:rFonts w:hint="eastAsia" w:asciiTheme="minorEastAsia" w:hAnsiTheme="minorEastAsia" w:eastAsiaTheme="minorEastAsia" w:cstheme="minorEastAsia"/>
          <w:color w:val="auto"/>
          <w:kern w:val="0"/>
          <w:sz w:val="24"/>
        </w:rPr>
        <w:t xml:space="preserve"> 2020-05-</w:t>
      </w:r>
      <w:r>
        <w:rPr>
          <w:rFonts w:hint="eastAsia" w:asciiTheme="minorEastAsia" w:hAnsiTheme="minorEastAsia" w:eastAsiaTheme="minorEastAsia" w:cstheme="minorEastAsia"/>
          <w:color w:val="auto"/>
          <w:kern w:val="0"/>
          <w:sz w:val="24"/>
          <w:lang w:val="en-US" w:eastAsia="zh-CN"/>
        </w:rPr>
        <w:t>21</w:t>
      </w:r>
      <w:r>
        <w:rPr>
          <w:rFonts w:hint="eastAsia" w:asciiTheme="minorEastAsia" w:hAnsiTheme="minorEastAsia" w:eastAsiaTheme="minorEastAsia" w:cstheme="minorEastAsia"/>
          <w:color w:val="auto"/>
          <w:kern w:val="0"/>
          <w:sz w:val="24"/>
        </w:rPr>
        <w:t xml:space="preserve">   11:00:00 </w:t>
      </w:r>
    </w:p>
    <w:p>
      <w:pPr>
        <w:widowControl/>
        <w:autoSpaceDE w:val="0"/>
        <w:spacing w:before="75" w:after="75" w:line="280" w:lineRule="exact"/>
        <w:rPr>
          <w:rFonts w:asciiTheme="minorEastAsia" w:hAnsiTheme="minorEastAsia" w:eastAsiaTheme="minorEastAsia" w:cstheme="minorEastAsia"/>
          <w:color w:val="auto"/>
          <w:kern w:val="0"/>
          <w:sz w:val="24"/>
        </w:rPr>
      </w:pPr>
      <w:r>
        <w:rPr>
          <w:rStyle w:val="527"/>
          <w:rFonts w:hint="eastAsia" w:asciiTheme="minorEastAsia" w:hAnsiTheme="minorEastAsia" w:eastAsiaTheme="minorEastAsia" w:cstheme="minorEastAsia"/>
          <w:color w:val="auto"/>
          <w:sz w:val="24"/>
        </w:rPr>
        <w:t>七、    投标地址：</w:t>
      </w:r>
      <w:r>
        <w:rPr>
          <w:rFonts w:hint="eastAsia" w:asciiTheme="minorEastAsia" w:hAnsiTheme="minorEastAsia" w:eastAsiaTheme="minorEastAsia" w:cstheme="minorEastAsia"/>
          <w:color w:val="auto"/>
          <w:kern w:val="0"/>
          <w:sz w:val="24"/>
        </w:rPr>
        <w:t xml:space="preserve"> 新疆天麒工程项目管理咨询有限责任公司一楼评标室（克拉玛依市通讯路44号） </w:t>
      </w:r>
    </w:p>
    <w:p>
      <w:pPr>
        <w:widowControl/>
        <w:autoSpaceDE w:val="0"/>
        <w:spacing w:before="75" w:after="75" w:line="280" w:lineRule="exact"/>
        <w:rPr>
          <w:rFonts w:asciiTheme="minorEastAsia" w:hAnsiTheme="minorEastAsia" w:eastAsiaTheme="minorEastAsia" w:cstheme="minorEastAsia"/>
          <w:color w:val="auto"/>
          <w:kern w:val="0"/>
          <w:sz w:val="24"/>
        </w:rPr>
      </w:pPr>
      <w:r>
        <w:rPr>
          <w:rStyle w:val="527"/>
          <w:rFonts w:hint="eastAsia" w:asciiTheme="minorEastAsia" w:hAnsiTheme="minorEastAsia" w:eastAsiaTheme="minorEastAsia" w:cstheme="minorEastAsia"/>
          <w:color w:val="auto"/>
          <w:sz w:val="24"/>
        </w:rPr>
        <w:t>八、    开标时间：</w:t>
      </w:r>
      <w:r>
        <w:rPr>
          <w:rFonts w:hint="eastAsia" w:asciiTheme="minorEastAsia" w:hAnsiTheme="minorEastAsia" w:eastAsiaTheme="minorEastAsia" w:cstheme="minorEastAsia"/>
          <w:color w:val="auto"/>
          <w:kern w:val="0"/>
          <w:sz w:val="24"/>
        </w:rPr>
        <w:t xml:space="preserve"> 2020-05-</w:t>
      </w:r>
      <w:r>
        <w:rPr>
          <w:rFonts w:hint="eastAsia" w:asciiTheme="minorEastAsia" w:hAnsiTheme="minorEastAsia" w:eastAsiaTheme="minorEastAsia" w:cstheme="minorEastAsia"/>
          <w:color w:val="auto"/>
          <w:kern w:val="0"/>
          <w:sz w:val="24"/>
          <w:lang w:val="en-US" w:eastAsia="zh-CN"/>
        </w:rPr>
        <w:t>21</w:t>
      </w:r>
      <w:r>
        <w:rPr>
          <w:rFonts w:hint="eastAsia" w:asciiTheme="minorEastAsia" w:hAnsiTheme="minorEastAsia" w:eastAsiaTheme="minorEastAsia" w:cstheme="minorEastAsia"/>
          <w:color w:val="auto"/>
          <w:kern w:val="0"/>
          <w:sz w:val="24"/>
        </w:rPr>
        <w:t xml:space="preserve">   11:00:00 </w:t>
      </w:r>
    </w:p>
    <w:p>
      <w:pPr>
        <w:widowControl/>
        <w:autoSpaceDE w:val="0"/>
        <w:spacing w:before="75" w:after="75" w:line="280" w:lineRule="exact"/>
        <w:rPr>
          <w:rFonts w:asciiTheme="minorEastAsia" w:hAnsiTheme="minorEastAsia" w:eastAsiaTheme="minorEastAsia" w:cstheme="minorEastAsia"/>
          <w:color w:val="auto"/>
          <w:kern w:val="0"/>
          <w:sz w:val="24"/>
        </w:rPr>
      </w:pPr>
      <w:r>
        <w:rPr>
          <w:rStyle w:val="527"/>
          <w:rFonts w:hint="eastAsia" w:asciiTheme="minorEastAsia" w:hAnsiTheme="minorEastAsia" w:eastAsiaTheme="minorEastAsia" w:cstheme="minorEastAsia"/>
          <w:color w:val="auto"/>
          <w:sz w:val="24"/>
        </w:rPr>
        <w:t>九、    开标地址：</w:t>
      </w:r>
      <w:r>
        <w:rPr>
          <w:rFonts w:hint="eastAsia" w:asciiTheme="minorEastAsia" w:hAnsiTheme="minorEastAsia" w:eastAsiaTheme="minorEastAsia" w:cstheme="minorEastAsia"/>
          <w:color w:val="auto"/>
          <w:kern w:val="0"/>
          <w:sz w:val="24"/>
        </w:rPr>
        <w:t xml:space="preserve"> 新疆天麒工程项目管理咨询有限责任公司一楼评标室（克拉玛依市通讯路44号） </w:t>
      </w:r>
    </w:p>
    <w:p>
      <w:pPr>
        <w:widowControl/>
        <w:autoSpaceDE w:val="0"/>
        <w:spacing w:before="75" w:after="75" w:line="280" w:lineRule="exact"/>
        <w:rPr>
          <w:rStyle w:val="527"/>
          <w:rFonts w:asciiTheme="minorEastAsia" w:hAnsiTheme="minorEastAsia" w:eastAsiaTheme="minorEastAsia" w:cstheme="minorEastAsia"/>
          <w:color w:val="auto"/>
          <w:sz w:val="24"/>
        </w:rPr>
      </w:pPr>
      <w:r>
        <w:rPr>
          <w:rStyle w:val="527"/>
          <w:rFonts w:hint="eastAsia" w:asciiTheme="minorEastAsia" w:hAnsiTheme="minorEastAsia" w:eastAsiaTheme="minorEastAsia" w:cstheme="minorEastAsia"/>
          <w:color w:val="auto"/>
          <w:sz w:val="24"/>
        </w:rPr>
        <w:t>十、    投标保证金：</w:t>
      </w:r>
    </w:p>
    <w:tbl>
      <w:tblPr>
        <w:tblStyle w:val="58"/>
        <w:tblW w:w="10367" w:type="dxa"/>
        <w:tblInd w:w="-82" w:type="dxa"/>
        <w:tblLayout w:type="fixed"/>
        <w:tblCellMar>
          <w:top w:w="15" w:type="dxa"/>
          <w:left w:w="15" w:type="dxa"/>
          <w:bottom w:w="15" w:type="dxa"/>
          <w:right w:w="15" w:type="dxa"/>
        </w:tblCellMar>
      </w:tblPr>
      <w:tblGrid>
        <w:gridCol w:w="874"/>
        <w:gridCol w:w="2226"/>
        <w:gridCol w:w="1775"/>
        <w:gridCol w:w="2042"/>
        <w:gridCol w:w="1886"/>
        <w:gridCol w:w="896"/>
        <w:gridCol w:w="668"/>
      </w:tblGrid>
      <w:tr>
        <w:tblPrEx>
          <w:tblCellMar>
            <w:top w:w="15" w:type="dxa"/>
            <w:left w:w="15" w:type="dxa"/>
            <w:bottom w:w="15" w:type="dxa"/>
            <w:right w:w="15" w:type="dxa"/>
          </w:tblCellMar>
        </w:tblPrEx>
        <w:tc>
          <w:tcPr>
            <w:tcW w:w="874" w:type="dxa"/>
            <w:tcBorders>
              <w:top w:val="dashed" w:color="DDDDDD" w:sz="6" w:space="0"/>
              <w:left w:val="dashed" w:color="DDDDDD" w:sz="6" w:space="0"/>
              <w:bottom w:val="dashed" w:color="DDDDDD" w:sz="6" w:space="0"/>
              <w:right w:val="dashed" w:color="DDDDDD" w:sz="6" w:space="0"/>
            </w:tcBorders>
            <w:noWrap/>
            <w:tcMar>
              <w:top w:w="75" w:type="dxa"/>
              <w:left w:w="150" w:type="dxa"/>
              <w:bottom w:w="75" w:type="dxa"/>
              <w:right w:w="150" w:type="dxa"/>
            </w:tcMar>
            <w:vAlign w:val="center"/>
          </w:tcPr>
          <w:p>
            <w:pPr>
              <w:pStyle w:val="52"/>
              <w:spacing w:before="75" w:beforeAutospacing="0" w:after="75" w:afterAutospacing="0" w:line="280" w:lineRule="exact"/>
              <w:rPr>
                <w:rFonts w:cs="宋体"/>
                <w:color w:val="auto"/>
              </w:rPr>
            </w:pPr>
            <w:r>
              <w:rPr>
                <w:rFonts w:hint="eastAsia" w:cs="宋体"/>
                <w:color w:val="auto"/>
              </w:rPr>
              <w:t>序号</w:t>
            </w:r>
          </w:p>
        </w:tc>
        <w:tc>
          <w:tcPr>
            <w:tcW w:w="2226" w:type="dxa"/>
            <w:tcBorders>
              <w:top w:val="dashed" w:color="DDDDDD" w:sz="6" w:space="0"/>
              <w:left w:val="dashed" w:color="DDDDDD" w:sz="6" w:space="0"/>
              <w:bottom w:val="dashed" w:color="DDDDDD" w:sz="6" w:space="0"/>
              <w:right w:val="dashed" w:color="DDDDDD" w:sz="6" w:space="0"/>
            </w:tcBorders>
            <w:noWrap/>
            <w:tcMar>
              <w:top w:w="75" w:type="dxa"/>
              <w:left w:w="150" w:type="dxa"/>
              <w:bottom w:w="75" w:type="dxa"/>
              <w:right w:w="150" w:type="dxa"/>
            </w:tcMar>
            <w:vAlign w:val="center"/>
          </w:tcPr>
          <w:p>
            <w:pPr>
              <w:widowControl/>
              <w:spacing w:line="280" w:lineRule="exact"/>
              <w:jc w:val="center"/>
              <w:rPr>
                <w:rFonts w:ascii="宋体" w:hAnsi="宋体" w:cs="宋体"/>
                <w:color w:val="auto"/>
                <w:sz w:val="24"/>
              </w:rPr>
            </w:pPr>
            <w:r>
              <w:rPr>
                <w:rFonts w:hint="eastAsia" w:ascii="宋体" w:hAnsi="宋体" w:cs="宋体"/>
                <w:color w:val="auto"/>
                <w:kern w:val="0"/>
                <w:sz w:val="24"/>
              </w:rPr>
              <w:t>标项名称</w:t>
            </w:r>
          </w:p>
        </w:tc>
        <w:tc>
          <w:tcPr>
            <w:tcW w:w="1775" w:type="dxa"/>
            <w:tcBorders>
              <w:top w:val="dashed" w:color="DDDDDD" w:sz="6" w:space="0"/>
              <w:left w:val="dashed" w:color="DDDDDD" w:sz="6" w:space="0"/>
              <w:bottom w:val="dashed" w:color="DDDDDD" w:sz="6" w:space="0"/>
              <w:right w:val="dashed" w:color="DDDDDD" w:sz="6" w:space="0"/>
            </w:tcBorders>
            <w:noWrap/>
            <w:tcMar>
              <w:top w:w="75" w:type="dxa"/>
              <w:left w:w="150" w:type="dxa"/>
              <w:bottom w:w="75" w:type="dxa"/>
              <w:right w:w="150" w:type="dxa"/>
            </w:tcMar>
            <w:vAlign w:val="center"/>
          </w:tcPr>
          <w:p>
            <w:pPr>
              <w:widowControl/>
              <w:spacing w:line="280" w:lineRule="exact"/>
              <w:jc w:val="center"/>
              <w:rPr>
                <w:rFonts w:ascii="宋体" w:hAnsi="宋体" w:cs="宋体"/>
                <w:color w:val="auto"/>
                <w:sz w:val="24"/>
              </w:rPr>
            </w:pPr>
            <w:r>
              <w:rPr>
                <w:rFonts w:hint="eastAsia" w:ascii="宋体" w:hAnsi="宋体" w:cs="宋体"/>
                <w:color w:val="auto"/>
                <w:kern w:val="0"/>
                <w:sz w:val="24"/>
              </w:rPr>
              <w:t>投标保证金金额（元）</w:t>
            </w:r>
          </w:p>
        </w:tc>
        <w:tc>
          <w:tcPr>
            <w:tcW w:w="2042" w:type="dxa"/>
            <w:tcBorders>
              <w:top w:val="dashed" w:color="DDDDDD" w:sz="6" w:space="0"/>
              <w:left w:val="dashed" w:color="DDDDDD" w:sz="6" w:space="0"/>
              <w:bottom w:val="dashed" w:color="DDDDDD" w:sz="6" w:space="0"/>
              <w:right w:val="dashed" w:color="DDDDDD" w:sz="6" w:space="0"/>
            </w:tcBorders>
            <w:noWrap/>
            <w:tcMar>
              <w:top w:w="75" w:type="dxa"/>
              <w:left w:w="150" w:type="dxa"/>
              <w:bottom w:w="75" w:type="dxa"/>
              <w:right w:w="150" w:type="dxa"/>
            </w:tcMar>
            <w:vAlign w:val="center"/>
          </w:tcPr>
          <w:p>
            <w:pPr>
              <w:widowControl/>
              <w:spacing w:line="280" w:lineRule="exact"/>
              <w:jc w:val="center"/>
              <w:rPr>
                <w:rFonts w:ascii="宋体" w:hAnsi="宋体" w:cs="宋体"/>
                <w:color w:val="auto"/>
                <w:sz w:val="24"/>
              </w:rPr>
            </w:pPr>
            <w:r>
              <w:rPr>
                <w:rFonts w:hint="eastAsia" w:ascii="宋体" w:hAnsi="宋体" w:cs="宋体"/>
                <w:color w:val="auto"/>
                <w:kern w:val="0"/>
                <w:sz w:val="24"/>
              </w:rPr>
              <w:t>开户银行</w:t>
            </w:r>
          </w:p>
        </w:tc>
        <w:tc>
          <w:tcPr>
            <w:tcW w:w="1886" w:type="dxa"/>
            <w:tcBorders>
              <w:top w:val="dashed" w:color="DDDDDD" w:sz="6" w:space="0"/>
              <w:left w:val="dashed" w:color="DDDDDD" w:sz="6" w:space="0"/>
              <w:bottom w:val="dashed" w:color="DDDDDD" w:sz="6" w:space="0"/>
              <w:right w:val="dashed" w:color="DDDDDD" w:sz="6" w:space="0"/>
            </w:tcBorders>
            <w:noWrap/>
            <w:tcMar>
              <w:top w:w="75" w:type="dxa"/>
              <w:left w:w="150" w:type="dxa"/>
              <w:bottom w:w="75" w:type="dxa"/>
              <w:right w:w="150" w:type="dxa"/>
            </w:tcMar>
            <w:vAlign w:val="center"/>
          </w:tcPr>
          <w:p>
            <w:pPr>
              <w:widowControl/>
              <w:spacing w:line="280" w:lineRule="exact"/>
              <w:jc w:val="center"/>
              <w:rPr>
                <w:rFonts w:ascii="宋体" w:hAnsi="宋体" w:cs="宋体"/>
                <w:color w:val="auto"/>
                <w:sz w:val="24"/>
              </w:rPr>
            </w:pPr>
            <w:r>
              <w:rPr>
                <w:rFonts w:hint="eastAsia" w:ascii="宋体" w:hAnsi="宋体" w:cs="宋体"/>
                <w:color w:val="auto"/>
                <w:kern w:val="0"/>
                <w:sz w:val="24"/>
              </w:rPr>
              <w:t>收款账号</w:t>
            </w:r>
          </w:p>
        </w:tc>
        <w:tc>
          <w:tcPr>
            <w:tcW w:w="896" w:type="dxa"/>
            <w:tcBorders>
              <w:top w:val="dashed" w:color="DDDDDD" w:sz="6" w:space="0"/>
              <w:left w:val="dashed" w:color="DDDDDD" w:sz="6" w:space="0"/>
              <w:bottom w:val="dashed" w:color="DDDDDD" w:sz="6" w:space="0"/>
              <w:right w:val="dashed" w:color="DDDDDD" w:sz="6" w:space="0"/>
            </w:tcBorders>
            <w:noWrap/>
            <w:tcMar>
              <w:top w:w="75" w:type="dxa"/>
              <w:left w:w="150" w:type="dxa"/>
              <w:bottom w:w="75" w:type="dxa"/>
              <w:right w:w="150" w:type="dxa"/>
            </w:tcMar>
            <w:vAlign w:val="center"/>
          </w:tcPr>
          <w:p>
            <w:pPr>
              <w:widowControl/>
              <w:spacing w:line="280" w:lineRule="exact"/>
              <w:jc w:val="center"/>
              <w:rPr>
                <w:rFonts w:ascii="宋体" w:hAnsi="宋体" w:cs="宋体"/>
                <w:color w:val="auto"/>
                <w:sz w:val="24"/>
              </w:rPr>
            </w:pPr>
            <w:r>
              <w:rPr>
                <w:rFonts w:hint="eastAsia" w:ascii="宋体" w:hAnsi="宋体" w:cs="宋体"/>
                <w:color w:val="auto"/>
                <w:kern w:val="0"/>
                <w:sz w:val="24"/>
              </w:rPr>
              <w:t>交付方式</w:t>
            </w:r>
          </w:p>
        </w:tc>
        <w:tc>
          <w:tcPr>
            <w:tcW w:w="668" w:type="dxa"/>
            <w:tcBorders>
              <w:top w:val="dashed" w:color="DDDDDD" w:sz="6" w:space="0"/>
              <w:left w:val="dashed" w:color="DDDDDD" w:sz="6" w:space="0"/>
              <w:bottom w:val="dashed" w:color="DDDDDD" w:sz="6" w:space="0"/>
              <w:right w:val="dashed" w:color="DDDDDD" w:sz="6" w:space="0"/>
            </w:tcBorders>
            <w:noWrap/>
            <w:tcMar>
              <w:top w:w="75" w:type="dxa"/>
              <w:left w:w="150" w:type="dxa"/>
              <w:bottom w:w="75" w:type="dxa"/>
              <w:right w:w="150" w:type="dxa"/>
            </w:tcMar>
            <w:vAlign w:val="center"/>
          </w:tcPr>
          <w:p>
            <w:pPr>
              <w:widowControl/>
              <w:spacing w:line="280" w:lineRule="exact"/>
              <w:jc w:val="center"/>
              <w:rPr>
                <w:rFonts w:ascii="宋体" w:hAnsi="宋体" w:cs="宋体"/>
                <w:color w:val="auto"/>
                <w:sz w:val="24"/>
              </w:rPr>
            </w:pPr>
            <w:r>
              <w:rPr>
                <w:rFonts w:hint="eastAsia" w:ascii="宋体" w:hAnsi="宋体" w:cs="宋体"/>
                <w:color w:val="auto"/>
                <w:kern w:val="0"/>
                <w:sz w:val="24"/>
              </w:rPr>
              <w:t>备注</w:t>
            </w:r>
          </w:p>
        </w:tc>
      </w:tr>
      <w:tr>
        <w:tblPrEx>
          <w:tblCellMar>
            <w:top w:w="15" w:type="dxa"/>
            <w:left w:w="15" w:type="dxa"/>
            <w:bottom w:w="15" w:type="dxa"/>
            <w:right w:w="15" w:type="dxa"/>
          </w:tblCellMar>
        </w:tblPrEx>
        <w:tc>
          <w:tcPr>
            <w:tcW w:w="874" w:type="dxa"/>
            <w:tcBorders>
              <w:top w:val="dashed" w:color="DDDDDD" w:sz="6" w:space="0"/>
              <w:left w:val="dashed" w:color="DDDDDD" w:sz="6" w:space="0"/>
              <w:bottom w:val="dashed" w:color="DDDDDD" w:sz="6" w:space="0"/>
              <w:right w:val="dashed" w:color="DDDDDD" w:sz="6" w:space="0"/>
            </w:tcBorders>
            <w:noWrap/>
            <w:tcMar>
              <w:top w:w="75" w:type="dxa"/>
              <w:left w:w="150" w:type="dxa"/>
              <w:bottom w:w="75" w:type="dxa"/>
              <w:right w:w="150" w:type="dxa"/>
            </w:tcMar>
            <w:vAlign w:val="center"/>
          </w:tcPr>
          <w:p>
            <w:pPr>
              <w:widowControl/>
              <w:spacing w:line="280" w:lineRule="exact"/>
              <w:jc w:val="center"/>
              <w:rPr>
                <w:rFonts w:ascii="宋体" w:hAnsi="宋体" w:cs="宋体"/>
                <w:color w:val="auto"/>
                <w:sz w:val="24"/>
              </w:rPr>
            </w:pPr>
            <w:r>
              <w:rPr>
                <w:rFonts w:hint="eastAsia" w:ascii="宋体" w:hAnsi="宋体" w:cs="宋体"/>
                <w:color w:val="auto"/>
                <w:kern w:val="0"/>
                <w:sz w:val="24"/>
              </w:rPr>
              <w:t>1</w:t>
            </w:r>
          </w:p>
        </w:tc>
        <w:tc>
          <w:tcPr>
            <w:tcW w:w="2226" w:type="dxa"/>
            <w:tcBorders>
              <w:top w:val="dashed" w:color="DDDDDD" w:sz="6" w:space="0"/>
              <w:left w:val="dashed" w:color="DDDDDD" w:sz="6" w:space="0"/>
              <w:bottom w:val="dashed" w:color="DDDDDD" w:sz="6" w:space="0"/>
              <w:right w:val="dashed" w:color="DDDDDD" w:sz="6" w:space="0"/>
            </w:tcBorders>
            <w:noWrap/>
            <w:tcMar>
              <w:top w:w="75" w:type="dxa"/>
              <w:left w:w="150" w:type="dxa"/>
              <w:bottom w:w="75" w:type="dxa"/>
              <w:right w:w="150" w:type="dxa"/>
            </w:tcMar>
            <w:vAlign w:val="center"/>
          </w:tcPr>
          <w:p>
            <w:pPr>
              <w:widowControl/>
              <w:spacing w:line="280" w:lineRule="exact"/>
              <w:jc w:val="center"/>
              <w:rPr>
                <w:rFonts w:ascii="宋体" w:hAnsi="宋体" w:cs="宋体"/>
                <w:color w:val="auto"/>
                <w:sz w:val="24"/>
              </w:rPr>
            </w:pPr>
            <w:r>
              <w:rPr>
                <w:rFonts w:hint="eastAsia" w:asciiTheme="minorEastAsia" w:hAnsiTheme="minorEastAsia" w:eastAsiaTheme="minorEastAsia" w:cstheme="minorEastAsia"/>
                <w:color w:val="auto"/>
                <w:sz w:val="24"/>
              </w:rPr>
              <w:t>克拉玛依市中心医院1号（汉餐）、2号（清餐）食堂服务外包项目</w:t>
            </w:r>
          </w:p>
        </w:tc>
        <w:tc>
          <w:tcPr>
            <w:tcW w:w="1775" w:type="dxa"/>
            <w:tcBorders>
              <w:top w:val="dashed" w:color="DDDDDD" w:sz="6" w:space="0"/>
              <w:left w:val="dashed" w:color="DDDDDD" w:sz="6" w:space="0"/>
              <w:bottom w:val="dashed" w:color="DDDDDD" w:sz="6" w:space="0"/>
              <w:right w:val="dashed" w:color="DDDDDD" w:sz="6" w:space="0"/>
            </w:tcBorders>
            <w:noWrap/>
            <w:tcMar>
              <w:top w:w="75" w:type="dxa"/>
              <w:left w:w="150" w:type="dxa"/>
              <w:bottom w:w="75" w:type="dxa"/>
              <w:right w:w="150" w:type="dxa"/>
            </w:tcMar>
            <w:vAlign w:val="center"/>
          </w:tcPr>
          <w:p>
            <w:pPr>
              <w:widowControl/>
              <w:spacing w:line="280" w:lineRule="exact"/>
              <w:jc w:val="center"/>
              <w:rPr>
                <w:rFonts w:ascii="宋体" w:hAnsi="宋体" w:cs="宋体"/>
                <w:color w:val="auto"/>
                <w:sz w:val="24"/>
              </w:rPr>
            </w:pPr>
            <w:r>
              <w:rPr>
                <w:rFonts w:hint="eastAsia" w:ascii="宋体" w:hAnsi="宋体" w:cs="宋体"/>
                <w:color w:val="auto"/>
                <w:kern w:val="0"/>
                <w:sz w:val="24"/>
              </w:rPr>
              <w:t>60000</w:t>
            </w:r>
          </w:p>
        </w:tc>
        <w:tc>
          <w:tcPr>
            <w:tcW w:w="2042" w:type="dxa"/>
            <w:tcBorders>
              <w:top w:val="dashed" w:color="DDDDDD" w:sz="6" w:space="0"/>
              <w:left w:val="dashed" w:color="DDDDDD" w:sz="6" w:space="0"/>
              <w:bottom w:val="dashed" w:color="DDDDDD" w:sz="6" w:space="0"/>
              <w:right w:val="dashed" w:color="DDDDDD" w:sz="6" w:space="0"/>
            </w:tcBorders>
            <w:noWrap/>
            <w:tcMar>
              <w:top w:w="75" w:type="dxa"/>
              <w:left w:w="150" w:type="dxa"/>
              <w:bottom w:w="75" w:type="dxa"/>
              <w:right w:w="150" w:type="dxa"/>
            </w:tcMar>
            <w:vAlign w:val="center"/>
          </w:tcPr>
          <w:p>
            <w:pPr>
              <w:widowControl/>
              <w:spacing w:line="280" w:lineRule="exact"/>
              <w:jc w:val="center"/>
              <w:rPr>
                <w:rFonts w:ascii="宋体" w:hAnsi="宋体" w:cs="宋体"/>
                <w:color w:val="auto"/>
                <w:sz w:val="24"/>
              </w:rPr>
            </w:pPr>
            <w:r>
              <w:rPr>
                <w:rFonts w:hint="eastAsia" w:ascii="宋体" w:hAnsi="宋体" w:cs="宋体"/>
                <w:color w:val="auto"/>
                <w:kern w:val="0"/>
                <w:sz w:val="24"/>
              </w:rPr>
              <w:t>中国工商银行克拉玛依石油分行</w:t>
            </w:r>
          </w:p>
        </w:tc>
        <w:tc>
          <w:tcPr>
            <w:tcW w:w="1886" w:type="dxa"/>
            <w:tcBorders>
              <w:top w:val="dashed" w:color="DDDDDD" w:sz="6" w:space="0"/>
              <w:left w:val="dashed" w:color="DDDDDD" w:sz="6" w:space="0"/>
              <w:bottom w:val="dashed" w:color="DDDDDD" w:sz="6" w:space="0"/>
              <w:right w:val="dashed" w:color="DDDDDD" w:sz="6" w:space="0"/>
            </w:tcBorders>
            <w:noWrap/>
            <w:tcMar>
              <w:top w:w="75" w:type="dxa"/>
              <w:left w:w="150" w:type="dxa"/>
              <w:bottom w:w="75" w:type="dxa"/>
              <w:right w:w="150" w:type="dxa"/>
            </w:tcMar>
            <w:vAlign w:val="center"/>
          </w:tcPr>
          <w:p>
            <w:pPr>
              <w:widowControl/>
              <w:spacing w:line="280" w:lineRule="exact"/>
              <w:jc w:val="center"/>
              <w:rPr>
                <w:rFonts w:ascii="宋体" w:hAnsi="宋体" w:cs="宋体"/>
                <w:color w:val="auto"/>
                <w:sz w:val="24"/>
              </w:rPr>
            </w:pPr>
            <w:r>
              <w:rPr>
                <w:rFonts w:hint="eastAsia" w:ascii="宋体" w:hAnsi="宋体" w:cs="宋体"/>
                <w:color w:val="auto"/>
                <w:kern w:val="0"/>
                <w:sz w:val="24"/>
              </w:rPr>
              <w:t>3003 0202 0902 4539 038</w:t>
            </w:r>
          </w:p>
        </w:tc>
        <w:tc>
          <w:tcPr>
            <w:tcW w:w="896" w:type="dxa"/>
            <w:tcBorders>
              <w:top w:val="dashed" w:color="DDDDDD" w:sz="6" w:space="0"/>
              <w:left w:val="dashed" w:color="DDDDDD" w:sz="6" w:space="0"/>
              <w:bottom w:val="dashed" w:color="DDDDDD" w:sz="6" w:space="0"/>
              <w:right w:val="dashed" w:color="DDDDDD" w:sz="6" w:space="0"/>
            </w:tcBorders>
            <w:noWrap/>
            <w:tcMar>
              <w:top w:w="75" w:type="dxa"/>
              <w:left w:w="150" w:type="dxa"/>
              <w:bottom w:w="75" w:type="dxa"/>
              <w:right w:w="150" w:type="dxa"/>
            </w:tcMar>
            <w:vAlign w:val="center"/>
          </w:tcPr>
          <w:p>
            <w:pPr>
              <w:widowControl/>
              <w:spacing w:line="280" w:lineRule="exact"/>
              <w:jc w:val="center"/>
              <w:rPr>
                <w:rFonts w:ascii="宋体" w:hAnsi="宋体" w:cs="宋体"/>
                <w:color w:val="auto"/>
                <w:sz w:val="24"/>
              </w:rPr>
            </w:pPr>
            <w:r>
              <w:rPr>
                <w:rFonts w:hint="eastAsia" w:ascii="宋体" w:hAnsi="宋体" w:cs="宋体"/>
                <w:color w:val="auto"/>
                <w:kern w:val="0"/>
                <w:sz w:val="24"/>
              </w:rPr>
              <w:t>/</w:t>
            </w:r>
          </w:p>
        </w:tc>
        <w:tc>
          <w:tcPr>
            <w:tcW w:w="668" w:type="dxa"/>
            <w:tcBorders>
              <w:top w:val="dashed" w:color="DDDDDD" w:sz="6" w:space="0"/>
              <w:left w:val="dashed" w:color="DDDDDD" w:sz="6" w:space="0"/>
              <w:bottom w:val="dashed" w:color="DDDDDD" w:sz="6" w:space="0"/>
              <w:right w:val="dashed" w:color="DDDDDD" w:sz="6" w:space="0"/>
            </w:tcBorders>
            <w:noWrap/>
            <w:tcMar>
              <w:top w:w="75" w:type="dxa"/>
              <w:left w:w="150" w:type="dxa"/>
              <w:bottom w:w="75" w:type="dxa"/>
              <w:right w:w="150" w:type="dxa"/>
            </w:tcMar>
            <w:vAlign w:val="center"/>
          </w:tcPr>
          <w:p>
            <w:pPr>
              <w:widowControl/>
              <w:spacing w:line="280" w:lineRule="exact"/>
              <w:jc w:val="center"/>
              <w:rPr>
                <w:rFonts w:ascii="宋体" w:hAnsi="宋体" w:cs="宋体"/>
                <w:color w:val="auto"/>
                <w:sz w:val="24"/>
              </w:rPr>
            </w:pPr>
            <w:r>
              <w:rPr>
                <w:rFonts w:hint="eastAsia" w:ascii="宋体" w:hAnsi="宋体" w:cs="宋体"/>
                <w:color w:val="auto"/>
                <w:kern w:val="0"/>
                <w:sz w:val="24"/>
              </w:rPr>
              <w:t>/</w:t>
            </w:r>
          </w:p>
        </w:tc>
      </w:tr>
    </w:tbl>
    <w:p>
      <w:pPr>
        <w:widowControl/>
        <w:autoSpaceDE w:val="0"/>
        <w:spacing w:before="75" w:after="75" w:line="280" w:lineRule="exact"/>
        <w:rPr>
          <w:rStyle w:val="527"/>
          <w:rFonts w:asciiTheme="minorEastAsia" w:hAnsiTheme="minorEastAsia" w:eastAsiaTheme="minorEastAsia" w:cstheme="minorEastAsia"/>
          <w:color w:val="auto"/>
          <w:sz w:val="24"/>
        </w:rPr>
      </w:pPr>
    </w:p>
    <w:p>
      <w:pPr>
        <w:widowControl/>
        <w:autoSpaceDE w:val="0"/>
        <w:spacing w:before="75" w:after="75" w:line="280" w:lineRule="exact"/>
        <w:rPr>
          <w:rFonts w:asciiTheme="minorEastAsia" w:hAnsiTheme="minorEastAsia" w:eastAsiaTheme="minorEastAsia" w:cstheme="minorEastAsia"/>
          <w:color w:val="auto"/>
          <w:kern w:val="0"/>
          <w:sz w:val="24"/>
        </w:rPr>
      </w:pPr>
      <w:r>
        <w:rPr>
          <w:rStyle w:val="527"/>
          <w:rFonts w:hint="eastAsia" w:asciiTheme="minorEastAsia" w:hAnsiTheme="minorEastAsia" w:eastAsiaTheme="minorEastAsia" w:cstheme="minorEastAsia"/>
          <w:color w:val="auto"/>
          <w:sz w:val="24"/>
        </w:rPr>
        <w:t>十一、      其他事项：</w:t>
      </w:r>
    </w:p>
    <w:p>
      <w:pPr>
        <w:widowControl/>
        <w:autoSpaceDE w:val="0"/>
        <w:spacing w:before="75" w:after="75" w:line="280" w:lineRule="exac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分散采购限额标准以上的项目，质疑供应商对采购人、采购代理机构的答复不满意或者采购人、采购代理机构未在规定的时间内作出答复的，可以在答复期满后十五个工作日内向同级政府采购监督管理部门投诉。</w:t>
      </w:r>
    </w:p>
    <w:p>
      <w:pPr>
        <w:widowControl/>
        <w:autoSpaceDE w:val="0"/>
        <w:spacing w:before="75" w:after="75" w:line="280" w:lineRule="exact"/>
        <w:rPr>
          <w:rFonts w:asciiTheme="minorEastAsia" w:hAnsiTheme="minorEastAsia" w:eastAsiaTheme="minorEastAsia" w:cstheme="minorEastAsia"/>
          <w:color w:val="auto"/>
          <w:kern w:val="0"/>
          <w:sz w:val="24"/>
        </w:rPr>
      </w:pPr>
      <w:r>
        <w:rPr>
          <w:rStyle w:val="527"/>
          <w:rFonts w:hint="eastAsia" w:asciiTheme="minorEastAsia" w:hAnsiTheme="minorEastAsia" w:eastAsiaTheme="minorEastAsia" w:cstheme="minorEastAsia"/>
          <w:color w:val="auto"/>
          <w:sz w:val="24"/>
        </w:rPr>
        <w:t>2、采购项目需要落实的政府采购政策</w:t>
      </w:r>
    </w:p>
    <w:p>
      <w:pPr>
        <w:widowControl/>
        <w:autoSpaceDE w:val="0"/>
        <w:spacing w:before="75" w:after="75" w:line="280" w:lineRule="exac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xml:space="preserve">     无 </w:t>
      </w:r>
    </w:p>
    <w:p>
      <w:pPr>
        <w:widowControl/>
        <w:autoSpaceDE w:val="0"/>
        <w:spacing w:before="75" w:after="75" w:line="280" w:lineRule="exact"/>
        <w:rPr>
          <w:rFonts w:asciiTheme="minorEastAsia" w:hAnsiTheme="minorEastAsia" w:eastAsiaTheme="minorEastAsia" w:cstheme="minorEastAsia"/>
          <w:color w:val="auto"/>
          <w:kern w:val="0"/>
          <w:sz w:val="24"/>
        </w:rPr>
      </w:pPr>
      <w:r>
        <w:rPr>
          <w:rStyle w:val="527"/>
          <w:rFonts w:hint="eastAsia" w:asciiTheme="minorEastAsia" w:hAnsiTheme="minorEastAsia" w:eastAsiaTheme="minorEastAsia" w:cstheme="minorEastAsia"/>
          <w:color w:val="auto"/>
          <w:sz w:val="24"/>
        </w:rPr>
        <w:t>3、其他事项</w:t>
      </w:r>
    </w:p>
    <w:p>
      <w:pPr>
        <w:widowControl/>
        <w:autoSpaceDE w:val="0"/>
        <w:spacing w:before="75" w:after="75" w:line="280" w:lineRule="exac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xml:space="preserve">     无</w:t>
      </w:r>
    </w:p>
    <w:p>
      <w:pPr>
        <w:widowControl/>
        <w:autoSpaceDE w:val="0"/>
        <w:spacing w:before="75" w:after="75" w:line="280" w:lineRule="exact"/>
        <w:rPr>
          <w:rFonts w:asciiTheme="minorEastAsia" w:hAnsiTheme="minorEastAsia" w:eastAsiaTheme="minorEastAsia" w:cstheme="minorEastAsia"/>
          <w:color w:val="auto"/>
          <w:kern w:val="0"/>
          <w:sz w:val="24"/>
        </w:rPr>
      </w:pPr>
      <w:r>
        <w:rPr>
          <w:rStyle w:val="527"/>
          <w:rFonts w:hint="eastAsia" w:asciiTheme="minorEastAsia" w:hAnsiTheme="minorEastAsia" w:eastAsiaTheme="minorEastAsia" w:cstheme="minorEastAsia"/>
          <w:color w:val="auto"/>
          <w:sz w:val="24"/>
        </w:rPr>
        <w:t>十二、      联系方式</w:t>
      </w:r>
    </w:p>
    <w:p>
      <w:pPr>
        <w:widowControl/>
        <w:autoSpaceDE w:val="0"/>
        <w:spacing w:before="75" w:after="75" w:line="280" w:lineRule="exact"/>
        <w:rPr>
          <w:rFonts w:asciiTheme="minorEastAsia" w:hAnsiTheme="minorEastAsia" w:eastAsiaTheme="minorEastAsia" w:cstheme="minorEastAsia"/>
          <w:color w:val="auto"/>
          <w:kern w:val="0"/>
          <w:sz w:val="24"/>
        </w:rPr>
      </w:pPr>
      <w:r>
        <w:rPr>
          <w:rStyle w:val="527"/>
          <w:rFonts w:hint="eastAsia" w:asciiTheme="minorEastAsia" w:hAnsiTheme="minorEastAsia" w:eastAsiaTheme="minorEastAsia" w:cstheme="minorEastAsia"/>
          <w:color w:val="auto"/>
          <w:sz w:val="24"/>
        </w:rPr>
        <w:t>1、采购代理机构名称：</w:t>
      </w:r>
      <w:r>
        <w:rPr>
          <w:rFonts w:hint="eastAsia" w:asciiTheme="minorEastAsia" w:hAnsiTheme="minorEastAsia" w:eastAsiaTheme="minorEastAsia" w:cstheme="minorEastAsia"/>
          <w:color w:val="auto"/>
          <w:kern w:val="0"/>
          <w:sz w:val="24"/>
        </w:rPr>
        <w:t xml:space="preserve">  新疆天麒工程项目管理咨询有限责任公司 </w:t>
      </w:r>
    </w:p>
    <w:p>
      <w:pPr>
        <w:widowControl/>
        <w:autoSpaceDE w:val="0"/>
        <w:spacing w:before="75" w:after="75" w:line="280" w:lineRule="exact"/>
        <w:rPr>
          <w:rFonts w:asciiTheme="minorEastAsia" w:hAnsiTheme="minorEastAsia" w:eastAsiaTheme="minorEastAsia" w:cstheme="minorEastAsia"/>
          <w:color w:val="auto"/>
          <w:kern w:val="0"/>
          <w:sz w:val="24"/>
        </w:rPr>
      </w:pPr>
      <w:r>
        <w:rPr>
          <w:rStyle w:val="527"/>
          <w:rFonts w:hint="eastAsia" w:asciiTheme="minorEastAsia" w:hAnsiTheme="minorEastAsia" w:eastAsiaTheme="minorEastAsia" w:cstheme="minorEastAsia"/>
          <w:color w:val="auto"/>
          <w:sz w:val="24"/>
        </w:rPr>
        <w:t>联系人：</w:t>
      </w:r>
      <w:r>
        <w:rPr>
          <w:rFonts w:hint="eastAsia" w:asciiTheme="minorEastAsia" w:hAnsiTheme="minorEastAsia" w:eastAsiaTheme="minorEastAsia" w:cstheme="minorEastAsia"/>
          <w:color w:val="auto"/>
          <w:kern w:val="0"/>
          <w:sz w:val="24"/>
        </w:rPr>
        <w:t xml:space="preserve"> 姚磊 </w:t>
      </w:r>
    </w:p>
    <w:p>
      <w:pPr>
        <w:widowControl/>
        <w:autoSpaceDE w:val="0"/>
        <w:spacing w:before="75" w:after="75" w:line="280" w:lineRule="exact"/>
        <w:rPr>
          <w:rFonts w:asciiTheme="minorEastAsia" w:hAnsiTheme="minorEastAsia" w:eastAsiaTheme="minorEastAsia" w:cstheme="minorEastAsia"/>
          <w:color w:val="auto"/>
          <w:kern w:val="0"/>
          <w:sz w:val="24"/>
        </w:rPr>
      </w:pPr>
      <w:r>
        <w:rPr>
          <w:rStyle w:val="527"/>
          <w:rFonts w:hint="eastAsia" w:asciiTheme="minorEastAsia" w:hAnsiTheme="minorEastAsia" w:eastAsiaTheme="minorEastAsia" w:cstheme="minorEastAsia"/>
          <w:color w:val="auto"/>
          <w:sz w:val="24"/>
        </w:rPr>
        <w:t>联系电话：</w:t>
      </w:r>
      <w:r>
        <w:rPr>
          <w:rFonts w:hint="eastAsia" w:asciiTheme="minorEastAsia" w:hAnsiTheme="minorEastAsia" w:eastAsiaTheme="minorEastAsia" w:cstheme="minorEastAsia"/>
          <w:color w:val="auto"/>
          <w:kern w:val="0"/>
          <w:sz w:val="24"/>
        </w:rPr>
        <w:t xml:space="preserve"> 0990-6230002 </w:t>
      </w:r>
    </w:p>
    <w:p>
      <w:pPr>
        <w:widowControl/>
        <w:autoSpaceDE w:val="0"/>
        <w:spacing w:before="75" w:after="75" w:line="280" w:lineRule="exact"/>
        <w:rPr>
          <w:rFonts w:asciiTheme="minorEastAsia" w:hAnsiTheme="minorEastAsia" w:eastAsiaTheme="minorEastAsia" w:cstheme="minorEastAsia"/>
          <w:color w:val="auto"/>
          <w:kern w:val="0"/>
          <w:sz w:val="24"/>
        </w:rPr>
      </w:pPr>
      <w:r>
        <w:rPr>
          <w:rStyle w:val="527"/>
          <w:rFonts w:hint="eastAsia" w:asciiTheme="minorEastAsia" w:hAnsiTheme="minorEastAsia" w:eastAsiaTheme="minorEastAsia" w:cstheme="minorEastAsia"/>
          <w:color w:val="auto"/>
          <w:sz w:val="24"/>
        </w:rPr>
        <w:t>传真：</w:t>
      </w:r>
      <w:r>
        <w:rPr>
          <w:rFonts w:hint="eastAsia" w:asciiTheme="minorEastAsia" w:hAnsiTheme="minorEastAsia" w:eastAsiaTheme="minorEastAsia" w:cstheme="minorEastAsia"/>
          <w:color w:val="auto"/>
          <w:kern w:val="0"/>
          <w:sz w:val="24"/>
        </w:rPr>
        <w:t xml:space="preserve"> 无 </w:t>
      </w:r>
    </w:p>
    <w:p>
      <w:pPr>
        <w:widowControl/>
        <w:autoSpaceDE w:val="0"/>
        <w:spacing w:before="75" w:after="75" w:line="280" w:lineRule="exact"/>
        <w:rPr>
          <w:rFonts w:asciiTheme="minorEastAsia" w:hAnsiTheme="minorEastAsia" w:eastAsiaTheme="minorEastAsia" w:cstheme="minorEastAsia"/>
          <w:color w:val="auto"/>
          <w:kern w:val="0"/>
          <w:sz w:val="24"/>
        </w:rPr>
      </w:pPr>
      <w:r>
        <w:rPr>
          <w:rStyle w:val="527"/>
          <w:rFonts w:hint="eastAsia" w:asciiTheme="minorEastAsia" w:hAnsiTheme="minorEastAsia" w:eastAsiaTheme="minorEastAsia" w:cstheme="minorEastAsia"/>
          <w:color w:val="auto"/>
          <w:sz w:val="24"/>
        </w:rPr>
        <w:t>地址：</w:t>
      </w:r>
      <w:r>
        <w:rPr>
          <w:rFonts w:hint="eastAsia" w:asciiTheme="minorEastAsia" w:hAnsiTheme="minorEastAsia" w:eastAsiaTheme="minorEastAsia" w:cstheme="minorEastAsia"/>
          <w:color w:val="auto"/>
          <w:kern w:val="0"/>
          <w:sz w:val="24"/>
        </w:rPr>
        <w:t xml:space="preserve">  新疆克拉玛依市通讯路44号 </w:t>
      </w:r>
    </w:p>
    <w:p>
      <w:pPr>
        <w:widowControl/>
        <w:autoSpaceDE w:val="0"/>
        <w:spacing w:before="75" w:after="75" w:line="280" w:lineRule="exact"/>
        <w:rPr>
          <w:rFonts w:asciiTheme="minorEastAsia" w:hAnsiTheme="minorEastAsia" w:eastAsiaTheme="minorEastAsia" w:cstheme="minorEastAsia"/>
          <w:color w:val="auto"/>
          <w:kern w:val="0"/>
          <w:sz w:val="24"/>
        </w:rPr>
      </w:pPr>
      <w:r>
        <w:rPr>
          <w:rStyle w:val="527"/>
          <w:rFonts w:hint="eastAsia" w:asciiTheme="minorEastAsia" w:hAnsiTheme="minorEastAsia" w:eastAsiaTheme="minorEastAsia" w:cstheme="minorEastAsia"/>
          <w:color w:val="auto"/>
          <w:sz w:val="24"/>
        </w:rPr>
        <w:t>2、采购人名称：</w:t>
      </w:r>
      <w:r>
        <w:rPr>
          <w:rFonts w:hint="eastAsia" w:asciiTheme="minorEastAsia" w:hAnsiTheme="minorEastAsia" w:eastAsiaTheme="minorEastAsia" w:cstheme="minorEastAsia"/>
          <w:color w:val="auto"/>
          <w:kern w:val="0"/>
          <w:sz w:val="24"/>
        </w:rPr>
        <w:t xml:space="preserve"> 克拉玛依市中心医院 </w:t>
      </w:r>
    </w:p>
    <w:p>
      <w:pPr>
        <w:widowControl/>
        <w:autoSpaceDE w:val="0"/>
        <w:spacing w:before="75" w:after="75" w:line="280" w:lineRule="exact"/>
        <w:rPr>
          <w:rFonts w:asciiTheme="minorEastAsia" w:hAnsiTheme="minorEastAsia" w:eastAsiaTheme="minorEastAsia" w:cstheme="minorEastAsia"/>
          <w:color w:val="auto"/>
          <w:kern w:val="0"/>
          <w:sz w:val="24"/>
        </w:rPr>
      </w:pPr>
      <w:r>
        <w:rPr>
          <w:rStyle w:val="527"/>
          <w:rFonts w:hint="eastAsia" w:asciiTheme="minorEastAsia" w:hAnsiTheme="minorEastAsia" w:eastAsiaTheme="minorEastAsia" w:cstheme="minorEastAsia"/>
          <w:color w:val="auto"/>
          <w:sz w:val="24"/>
        </w:rPr>
        <w:t>联系人：</w:t>
      </w:r>
      <w:r>
        <w:rPr>
          <w:rFonts w:hint="eastAsia" w:asciiTheme="minorEastAsia" w:hAnsiTheme="minorEastAsia" w:eastAsiaTheme="minorEastAsia" w:cstheme="minorEastAsia"/>
          <w:color w:val="auto"/>
          <w:kern w:val="0"/>
          <w:sz w:val="24"/>
        </w:rPr>
        <w:t xml:space="preserve"> 宋军 </w:t>
      </w:r>
    </w:p>
    <w:p>
      <w:pPr>
        <w:widowControl/>
        <w:autoSpaceDE w:val="0"/>
        <w:spacing w:before="75" w:after="75" w:line="280" w:lineRule="exact"/>
        <w:rPr>
          <w:rFonts w:asciiTheme="minorEastAsia" w:hAnsiTheme="minorEastAsia" w:eastAsiaTheme="minorEastAsia" w:cstheme="minorEastAsia"/>
          <w:color w:val="auto"/>
          <w:kern w:val="0"/>
          <w:sz w:val="24"/>
        </w:rPr>
      </w:pPr>
      <w:r>
        <w:rPr>
          <w:rStyle w:val="527"/>
          <w:rFonts w:hint="eastAsia" w:asciiTheme="minorEastAsia" w:hAnsiTheme="minorEastAsia" w:eastAsiaTheme="minorEastAsia" w:cstheme="minorEastAsia"/>
          <w:color w:val="auto"/>
          <w:sz w:val="24"/>
        </w:rPr>
        <w:t>联系电话：</w:t>
      </w:r>
      <w:r>
        <w:rPr>
          <w:rFonts w:hint="eastAsia" w:asciiTheme="minorEastAsia" w:hAnsiTheme="minorEastAsia" w:eastAsiaTheme="minorEastAsia" w:cstheme="minorEastAsia"/>
          <w:color w:val="auto"/>
          <w:kern w:val="0"/>
          <w:sz w:val="24"/>
        </w:rPr>
        <w:t xml:space="preserve"> 0990-6232572 </w:t>
      </w:r>
    </w:p>
    <w:p>
      <w:pPr>
        <w:widowControl/>
        <w:autoSpaceDE w:val="0"/>
        <w:spacing w:before="75" w:after="75" w:line="280" w:lineRule="exact"/>
        <w:rPr>
          <w:rFonts w:asciiTheme="minorEastAsia" w:hAnsiTheme="minorEastAsia" w:eastAsiaTheme="minorEastAsia" w:cstheme="minorEastAsia"/>
          <w:color w:val="auto"/>
          <w:kern w:val="0"/>
          <w:sz w:val="24"/>
        </w:rPr>
      </w:pPr>
      <w:r>
        <w:rPr>
          <w:rStyle w:val="527"/>
          <w:rFonts w:hint="eastAsia" w:asciiTheme="minorEastAsia" w:hAnsiTheme="minorEastAsia" w:eastAsiaTheme="minorEastAsia" w:cstheme="minorEastAsia"/>
          <w:color w:val="auto"/>
          <w:sz w:val="24"/>
        </w:rPr>
        <w:t>传真：</w:t>
      </w:r>
      <w:r>
        <w:rPr>
          <w:rFonts w:hint="eastAsia" w:asciiTheme="minorEastAsia" w:hAnsiTheme="minorEastAsia" w:eastAsiaTheme="minorEastAsia" w:cstheme="minorEastAsia"/>
          <w:color w:val="auto"/>
          <w:kern w:val="0"/>
          <w:sz w:val="24"/>
        </w:rPr>
        <w:t xml:space="preserve"> 无 </w:t>
      </w:r>
    </w:p>
    <w:p>
      <w:pPr>
        <w:widowControl/>
        <w:autoSpaceDE w:val="0"/>
        <w:spacing w:before="75" w:after="75" w:line="280" w:lineRule="exact"/>
        <w:rPr>
          <w:rFonts w:asciiTheme="minorEastAsia" w:hAnsiTheme="minorEastAsia" w:eastAsiaTheme="minorEastAsia" w:cstheme="minorEastAsia"/>
          <w:color w:val="auto"/>
          <w:kern w:val="0"/>
          <w:sz w:val="24"/>
        </w:rPr>
      </w:pPr>
      <w:r>
        <w:rPr>
          <w:rStyle w:val="527"/>
          <w:rFonts w:hint="eastAsia" w:asciiTheme="minorEastAsia" w:hAnsiTheme="minorEastAsia" w:eastAsiaTheme="minorEastAsia" w:cstheme="minorEastAsia"/>
          <w:color w:val="auto"/>
          <w:sz w:val="24"/>
        </w:rPr>
        <w:t>地址：</w:t>
      </w:r>
      <w:r>
        <w:rPr>
          <w:rFonts w:hint="eastAsia" w:asciiTheme="minorEastAsia" w:hAnsiTheme="minorEastAsia" w:eastAsiaTheme="minorEastAsia" w:cstheme="minorEastAsia"/>
          <w:color w:val="auto"/>
          <w:kern w:val="0"/>
          <w:sz w:val="24"/>
        </w:rPr>
        <w:t xml:space="preserve"> 克拉玛依市准噶尔路67号 </w:t>
      </w:r>
    </w:p>
    <w:p>
      <w:pPr>
        <w:widowControl/>
        <w:autoSpaceDE w:val="0"/>
        <w:spacing w:before="75" w:after="75" w:line="280" w:lineRule="exact"/>
        <w:rPr>
          <w:rFonts w:asciiTheme="minorEastAsia" w:hAnsiTheme="minorEastAsia" w:eastAsiaTheme="minorEastAsia" w:cstheme="minorEastAsia"/>
          <w:color w:val="auto"/>
          <w:kern w:val="0"/>
          <w:sz w:val="24"/>
        </w:rPr>
      </w:pPr>
      <w:r>
        <w:rPr>
          <w:rStyle w:val="527"/>
          <w:rFonts w:hint="eastAsia" w:asciiTheme="minorEastAsia" w:hAnsiTheme="minorEastAsia" w:eastAsiaTheme="minorEastAsia" w:cstheme="minorEastAsia"/>
          <w:color w:val="auto"/>
          <w:sz w:val="24"/>
        </w:rPr>
        <w:t>3、同级政府采购监督管理部门名称：</w:t>
      </w:r>
      <w:r>
        <w:rPr>
          <w:rFonts w:hint="eastAsia" w:asciiTheme="minorEastAsia" w:hAnsiTheme="minorEastAsia" w:eastAsiaTheme="minorEastAsia" w:cstheme="minorEastAsia"/>
          <w:color w:val="auto"/>
          <w:kern w:val="0"/>
          <w:sz w:val="24"/>
        </w:rPr>
        <w:t xml:space="preserve"> 克拉玛依市财政局政府采购管理科 </w:t>
      </w:r>
    </w:p>
    <w:p>
      <w:pPr>
        <w:widowControl/>
        <w:autoSpaceDE w:val="0"/>
        <w:spacing w:before="75" w:after="75" w:line="280" w:lineRule="exact"/>
        <w:rPr>
          <w:rFonts w:asciiTheme="minorEastAsia" w:hAnsiTheme="minorEastAsia" w:eastAsiaTheme="minorEastAsia" w:cstheme="minorEastAsia"/>
          <w:color w:val="auto"/>
          <w:kern w:val="0"/>
          <w:sz w:val="24"/>
        </w:rPr>
      </w:pPr>
      <w:r>
        <w:rPr>
          <w:rStyle w:val="527"/>
          <w:rFonts w:hint="eastAsia" w:asciiTheme="minorEastAsia" w:hAnsiTheme="minorEastAsia" w:eastAsiaTheme="minorEastAsia" w:cstheme="minorEastAsia"/>
          <w:color w:val="auto"/>
          <w:sz w:val="24"/>
        </w:rPr>
        <w:t>联系人：</w:t>
      </w:r>
      <w:r>
        <w:rPr>
          <w:rFonts w:hint="eastAsia" w:asciiTheme="minorEastAsia" w:hAnsiTheme="minorEastAsia" w:eastAsiaTheme="minorEastAsia" w:cstheme="minorEastAsia"/>
          <w:color w:val="auto"/>
          <w:kern w:val="0"/>
          <w:sz w:val="24"/>
        </w:rPr>
        <w:t xml:space="preserve"> 刘艳 </w:t>
      </w:r>
    </w:p>
    <w:p>
      <w:pPr>
        <w:widowControl/>
        <w:autoSpaceDE w:val="0"/>
        <w:spacing w:before="75" w:after="75" w:line="280" w:lineRule="exact"/>
        <w:rPr>
          <w:rFonts w:asciiTheme="minorEastAsia" w:hAnsiTheme="minorEastAsia" w:eastAsiaTheme="minorEastAsia" w:cstheme="minorEastAsia"/>
          <w:color w:val="auto"/>
          <w:kern w:val="0"/>
          <w:sz w:val="24"/>
        </w:rPr>
      </w:pPr>
      <w:r>
        <w:rPr>
          <w:rStyle w:val="527"/>
          <w:rFonts w:hint="eastAsia" w:asciiTheme="minorEastAsia" w:hAnsiTheme="minorEastAsia" w:eastAsiaTheme="minorEastAsia" w:cstheme="minorEastAsia"/>
          <w:color w:val="auto"/>
          <w:sz w:val="24"/>
        </w:rPr>
        <w:t>监督投诉电话：</w:t>
      </w:r>
      <w:r>
        <w:rPr>
          <w:rFonts w:hint="eastAsia" w:asciiTheme="minorEastAsia" w:hAnsiTheme="minorEastAsia" w:eastAsiaTheme="minorEastAsia" w:cstheme="minorEastAsia"/>
          <w:color w:val="auto"/>
          <w:kern w:val="0"/>
          <w:sz w:val="24"/>
        </w:rPr>
        <w:t xml:space="preserve"> 0990-6239160 </w:t>
      </w:r>
    </w:p>
    <w:p>
      <w:pPr>
        <w:widowControl/>
        <w:autoSpaceDE w:val="0"/>
        <w:spacing w:before="75" w:after="75" w:line="280" w:lineRule="exact"/>
        <w:rPr>
          <w:rFonts w:asciiTheme="minorEastAsia" w:hAnsiTheme="minorEastAsia" w:eastAsiaTheme="minorEastAsia" w:cstheme="minorEastAsia"/>
          <w:color w:val="auto"/>
          <w:kern w:val="0"/>
          <w:sz w:val="24"/>
        </w:rPr>
      </w:pPr>
      <w:r>
        <w:rPr>
          <w:rStyle w:val="527"/>
          <w:rFonts w:hint="eastAsia" w:asciiTheme="minorEastAsia" w:hAnsiTheme="minorEastAsia" w:eastAsiaTheme="minorEastAsia" w:cstheme="minorEastAsia"/>
          <w:color w:val="auto"/>
          <w:sz w:val="24"/>
        </w:rPr>
        <w:t>传真：</w:t>
      </w:r>
      <w:r>
        <w:rPr>
          <w:rFonts w:hint="eastAsia" w:asciiTheme="minorEastAsia" w:hAnsiTheme="minorEastAsia" w:eastAsiaTheme="minorEastAsia" w:cstheme="minorEastAsia"/>
          <w:color w:val="auto"/>
          <w:kern w:val="0"/>
          <w:sz w:val="24"/>
        </w:rPr>
        <w:t xml:space="preserve"> 无 </w:t>
      </w:r>
    </w:p>
    <w:p>
      <w:pPr>
        <w:widowControl/>
        <w:autoSpaceDE w:val="0"/>
        <w:spacing w:before="75" w:after="75" w:line="280" w:lineRule="exact"/>
        <w:rPr>
          <w:rFonts w:asciiTheme="minorEastAsia" w:hAnsiTheme="minorEastAsia" w:eastAsiaTheme="minorEastAsia" w:cstheme="minorEastAsia"/>
          <w:color w:val="auto"/>
          <w:kern w:val="0"/>
          <w:sz w:val="24"/>
        </w:rPr>
      </w:pPr>
      <w:r>
        <w:rPr>
          <w:rStyle w:val="527"/>
          <w:rFonts w:hint="eastAsia" w:asciiTheme="minorEastAsia" w:hAnsiTheme="minorEastAsia" w:eastAsiaTheme="minorEastAsia" w:cstheme="minorEastAsia"/>
          <w:color w:val="auto"/>
          <w:sz w:val="24"/>
        </w:rPr>
        <w:t>地址：</w:t>
      </w:r>
      <w:r>
        <w:rPr>
          <w:rFonts w:hint="eastAsia" w:asciiTheme="minorEastAsia" w:hAnsiTheme="minorEastAsia" w:eastAsiaTheme="minorEastAsia" w:cstheme="minorEastAsia"/>
          <w:color w:val="auto"/>
          <w:kern w:val="0"/>
          <w:sz w:val="24"/>
        </w:rPr>
        <w:t xml:space="preserve"> </w:t>
      </w:r>
      <w:bookmarkStart w:id="182" w:name="_GoBack"/>
      <w:r>
        <w:rPr>
          <w:rFonts w:hint="eastAsia" w:asciiTheme="minorEastAsia" w:hAnsiTheme="minorEastAsia" w:eastAsiaTheme="minorEastAsia" w:cstheme="minorEastAsia"/>
          <w:color w:val="auto"/>
          <w:kern w:val="0"/>
          <w:sz w:val="24"/>
        </w:rPr>
        <w:t>克拉玛依市迎宾路60号政府一号楼</w:t>
      </w:r>
      <w:bookmarkEnd w:id="182"/>
    </w:p>
    <w:p>
      <w:pPr>
        <w:spacing w:line="300" w:lineRule="exact"/>
        <w:jc w:val="center"/>
        <w:rPr>
          <w:rFonts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第二章  投标人须知</w:t>
      </w:r>
    </w:p>
    <w:tbl>
      <w:tblPr>
        <w:tblStyle w:val="58"/>
        <w:tblpPr w:leftFromText="180" w:rightFromText="180" w:vertAnchor="text" w:horzAnchor="margin" w:tblpY="523"/>
        <w:tblW w:w="10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9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trPr>
        <w:tc>
          <w:tcPr>
            <w:tcW w:w="66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序号</w:t>
            </w:r>
          </w:p>
        </w:tc>
        <w:tc>
          <w:tcPr>
            <w:tcW w:w="948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trPr>
        <w:tc>
          <w:tcPr>
            <w:tcW w:w="660" w:type="dxa"/>
            <w:tcBorders>
              <w:top w:val="single" w:color="auto" w:sz="4" w:space="0"/>
              <w:left w:val="single" w:color="auto" w:sz="4" w:space="0"/>
              <w:bottom w:val="single" w:color="auto" w:sz="4" w:space="0"/>
              <w:right w:val="single" w:color="auto" w:sz="4" w:space="0"/>
            </w:tcBorders>
            <w:vAlign w:val="center"/>
          </w:tcPr>
          <w:p>
            <w:pPr>
              <w:pStyle w:val="34"/>
              <w:spacing w:line="340" w:lineRule="exact"/>
              <w:ind w:left="0" w:leftChars="0"/>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w:t>
            </w:r>
          </w:p>
        </w:tc>
        <w:tc>
          <w:tcPr>
            <w:tcW w:w="9480" w:type="dxa"/>
            <w:tcBorders>
              <w:top w:val="single" w:color="auto" w:sz="4" w:space="0"/>
              <w:left w:val="single" w:color="auto" w:sz="4" w:space="0"/>
              <w:bottom w:val="single" w:color="auto" w:sz="4" w:space="0"/>
              <w:right w:val="single" w:color="auto" w:sz="4" w:space="0"/>
            </w:tcBorders>
            <w:vAlign w:val="center"/>
          </w:tcPr>
          <w:p>
            <w:pPr>
              <w:pStyle w:val="32"/>
              <w:spacing w:line="34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项目名称：克拉玛依市中心医院1号（汉餐）、2号（清餐）食堂服务外包项目</w:t>
            </w:r>
          </w:p>
          <w:p>
            <w:pPr>
              <w:pStyle w:val="32"/>
              <w:spacing w:line="34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招标文件编号：KSZXYY（ZC）2020-10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9" w:hRule="atLeast"/>
        </w:trPr>
        <w:tc>
          <w:tcPr>
            <w:tcW w:w="660" w:type="dxa"/>
            <w:tcBorders>
              <w:top w:val="single" w:color="auto" w:sz="4" w:space="0"/>
              <w:left w:val="single" w:color="auto" w:sz="4" w:space="0"/>
              <w:bottom w:val="single" w:color="auto" w:sz="4" w:space="0"/>
              <w:right w:val="single" w:color="auto" w:sz="4" w:space="0"/>
            </w:tcBorders>
            <w:vAlign w:val="center"/>
          </w:tcPr>
          <w:p>
            <w:pPr>
              <w:pStyle w:val="34"/>
              <w:spacing w:line="340" w:lineRule="exact"/>
              <w:ind w:left="0" w:leftChars="0"/>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w:t>
            </w:r>
          </w:p>
        </w:tc>
        <w:tc>
          <w:tcPr>
            <w:tcW w:w="9480" w:type="dxa"/>
            <w:tcBorders>
              <w:top w:val="single" w:color="auto" w:sz="4" w:space="0"/>
              <w:left w:val="single" w:color="auto" w:sz="4" w:space="0"/>
              <w:bottom w:val="single" w:color="auto" w:sz="4" w:space="0"/>
              <w:right w:val="single" w:color="auto" w:sz="4" w:space="0"/>
            </w:tcBorders>
            <w:vAlign w:val="center"/>
          </w:tcPr>
          <w:p>
            <w:pPr>
              <w:pStyle w:val="52"/>
              <w:spacing w:before="0" w:beforeAutospacing="0" w:after="0" w:afterAutospacing="0" w:line="340" w:lineRule="exac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招标人：克拉玛依市中心医院</w:t>
            </w:r>
          </w:p>
          <w:p>
            <w:pPr>
              <w:pStyle w:val="52"/>
              <w:spacing w:before="0" w:beforeAutospacing="0" w:after="0" w:afterAutospacing="0" w:line="340" w:lineRule="exac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地  址：克拉玛依市准噶尔路67号      邮政编码：834000     </w:t>
            </w:r>
          </w:p>
          <w:p>
            <w:pPr>
              <w:pStyle w:val="52"/>
              <w:spacing w:before="0" w:beforeAutospacing="0" w:after="0" w:afterAutospacing="0" w:line="340" w:lineRule="exac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联系人：宋军          联系电话：0990-6232572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0" w:hRule="atLeast"/>
        </w:trPr>
        <w:tc>
          <w:tcPr>
            <w:tcW w:w="660" w:type="dxa"/>
            <w:tcBorders>
              <w:top w:val="single" w:color="auto" w:sz="4" w:space="0"/>
              <w:left w:val="single" w:color="auto" w:sz="4" w:space="0"/>
              <w:bottom w:val="single" w:color="auto" w:sz="4" w:space="0"/>
              <w:right w:val="single" w:color="auto" w:sz="4" w:space="0"/>
            </w:tcBorders>
            <w:vAlign w:val="center"/>
          </w:tcPr>
          <w:p>
            <w:pPr>
              <w:pStyle w:val="34"/>
              <w:spacing w:line="340" w:lineRule="exact"/>
              <w:ind w:left="0" w:leftChars="0"/>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w:t>
            </w:r>
          </w:p>
        </w:tc>
        <w:tc>
          <w:tcPr>
            <w:tcW w:w="9480" w:type="dxa"/>
            <w:tcBorders>
              <w:top w:val="single" w:color="auto" w:sz="4" w:space="0"/>
              <w:left w:val="single" w:color="auto" w:sz="4" w:space="0"/>
              <w:bottom w:val="single" w:color="auto" w:sz="4" w:space="0"/>
              <w:right w:val="single" w:color="auto" w:sz="4" w:space="0"/>
            </w:tcBorders>
            <w:vAlign w:val="center"/>
          </w:tcPr>
          <w:p>
            <w:pPr>
              <w:pStyle w:val="32"/>
              <w:spacing w:line="34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招标代理机构：新疆天麒工程项目管理咨询有限责任公司</w:t>
            </w:r>
          </w:p>
          <w:p>
            <w:pPr>
              <w:pStyle w:val="32"/>
              <w:spacing w:line="340" w:lineRule="exact"/>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地址：克拉玛依市通讯路44号    邮政编码：834000</w:t>
            </w:r>
          </w:p>
          <w:p>
            <w:pPr>
              <w:pStyle w:val="32"/>
              <w:spacing w:line="340" w:lineRule="exac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联系人：姚磊   联系电话： 0990-6230002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0" w:hRule="atLeast"/>
        </w:trPr>
        <w:tc>
          <w:tcPr>
            <w:tcW w:w="66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w:t>
            </w:r>
          </w:p>
        </w:tc>
        <w:tc>
          <w:tcPr>
            <w:tcW w:w="9480" w:type="dxa"/>
            <w:tcBorders>
              <w:top w:val="single" w:color="auto" w:sz="4" w:space="0"/>
              <w:left w:val="single" w:color="auto" w:sz="4" w:space="0"/>
              <w:bottom w:val="single" w:color="auto" w:sz="4" w:space="0"/>
              <w:right w:val="single" w:color="auto" w:sz="4" w:space="0"/>
            </w:tcBorders>
            <w:vAlign w:val="center"/>
          </w:tcPr>
          <w:p>
            <w:pPr>
              <w:pStyle w:val="32"/>
              <w:spacing w:line="340" w:lineRule="exact"/>
              <w:rPr>
                <w:rFonts w:asciiTheme="minorEastAsia" w:hAnsiTheme="minorEastAsia" w:eastAsiaTheme="minorEastAsia" w:cstheme="minorEastAsia"/>
                <w:color w:val="auto"/>
                <w:sz w:val="24"/>
                <w:szCs w:val="24"/>
              </w:rPr>
            </w:pPr>
            <w:r>
              <w:rPr>
                <w:rFonts w:hint="eastAsia" w:hAnsi="宋体" w:cs="宋体"/>
                <w:color w:val="auto"/>
                <w:sz w:val="24"/>
                <w:szCs w:val="24"/>
              </w:rPr>
              <w:t>投标保证金：供应商应提交人民币</w:t>
            </w:r>
            <w:r>
              <w:rPr>
                <w:rFonts w:hint="eastAsia" w:hAnsi="宋体" w:cs="宋体"/>
                <w:b/>
                <w:bCs/>
                <w:color w:val="auto"/>
                <w:sz w:val="24"/>
                <w:szCs w:val="24"/>
                <w:u w:val="single"/>
              </w:rPr>
              <w:t>陆万</w:t>
            </w:r>
            <w:r>
              <w:rPr>
                <w:rFonts w:hint="eastAsia" w:hAnsi="宋体" w:cs="宋体"/>
                <w:b/>
                <w:color w:val="auto"/>
                <w:sz w:val="24"/>
                <w:szCs w:val="24"/>
                <w:u w:val="single"/>
              </w:rPr>
              <w:t>元整</w:t>
            </w:r>
            <w:r>
              <w:rPr>
                <w:rFonts w:hint="eastAsia" w:hAnsi="宋体" w:cs="宋体"/>
                <w:b/>
                <w:color w:val="auto"/>
                <w:sz w:val="24"/>
                <w:szCs w:val="24"/>
              </w:rPr>
              <w:t>投标保证金（投标保证金应当以支票、汇票或本票等非现金形式提交）</w:t>
            </w:r>
            <w:r>
              <w:rPr>
                <w:rFonts w:hint="eastAsia" w:hAnsi="宋体" w:cs="宋体"/>
                <w:color w:val="auto"/>
                <w:sz w:val="24"/>
                <w:szCs w:val="24"/>
              </w:rPr>
              <w:t>，</w:t>
            </w:r>
            <w:r>
              <w:rPr>
                <w:rFonts w:hint="eastAsia" w:hAnsi="宋体" w:cs="宋体"/>
                <w:b/>
                <w:color w:val="auto"/>
                <w:sz w:val="24"/>
                <w:szCs w:val="24"/>
                <w:u w:val="single"/>
              </w:rPr>
              <w:t>投标保证金应当从投标人基本账户转出，投标保证金有效期与响应文件有效期一致；采购人不接受供应商授权或委托他人或分支机构代交投标保证金；投标保证金于投标文件递交截止时间前递交至新疆天麒工程项目管理咨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660" w:type="dxa"/>
            <w:tcBorders>
              <w:top w:val="single" w:color="auto" w:sz="4" w:space="0"/>
              <w:left w:val="single" w:color="auto" w:sz="4" w:space="0"/>
              <w:bottom w:val="single" w:color="auto" w:sz="4" w:space="0"/>
              <w:right w:val="single" w:color="auto" w:sz="4" w:space="0"/>
            </w:tcBorders>
            <w:vAlign w:val="center"/>
          </w:tcPr>
          <w:p>
            <w:pPr>
              <w:pStyle w:val="32"/>
              <w:spacing w:line="34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2"/>
                <w:sz w:val="21"/>
                <w:szCs w:val="21"/>
              </w:rPr>
              <w:t>5</w:t>
            </w:r>
          </w:p>
        </w:tc>
        <w:tc>
          <w:tcPr>
            <w:tcW w:w="9480"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color w:val="auto"/>
                <w:sz w:val="24"/>
              </w:rPr>
              <w:t>投标有效期：递交投标文件截止日起90天（日历日）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66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w:t>
            </w:r>
          </w:p>
        </w:tc>
        <w:tc>
          <w:tcPr>
            <w:tcW w:w="9480" w:type="dxa"/>
            <w:tcBorders>
              <w:top w:val="single" w:color="auto" w:sz="4" w:space="0"/>
              <w:left w:val="single" w:color="auto" w:sz="4" w:space="0"/>
              <w:bottom w:val="single" w:color="auto" w:sz="4" w:space="0"/>
              <w:right w:val="single" w:color="auto" w:sz="4" w:space="0"/>
            </w:tcBorders>
            <w:vAlign w:val="center"/>
          </w:tcPr>
          <w:p>
            <w:pPr>
              <w:pStyle w:val="32"/>
              <w:spacing w:line="34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rPr>
              <w:t>投标文件的份数：</w:t>
            </w:r>
            <w:r>
              <w:rPr>
                <w:rFonts w:hint="eastAsia" w:asciiTheme="minorEastAsia" w:hAnsiTheme="minorEastAsia" w:eastAsiaTheme="minorEastAsia" w:cstheme="minorEastAsia"/>
                <w:b/>
                <w:color w:val="auto"/>
                <w:kern w:val="2"/>
                <w:sz w:val="24"/>
                <w:szCs w:val="24"/>
              </w:rPr>
              <w:t>一式柒份，其中正本壹份，副本陆份。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2" w:hRule="atLeast"/>
        </w:trPr>
        <w:tc>
          <w:tcPr>
            <w:tcW w:w="66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7</w:t>
            </w:r>
          </w:p>
        </w:tc>
        <w:tc>
          <w:tcPr>
            <w:tcW w:w="9480" w:type="dxa"/>
            <w:tcBorders>
              <w:top w:val="single" w:color="auto" w:sz="4" w:space="0"/>
              <w:left w:val="single" w:color="auto" w:sz="4" w:space="0"/>
              <w:bottom w:val="single" w:color="auto" w:sz="4" w:space="0"/>
              <w:right w:val="single" w:color="auto" w:sz="4" w:space="0"/>
            </w:tcBorders>
            <w:vAlign w:val="center"/>
          </w:tcPr>
          <w:p>
            <w:pPr>
              <w:pStyle w:val="17"/>
              <w:spacing w:line="420" w:lineRule="exact"/>
              <w:ind w:firstLine="0"/>
              <w:jc w:val="both"/>
              <w:rPr>
                <w:rFonts w:hint="eastAsia" w:ascii="宋体" w:hAnsi="宋体" w:cs="宋体"/>
                <w:color w:val="auto"/>
                <w:szCs w:val="21"/>
              </w:rPr>
            </w:pPr>
            <w:r>
              <w:rPr>
                <w:rFonts w:hint="eastAsia" w:ascii="宋体" w:hAnsi="宋体" w:cs="宋体"/>
                <w:color w:val="auto"/>
                <w:sz w:val="24"/>
                <w:szCs w:val="24"/>
              </w:rPr>
              <w:t>采购人不统一组织各供应商实地考察，各供应商自行对采购项目进行考察。</w:t>
            </w:r>
          </w:p>
          <w:p>
            <w:pPr>
              <w:spacing w:line="34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各投标人如有疑问，于2020年</w:t>
            </w:r>
            <w:r>
              <w:rPr>
                <w:rFonts w:hint="eastAsia" w:asciiTheme="minorEastAsia" w:hAnsiTheme="minorEastAsia" w:eastAsiaTheme="minorEastAsia" w:cstheme="minorEastAsia"/>
                <w:color w:val="auto"/>
                <w:sz w:val="24"/>
                <w:lang w:val="en-US" w:eastAsia="zh-CN"/>
              </w:rPr>
              <w:t>5</w:t>
            </w:r>
            <w:r>
              <w:rPr>
                <w:rFonts w:hint="eastAsia" w:asciiTheme="minorEastAsia" w:hAnsiTheme="minorEastAsia" w:eastAsiaTheme="minorEastAsia" w:cstheme="minorEastAsia"/>
                <w:color w:val="auto"/>
                <w:sz w:val="24"/>
              </w:rPr>
              <w:t>月</w:t>
            </w:r>
            <w:r>
              <w:rPr>
                <w:rFonts w:hint="eastAsia" w:asciiTheme="minorEastAsia" w:hAnsiTheme="minorEastAsia" w:eastAsiaTheme="minorEastAsia" w:cstheme="minorEastAsia"/>
                <w:color w:val="auto"/>
                <w:sz w:val="24"/>
                <w:lang w:val="en-US" w:eastAsia="zh-CN"/>
              </w:rPr>
              <w:t>5</w:t>
            </w:r>
            <w:r>
              <w:rPr>
                <w:rFonts w:hint="eastAsia" w:asciiTheme="minorEastAsia" w:hAnsiTheme="minorEastAsia" w:eastAsiaTheme="minorEastAsia" w:cstheme="minorEastAsia"/>
                <w:color w:val="auto"/>
                <w:sz w:val="24"/>
              </w:rPr>
              <w:t>日10:00前将有关疑问以书面形式（必须加盖投标人公章）</w:t>
            </w:r>
            <w:r>
              <w:rPr>
                <w:rFonts w:hint="eastAsia" w:ascii="宋体" w:hAnsi="宋体" w:cs="宋体"/>
                <w:color w:val="auto"/>
                <w:sz w:val="24"/>
              </w:rPr>
              <w:t>送达至新疆天麒工程项目管理咨询有限责任公司或发至603781401@qq.com</w:t>
            </w:r>
            <w:r>
              <w:rPr>
                <w:rFonts w:hint="eastAsia" w:asciiTheme="minorEastAsia" w:hAnsiTheme="minorEastAsia" w:eastAsiaTheme="minorEastAsia" w:cstheme="minorEastAsia"/>
                <w:color w:val="auto"/>
                <w:sz w:val="24"/>
              </w:rPr>
              <w:t>，招标人将对所提疑问以书面形式通知至领取招标文件的每位投标人，超过此时间所提疑问招标人或招标代理机构均不予答复。</w:t>
            </w:r>
          </w:p>
          <w:p>
            <w:pPr>
              <w:spacing w:line="34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书面提问传真截止时间：2020年</w:t>
            </w:r>
            <w:r>
              <w:rPr>
                <w:rFonts w:hint="eastAsia" w:asciiTheme="minorEastAsia" w:hAnsiTheme="minorEastAsia" w:eastAsiaTheme="minorEastAsia" w:cstheme="minorEastAsia"/>
                <w:color w:val="auto"/>
                <w:sz w:val="24"/>
                <w:lang w:val="en-US" w:eastAsia="zh-CN"/>
              </w:rPr>
              <w:t>5</w:t>
            </w:r>
            <w:r>
              <w:rPr>
                <w:rFonts w:hint="eastAsia" w:asciiTheme="minorEastAsia" w:hAnsiTheme="minorEastAsia" w:eastAsiaTheme="minorEastAsia" w:cstheme="minorEastAsia"/>
                <w:color w:val="auto"/>
                <w:sz w:val="24"/>
              </w:rPr>
              <w:t>月</w:t>
            </w:r>
            <w:r>
              <w:rPr>
                <w:rFonts w:hint="eastAsia" w:asciiTheme="minorEastAsia" w:hAnsiTheme="minorEastAsia" w:eastAsiaTheme="minorEastAsia" w:cstheme="minorEastAsia"/>
                <w:color w:val="auto"/>
                <w:sz w:val="24"/>
                <w:lang w:val="en-US" w:eastAsia="zh-CN"/>
              </w:rPr>
              <w:t>5</w:t>
            </w:r>
            <w:r>
              <w:rPr>
                <w:rFonts w:hint="eastAsia" w:asciiTheme="minorEastAsia" w:hAnsiTheme="minorEastAsia" w:eastAsiaTheme="minorEastAsia" w:cstheme="minorEastAsia"/>
                <w:color w:val="auto"/>
                <w:sz w:val="24"/>
              </w:rPr>
              <w:t>日10:00</w:t>
            </w:r>
          </w:p>
          <w:p>
            <w:pPr>
              <w:spacing w:line="34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联系人：姚磊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1" w:hRule="atLeast"/>
        </w:trPr>
        <w:tc>
          <w:tcPr>
            <w:tcW w:w="66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8</w:t>
            </w:r>
          </w:p>
        </w:tc>
        <w:tc>
          <w:tcPr>
            <w:tcW w:w="948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递交投标文件截止时间：2020年</w:t>
            </w:r>
            <w:r>
              <w:rPr>
                <w:rFonts w:hint="eastAsia" w:asciiTheme="minorEastAsia" w:hAnsiTheme="minorEastAsia" w:eastAsiaTheme="minorEastAsia" w:cstheme="minorEastAsia"/>
                <w:color w:val="auto"/>
                <w:sz w:val="24"/>
                <w:lang w:val="en-US" w:eastAsia="zh-CN"/>
              </w:rPr>
              <w:t>5</w:t>
            </w:r>
            <w:r>
              <w:rPr>
                <w:rFonts w:hint="eastAsia" w:asciiTheme="minorEastAsia" w:hAnsiTheme="minorEastAsia" w:eastAsiaTheme="minorEastAsia" w:cstheme="minorEastAsia"/>
                <w:color w:val="auto"/>
                <w:sz w:val="24"/>
              </w:rPr>
              <w:t>月</w:t>
            </w:r>
            <w:r>
              <w:rPr>
                <w:rFonts w:hint="eastAsia" w:asciiTheme="minorEastAsia" w:hAnsiTheme="minorEastAsia" w:eastAsiaTheme="minorEastAsia" w:cstheme="minorEastAsia"/>
                <w:color w:val="auto"/>
                <w:sz w:val="24"/>
                <w:lang w:val="en-US" w:eastAsia="zh-CN"/>
              </w:rPr>
              <w:t>21</w:t>
            </w:r>
            <w:r>
              <w:rPr>
                <w:rFonts w:hint="eastAsia" w:asciiTheme="minorEastAsia" w:hAnsiTheme="minorEastAsia" w:eastAsiaTheme="minorEastAsia" w:cstheme="minorEastAsia"/>
                <w:color w:val="auto"/>
                <w:sz w:val="24"/>
              </w:rPr>
              <w:t xml:space="preserve">日11:00  </w:t>
            </w:r>
          </w:p>
          <w:p>
            <w:pPr>
              <w:spacing w:line="34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递交投标文件时间：2020年</w:t>
            </w:r>
            <w:r>
              <w:rPr>
                <w:rFonts w:hint="eastAsia" w:asciiTheme="minorEastAsia" w:hAnsiTheme="minorEastAsia" w:eastAsiaTheme="minorEastAsia" w:cstheme="minorEastAsia"/>
                <w:color w:val="auto"/>
                <w:sz w:val="24"/>
                <w:lang w:val="en-US" w:eastAsia="zh-CN"/>
              </w:rPr>
              <w:t>5</w:t>
            </w:r>
            <w:r>
              <w:rPr>
                <w:rFonts w:hint="eastAsia" w:asciiTheme="minorEastAsia" w:hAnsiTheme="minorEastAsia" w:eastAsiaTheme="minorEastAsia" w:cstheme="minorEastAsia"/>
                <w:color w:val="auto"/>
                <w:sz w:val="24"/>
              </w:rPr>
              <w:t>月</w:t>
            </w:r>
            <w:r>
              <w:rPr>
                <w:rFonts w:hint="eastAsia" w:asciiTheme="minorEastAsia" w:hAnsiTheme="minorEastAsia" w:eastAsiaTheme="minorEastAsia" w:cstheme="minorEastAsia"/>
                <w:color w:val="auto"/>
                <w:sz w:val="24"/>
                <w:lang w:val="en-US" w:eastAsia="zh-CN"/>
              </w:rPr>
              <w:t>21</w:t>
            </w:r>
            <w:r>
              <w:rPr>
                <w:rFonts w:hint="eastAsia" w:asciiTheme="minorEastAsia" w:hAnsiTheme="minorEastAsia" w:eastAsiaTheme="minorEastAsia" w:cstheme="minorEastAsia"/>
                <w:color w:val="auto"/>
                <w:sz w:val="24"/>
              </w:rPr>
              <w:t xml:space="preserve">日10 :30 ～11:00  </w:t>
            </w:r>
          </w:p>
          <w:p>
            <w:pPr>
              <w:spacing w:line="34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地    点：新疆天麒工程项目管理咨询有限责任公司一楼评标室（</w:t>
            </w:r>
            <w:r>
              <w:rPr>
                <w:rFonts w:hint="eastAsia" w:asciiTheme="minorEastAsia" w:hAnsiTheme="minorEastAsia" w:eastAsiaTheme="minorEastAsia" w:cstheme="minorEastAsia"/>
                <w:color w:val="auto"/>
                <w:kern w:val="0"/>
                <w:sz w:val="24"/>
              </w:rPr>
              <w:t>克拉玛依市通讯路44号</w:t>
            </w:r>
            <w:r>
              <w:rPr>
                <w:rFonts w:hint="eastAsia" w:asciiTheme="minorEastAsia" w:hAnsiTheme="minorEastAsia" w:eastAsiaTheme="minorEastAsia" w:cstheme="minorEastAsia"/>
                <w:color w:val="auto"/>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3" w:hRule="atLeast"/>
        </w:trPr>
        <w:tc>
          <w:tcPr>
            <w:tcW w:w="66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9</w:t>
            </w:r>
          </w:p>
        </w:tc>
        <w:tc>
          <w:tcPr>
            <w:tcW w:w="948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开标时间：2020年</w:t>
            </w:r>
            <w:r>
              <w:rPr>
                <w:rFonts w:hint="eastAsia" w:asciiTheme="minorEastAsia" w:hAnsiTheme="minorEastAsia" w:eastAsiaTheme="minorEastAsia" w:cstheme="minorEastAsia"/>
                <w:color w:val="auto"/>
                <w:sz w:val="24"/>
                <w:lang w:val="en-US" w:eastAsia="zh-CN"/>
              </w:rPr>
              <w:t>5</w:t>
            </w:r>
            <w:r>
              <w:rPr>
                <w:rFonts w:hint="eastAsia" w:asciiTheme="minorEastAsia" w:hAnsiTheme="minorEastAsia" w:eastAsiaTheme="minorEastAsia" w:cstheme="minorEastAsia"/>
                <w:color w:val="auto"/>
                <w:sz w:val="24"/>
              </w:rPr>
              <w:t>月</w:t>
            </w:r>
            <w:r>
              <w:rPr>
                <w:rFonts w:hint="eastAsia" w:asciiTheme="minorEastAsia" w:hAnsiTheme="minorEastAsia" w:eastAsiaTheme="minorEastAsia" w:cstheme="minorEastAsia"/>
                <w:color w:val="auto"/>
                <w:sz w:val="24"/>
                <w:lang w:val="en-US" w:eastAsia="zh-CN"/>
              </w:rPr>
              <w:t>21</w:t>
            </w:r>
            <w:r>
              <w:rPr>
                <w:rFonts w:hint="eastAsia" w:asciiTheme="minorEastAsia" w:hAnsiTheme="minorEastAsia" w:eastAsiaTheme="minorEastAsia" w:cstheme="minorEastAsia"/>
                <w:color w:val="auto"/>
                <w:sz w:val="24"/>
              </w:rPr>
              <w:t xml:space="preserve">日11:00   </w:t>
            </w:r>
          </w:p>
          <w:p>
            <w:pPr>
              <w:spacing w:line="34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地    点：新疆天麒工程项目管理咨询有限责任公司一楼评标室（</w:t>
            </w:r>
            <w:r>
              <w:rPr>
                <w:rFonts w:hint="eastAsia" w:asciiTheme="minorEastAsia" w:hAnsiTheme="minorEastAsia" w:eastAsiaTheme="minorEastAsia" w:cstheme="minorEastAsia"/>
                <w:color w:val="auto"/>
                <w:kern w:val="0"/>
                <w:sz w:val="24"/>
              </w:rPr>
              <w:t>克拉玛依市通讯路44号</w:t>
            </w:r>
            <w:r>
              <w:rPr>
                <w:rFonts w:hint="eastAsia" w:asciiTheme="minorEastAsia" w:hAnsiTheme="minorEastAsia" w:eastAsiaTheme="minorEastAsia" w:cstheme="minorEastAsia"/>
                <w:color w:val="auto"/>
                <w:sz w:val="24"/>
              </w:rPr>
              <w:t xml:space="preserve"> ）</w:t>
            </w:r>
          </w:p>
        </w:tc>
      </w:tr>
    </w:tbl>
    <w:p>
      <w:pPr>
        <w:spacing w:line="300" w:lineRule="exact"/>
        <w:jc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前  附  表</w:t>
      </w:r>
    </w:p>
    <w:p>
      <w:pPr>
        <w:spacing w:line="360" w:lineRule="auto"/>
        <w:jc w:val="center"/>
        <w:rPr>
          <w:rFonts w:asciiTheme="minorEastAsia" w:hAnsiTheme="minorEastAsia" w:eastAsiaTheme="minorEastAsia" w:cstheme="minorEastAsia"/>
          <w:b/>
          <w:bCs/>
          <w:color w:val="auto"/>
          <w:sz w:val="28"/>
          <w:szCs w:val="28"/>
        </w:rPr>
      </w:pPr>
    </w:p>
    <w:p>
      <w:pPr>
        <w:spacing w:line="360" w:lineRule="auto"/>
        <w:jc w:val="center"/>
        <w:rPr>
          <w:rFonts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A</w:t>
      </w:r>
      <w:bookmarkEnd w:id="1"/>
      <w:bookmarkStart w:id="2" w:name="_Toc154996576"/>
      <w:r>
        <w:rPr>
          <w:rFonts w:hint="eastAsia" w:asciiTheme="minorEastAsia" w:hAnsiTheme="minorEastAsia" w:eastAsiaTheme="minorEastAsia" w:cstheme="minorEastAsia"/>
          <w:b/>
          <w:bCs/>
          <w:color w:val="auto"/>
          <w:sz w:val="28"/>
          <w:szCs w:val="28"/>
        </w:rPr>
        <w:t>说明</w:t>
      </w:r>
    </w:p>
    <w:p>
      <w:pPr>
        <w:pStyle w:val="32"/>
        <w:spacing w:line="360" w:lineRule="auto"/>
        <w:ind w:firstLine="480" w:firstLineChars="200"/>
        <w:outlineLvl w:val="1"/>
        <w:rPr>
          <w:rFonts w:asciiTheme="minorEastAsia" w:hAnsiTheme="minorEastAsia" w:eastAsiaTheme="minorEastAsia" w:cstheme="minorEastAsia"/>
          <w:color w:val="auto"/>
          <w:sz w:val="24"/>
        </w:rPr>
      </w:pPr>
      <w:bookmarkStart w:id="3" w:name="_Toc243907571"/>
      <w:bookmarkStart w:id="4" w:name="_Toc233274811"/>
      <w:bookmarkStart w:id="5" w:name="_Toc243906311"/>
      <w:bookmarkStart w:id="6" w:name="_Toc246216180"/>
    </w:p>
    <w:p>
      <w:pPr>
        <w:pStyle w:val="32"/>
        <w:spacing w:line="360" w:lineRule="auto"/>
        <w:ind w:firstLine="480" w:firstLineChars="200"/>
        <w:outlineLvl w:val="1"/>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1、适用范围</w:t>
      </w:r>
      <w:bookmarkEnd w:id="3"/>
      <w:bookmarkEnd w:id="4"/>
      <w:bookmarkEnd w:id="5"/>
      <w:bookmarkEnd w:id="6"/>
      <w:r>
        <w:rPr>
          <w:rFonts w:hint="eastAsia" w:asciiTheme="minorEastAsia" w:hAnsiTheme="minorEastAsia" w:eastAsiaTheme="minorEastAsia" w:cstheme="minorEastAsia"/>
          <w:color w:val="auto"/>
          <w:sz w:val="24"/>
        </w:rPr>
        <w:t>及招标依据</w:t>
      </w:r>
    </w:p>
    <w:p>
      <w:pPr>
        <w:pStyle w:val="32"/>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1.1 适用范围</w:t>
      </w:r>
    </w:p>
    <w:p>
      <w:pPr>
        <w:pStyle w:val="52"/>
        <w:spacing w:before="0" w:beforeAutospacing="0" w:after="0" w:afterAutospacing="0" w:line="360" w:lineRule="auto"/>
        <w:ind w:firstLine="48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本招标文件仅针对于克拉玛依市中心医院1号（汉餐）、2号（清餐）食堂服务外包项目的招标。</w:t>
      </w:r>
    </w:p>
    <w:p>
      <w:pPr>
        <w:pStyle w:val="32"/>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1.2招标依据</w:t>
      </w:r>
    </w:p>
    <w:p>
      <w:pPr>
        <w:widowControl/>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根据《中华人民共和国政府采购法》、《中华人民共和国政府采购法实施条例》、《政府采购货物和服务招标投标管理办法》（中华人民共和国财政部令第87号）及有关法律、法规。</w:t>
      </w:r>
    </w:p>
    <w:p>
      <w:pPr>
        <w:pStyle w:val="32"/>
        <w:spacing w:line="360" w:lineRule="auto"/>
        <w:ind w:firstLine="480" w:firstLineChars="200"/>
        <w:outlineLvl w:val="1"/>
        <w:rPr>
          <w:rFonts w:asciiTheme="minorEastAsia" w:hAnsiTheme="minorEastAsia" w:eastAsiaTheme="minorEastAsia" w:cstheme="minorEastAsia"/>
          <w:color w:val="auto"/>
          <w:sz w:val="24"/>
        </w:rPr>
      </w:pPr>
      <w:bookmarkStart w:id="7" w:name="_Toc243907572"/>
      <w:bookmarkStart w:id="8" w:name="_Toc246216181"/>
      <w:bookmarkStart w:id="9" w:name="_Toc233274812"/>
      <w:bookmarkStart w:id="10" w:name="_Toc243906312"/>
      <w:r>
        <w:rPr>
          <w:rFonts w:hint="eastAsia" w:asciiTheme="minorEastAsia" w:hAnsiTheme="minorEastAsia" w:eastAsiaTheme="minorEastAsia" w:cstheme="minorEastAsia"/>
          <w:color w:val="auto"/>
          <w:sz w:val="24"/>
        </w:rPr>
        <w:t>2、定义</w:t>
      </w:r>
      <w:bookmarkEnd w:id="7"/>
      <w:bookmarkEnd w:id="8"/>
      <w:bookmarkEnd w:id="9"/>
      <w:bookmarkEnd w:id="10"/>
    </w:p>
    <w:p>
      <w:pPr>
        <w:pStyle w:val="32"/>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 “招标人”系指</w:t>
      </w:r>
      <w:r>
        <w:rPr>
          <w:rFonts w:hint="eastAsia" w:asciiTheme="minorEastAsia" w:hAnsiTheme="minorEastAsia" w:eastAsiaTheme="minorEastAsia" w:cstheme="minorEastAsia"/>
          <w:color w:val="auto"/>
          <w:sz w:val="24"/>
          <w:szCs w:val="24"/>
        </w:rPr>
        <w:t>克拉玛依市中心医院</w:t>
      </w:r>
      <w:r>
        <w:rPr>
          <w:rFonts w:hint="eastAsia" w:asciiTheme="minorEastAsia" w:hAnsiTheme="minorEastAsia" w:eastAsiaTheme="minorEastAsia" w:cstheme="minorEastAsia"/>
          <w:color w:val="auto"/>
          <w:sz w:val="24"/>
        </w:rPr>
        <w:t>，在签订和执行合同阶段称“发包人”。</w:t>
      </w:r>
    </w:p>
    <w:p>
      <w:pPr>
        <w:pStyle w:val="32"/>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2.2 </w:t>
      </w:r>
      <w:r>
        <w:rPr>
          <w:rFonts w:hint="eastAsia" w:asciiTheme="minorEastAsia" w:hAnsiTheme="minorEastAsia" w:eastAsiaTheme="minorEastAsia" w:cstheme="minorEastAsia"/>
          <w:color w:val="auto"/>
          <w:sz w:val="24"/>
          <w:szCs w:val="24"/>
        </w:rPr>
        <w:t>“招标代理机构”</w:t>
      </w:r>
      <w:r>
        <w:rPr>
          <w:rFonts w:hint="eastAsia" w:asciiTheme="minorEastAsia" w:hAnsiTheme="minorEastAsia" w:eastAsiaTheme="minorEastAsia" w:cstheme="minorEastAsia"/>
          <w:color w:val="auto"/>
          <w:sz w:val="24"/>
        </w:rPr>
        <w:t>系指新疆天麒工程项目管理咨询有限责任公司。</w:t>
      </w:r>
    </w:p>
    <w:p>
      <w:pPr>
        <w:pStyle w:val="32"/>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2.3 “投标人”系指具备资格并按招标文件要求提交投标文件的法人，投标人若中标，在签订和执行合同阶段称“承包人”。</w:t>
      </w:r>
    </w:p>
    <w:p>
      <w:pPr>
        <w:pStyle w:val="32"/>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rPr>
        <w:t>2.4 “招标文件”系指由招标人向投标人发出的本招标项目的全部文件（包括项目采购需求、修改文件、补充</w:t>
      </w:r>
      <w:r>
        <w:rPr>
          <w:rFonts w:hint="eastAsia" w:asciiTheme="minorEastAsia" w:hAnsiTheme="minorEastAsia" w:eastAsiaTheme="minorEastAsia" w:cstheme="minorEastAsia"/>
          <w:color w:val="auto"/>
          <w:sz w:val="24"/>
          <w:szCs w:val="24"/>
        </w:rPr>
        <w:t>文件、答疑纪要、各种通知和附件等）。</w:t>
      </w:r>
    </w:p>
    <w:p>
      <w:pPr>
        <w:pStyle w:val="32"/>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2.5 “投标文件”系指投标人根据招标文件提交的所有文件。</w:t>
      </w:r>
    </w:p>
    <w:p>
      <w:pPr>
        <w:spacing w:line="360" w:lineRule="auto"/>
        <w:ind w:firstLine="480" w:firstLineChars="200"/>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color w:val="auto"/>
          <w:sz w:val="24"/>
        </w:rPr>
        <w:t>2.6 “服务”系指合同条款、技术规范及标准、项目采购需求、本招标文件规定，中标人</w:t>
      </w:r>
      <w:r>
        <w:rPr>
          <w:rFonts w:hint="eastAsia" w:asciiTheme="minorEastAsia" w:hAnsiTheme="minorEastAsia" w:eastAsiaTheme="minorEastAsia" w:cstheme="minorEastAsia"/>
          <w:b/>
          <w:bCs/>
          <w:color w:val="auto"/>
          <w:sz w:val="24"/>
        </w:rPr>
        <w:t>对克拉玛依市中心医院1号（汉餐）、2号（清餐）食堂进行运营管理。</w:t>
      </w:r>
    </w:p>
    <w:p>
      <w:pPr>
        <w:pStyle w:val="32"/>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2.7凡提及的“天、日期、星期、月份和年份”系指公历日历的日历天、日期、星期、月份和年份。 </w:t>
      </w:r>
    </w:p>
    <w:p>
      <w:pPr>
        <w:pStyle w:val="32"/>
        <w:spacing w:line="360" w:lineRule="auto"/>
        <w:ind w:firstLine="482" w:firstLineChars="200"/>
        <w:outlineLvl w:val="1"/>
        <w:rPr>
          <w:rFonts w:asciiTheme="minorEastAsia" w:hAnsiTheme="minorEastAsia" w:eastAsiaTheme="minorEastAsia" w:cstheme="minorEastAsia"/>
          <w:b/>
          <w:color w:val="auto"/>
          <w:sz w:val="24"/>
          <w:szCs w:val="24"/>
        </w:rPr>
      </w:pPr>
      <w:bookmarkStart w:id="11" w:name="_Toc246216182"/>
      <w:bookmarkStart w:id="12" w:name="_Toc233274813"/>
      <w:bookmarkStart w:id="13" w:name="_Toc243906313"/>
      <w:bookmarkStart w:id="14" w:name="_Toc243907573"/>
      <w:r>
        <w:rPr>
          <w:rFonts w:hint="eastAsia" w:asciiTheme="minorEastAsia" w:hAnsiTheme="minorEastAsia" w:eastAsiaTheme="minorEastAsia" w:cstheme="minorEastAsia"/>
          <w:b/>
          <w:color w:val="auto"/>
          <w:sz w:val="24"/>
          <w:szCs w:val="24"/>
        </w:rPr>
        <w:t>3、</w:t>
      </w:r>
      <w:bookmarkEnd w:id="11"/>
      <w:bookmarkEnd w:id="12"/>
      <w:bookmarkEnd w:id="13"/>
      <w:bookmarkEnd w:id="14"/>
      <w:r>
        <w:rPr>
          <w:rFonts w:hint="eastAsia" w:asciiTheme="minorEastAsia" w:hAnsiTheme="minorEastAsia" w:eastAsiaTheme="minorEastAsia" w:cstheme="minorEastAsia"/>
          <w:b/>
          <w:color w:val="auto"/>
          <w:sz w:val="24"/>
          <w:szCs w:val="24"/>
        </w:rPr>
        <w:t>招标内容、标项划分及承包年限</w:t>
      </w:r>
    </w:p>
    <w:p>
      <w:pPr>
        <w:pStyle w:val="32"/>
        <w:spacing w:line="360" w:lineRule="auto"/>
        <w:ind w:firstLine="480" w:firstLineChars="200"/>
        <w:outlineLvl w:val="1"/>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Cs/>
          <w:color w:val="auto"/>
          <w:sz w:val="24"/>
        </w:rPr>
        <w:t>3.1</w:t>
      </w:r>
      <w:r>
        <w:rPr>
          <w:rFonts w:hint="eastAsia" w:asciiTheme="minorEastAsia" w:hAnsiTheme="minorEastAsia" w:eastAsiaTheme="minorEastAsia" w:cstheme="minorEastAsia"/>
          <w:b/>
          <w:color w:val="auto"/>
          <w:sz w:val="24"/>
        </w:rPr>
        <w:t>招标内容：</w:t>
      </w:r>
      <w:bookmarkStart w:id="15" w:name="_Toc243906314"/>
      <w:bookmarkStart w:id="16" w:name="_Toc243907574"/>
      <w:bookmarkStart w:id="17" w:name="_Toc233274814"/>
      <w:bookmarkStart w:id="18" w:name="_Toc246216183"/>
      <w:r>
        <w:rPr>
          <w:rFonts w:hint="eastAsia" w:asciiTheme="minorEastAsia" w:hAnsiTheme="minorEastAsia" w:eastAsiaTheme="minorEastAsia" w:cstheme="minorEastAsia"/>
          <w:b/>
          <w:bCs/>
          <w:color w:val="auto"/>
          <w:sz w:val="24"/>
        </w:rPr>
        <w:t>对克拉玛依市中心医院1号（汉餐）、2号（清餐）食堂进行运营管理。</w:t>
      </w:r>
    </w:p>
    <w:p>
      <w:pPr>
        <w:spacing w:line="360" w:lineRule="auto"/>
        <w:ind w:firstLine="482"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b/>
          <w:bCs/>
          <w:color w:val="auto"/>
          <w:sz w:val="24"/>
        </w:rPr>
        <w:t>3.2标项划分：</w:t>
      </w:r>
      <w:r>
        <w:rPr>
          <w:rFonts w:hint="eastAsia" w:asciiTheme="minorEastAsia" w:hAnsiTheme="minorEastAsia" w:eastAsiaTheme="minorEastAsia" w:cstheme="minorEastAsia"/>
          <w:color w:val="auto"/>
          <w:sz w:val="24"/>
        </w:rPr>
        <w:t>标项1：克拉玛依市中心医院1号（汉餐）食堂服务外包项目；</w:t>
      </w:r>
    </w:p>
    <w:p>
      <w:pP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标项2：克拉玛依市中心医院2号（清餐）食堂服务外包项目。</w:t>
      </w:r>
    </w:p>
    <w:p>
      <w:pPr>
        <w:spacing w:line="360" w:lineRule="auto"/>
        <w:ind w:firstLine="482" w:firstLineChars="200"/>
        <w:rPr>
          <w:rFonts w:asciiTheme="minorEastAsia" w:hAnsiTheme="minorEastAsia" w:eastAsiaTheme="minorEastAsia" w:cstheme="minorEastAsia"/>
          <w:b/>
          <w:bCs/>
          <w:color w:val="auto"/>
          <w:kern w:val="0"/>
          <w:sz w:val="24"/>
          <w:szCs w:val="20"/>
        </w:rPr>
      </w:pPr>
      <w:r>
        <w:rPr>
          <w:rFonts w:hint="eastAsia" w:asciiTheme="minorEastAsia" w:hAnsiTheme="minorEastAsia" w:eastAsiaTheme="minorEastAsia" w:cstheme="minorEastAsia"/>
          <w:b/>
          <w:bCs/>
          <w:color w:val="auto"/>
          <w:sz w:val="24"/>
        </w:rPr>
        <w:t>3.3承包年限：</w:t>
      </w:r>
      <w:r>
        <w:rPr>
          <w:rFonts w:hint="eastAsia" w:asciiTheme="minorEastAsia" w:hAnsiTheme="minorEastAsia" w:eastAsiaTheme="minorEastAsia" w:cstheme="minorEastAsia"/>
          <w:b/>
          <w:bCs/>
          <w:color w:val="auto"/>
          <w:kern w:val="0"/>
          <w:sz w:val="24"/>
          <w:szCs w:val="20"/>
        </w:rPr>
        <w:t>三年。</w:t>
      </w:r>
    </w:p>
    <w:p>
      <w:pP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特别说明：本项目职工食堂位于准噶尔路中心医院院区内。2020年底中心医院将迁址康城。届时职工人数将会大幅减少，但食堂仍须继续营业，承包商应承诺持续经营至承包期满。</w:t>
      </w:r>
    </w:p>
    <w:p>
      <w:pPr>
        <w:spacing w:line="360" w:lineRule="auto"/>
        <w:ind w:firstLine="480" w:firstLineChars="200"/>
        <w:rPr>
          <w:rFonts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rPr>
        <w:t>4、合格投标人资格要求</w:t>
      </w:r>
    </w:p>
    <w:p>
      <w:pPr>
        <w:spacing w:line="360" w:lineRule="auto"/>
        <w:ind w:firstLine="480" w:firstLineChars="200"/>
        <w:rPr>
          <w:rFonts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rPr>
        <w:t>4.1详见第一章“招标公告”中的投标人资格要求。</w:t>
      </w:r>
    </w:p>
    <w:bookmarkEnd w:id="15"/>
    <w:bookmarkEnd w:id="16"/>
    <w:bookmarkEnd w:id="17"/>
    <w:bookmarkEnd w:id="18"/>
    <w:p>
      <w:pPr>
        <w:snapToGrid w:val="0"/>
        <w:spacing w:line="360" w:lineRule="auto"/>
        <w:ind w:firstLine="472" w:firstLineChars="196"/>
        <w:rPr>
          <w:rFonts w:asciiTheme="minorEastAsia" w:hAnsiTheme="minorEastAsia" w:eastAsiaTheme="minorEastAsia" w:cstheme="minorEastAsia"/>
          <w:b/>
          <w:color w:val="auto"/>
          <w:sz w:val="24"/>
        </w:rPr>
      </w:pPr>
      <w:bookmarkStart w:id="19" w:name="_Toc245897275"/>
      <w:bookmarkStart w:id="20" w:name="_Toc243907575"/>
      <w:bookmarkStart w:id="21" w:name="_Toc243906315"/>
      <w:bookmarkStart w:id="22" w:name="_Toc233274815"/>
      <w:r>
        <w:rPr>
          <w:rFonts w:hint="eastAsia" w:asciiTheme="minorEastAsia" w:hAnsiTheme="minorEastAsia" w:eastAsiaTheme="minorEastAsia" w:cstheme="minorEastAsia"/>
          <w:b/>
          <w:color w:val="auto"/>
          <w:sz w:val="24"/>
        </w:rPr>
        <w:t>4.2单位负责人为同一人或者存在直接控股、管理关系的不同投标人，不得参加同一合同项下的政府采购活动。</w:t>
      </w:r>
    </w:p>
    <w:p>
      <w:pPr>
        <w:snapToGrid w:val="0"/>
        <w:spacing w:line="360" w:lineRule="auto"/>
        <w:ind w:firstLine="479" w:firstLineChars="199"/>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4.3为采购项目提供整体设计、规范编制或者项目管理、监理、检测等服务的投标人，不得再参加该采购项目的其他采购活动。</w:t>
      </w:r>
    </w:p>
    <w:p>
      <w:pPr>
        <w:snapToGrid w:val="0"/>
        <w:spacing w:line="360" w:lineRule="auto"/>
        <w:ind w:firstLine="479" w:firstLineChars="199"/>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4.4在单一品目的货物采购招标中，同一品牌同一型号的产品有多家投标人参加采购，只能按照一家投标人计算。</w:t>
      </w:r>
    </w:p>
    <w:p>
      <w:pPr>
        <w:spacing w:line="360" w:lineRule="auto"/>
        <w:ind w:firstLine="482" w:firstLineChars="200"/>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4.5同一分包的货物，制造商参与采购的，不得再委托代理商参与采购。</w:t>
      </w:r>
    </w:p>
    <w:p>
      <w:pPr>
        <w:pStyle w:val="520"/>
        <w:spacing w:line="360" w:lineRule="auto"/>
        <w:ind w:left="1" w:firstLine="482" w:firstLineChars="200"/>
        <w:rPr>
          <w:rFonts w:asciiTheme="minorEastAsia" w:hAnsiTheme="minorEastAsia" w:eastAsiaTheme="minorEastAsia" w:cstheme="minorEastAsia"/>
          <w:b/>
          <w:bCs/>
          <w:color w:val="auto"/>
          <w:kern w:val="2"/>
          <w:sz w:val="24"/>
          <w:szCs w:val="24"/>
        </w:rPr>
      </w:pPr>
      <w:r>
        <w:rPr>
          <w:rFonts w:hint="eastAsia" w:asciiTheme="minorEastAsia" w:hAnsiTheme="minorEastAsia" w:eastAsiaTheme="minorEastAsia" w:cstheme="minorEastAsia"/>
          <w:b/>
          <w:bCs/>
          <w:color w:val="auto"/>
          <w:kern w:val="2"/>
          <w:sz w:val="24"/>
          <w:szCs w:val="24"/>
        </w:rPr>
        <w:t>5、回避。政府采购活动中，招标人员及相关人员与投标人有下列利害关系之一的，应当回避：</w:t>
      </w:r>
    </w:p>
    <w:p>
      <w:pPr>
        <w:pStyle w:val="520"/>
        <w:spacing w:line="360" w:lineRule="auto"/>
        <w:ind w:left="1" w:firstLine="482" w:firstLineChars="200"/>
        <w:rPr>
          <w:rFonts w:asciiTheme="minorEastAsia" w:hAnsiTheme="minorEastAsia" w:eastAsiaTheme="minorEastAsia" w:cstheme="minorEastAsia"/>
          <w:b/>
          <w:bCs/>
          <w:color w:val="auto"/>
          <w:kern w:val="2"/>
          <w:sz w:val="24"/>
          <w:szCs w:val="24"/>
        </w:rPr>
      </w:pPr>
      <w:r>
        <w:rPr>
          <w:rFonts w:hint="eastAsia" w:asciiTheme="minorEastAsia" w:hAnsiTheme="minorEastAsia" w:eastAsiaTheme="minorEastAsia" w:cstheme="minorEastAsia"/>
          <w:b/>
          <w:bCs/>
          <w:color w:val="auto"/>
          <w:kern w:val="2"/>
          <w:sz w:val="24"/>
          <w:szCs w:val="24"/>
        </w:rPr>
        <w:t>5.1参加采购活动前3年内与投标人存在劳动关系；</w:t>
      </w:r>
    </w:p>
    <w:p>
      <w:pPr>
        <w:pStyle w:val="520"/>
        <w:spacing w:line="360" w:lineRule="auto"/>
        <w:ind w:left="1" w:firstLine="482" w:firstLineChars="200"/>
        <w:rPr>
          <w:rFonts w:asciiTheme="minorEastAsia" w:hAnsiTheme="minorEastAsia" w:eastAsiaTheme="minorEastAsia" w:cstheme="minorEastAsia"/>
          <w:b/>
          <w:bCs/>
          <w:color w:val="auto"/>
          <w:kern w:val="2"/>
          <w:sz w:val="24"/>
          <w:szCs w:val="24"/>
        </w:rPr>
      </w:pPr>
      <w:r>
        <w:rPr>
          <w:rFonts w:hint="eastAsia" w:asciiTheme="minorEastAsia" w:hAnsiTheme="minorEastAsia" w:eastAsiaTheme="minorEastAsia" w:cstheme="minorEastAsia"/>
          <w:b/>
          <w:bCs/>
          <w:color w:val="auto"/>
          <w:kern w:val="2"/>
          <w:sz w:val="24"/>
          <w:szCs w:val="24"/>
        </w:rPr>
        <w:t>5.2参加采购活动前3年内担任投标人的董事、监事；</w:t>
      </w:r>
    </w:p>
    <w:p>
      <w:pPr>
        <w:pStyle w:val="520"/>
        <w:spacing w:line="360" w:lineRule="auto"/>
        <w:ind w:left="1" w:firstLine="482" w:firstLineChars="200"/>
        <w:rPr>
          <w:rFonts w:asciiTheme="minorEastAsia" w:hAnsiTheme="minorEastAsia" w:eastAsiaTheme="minorEastAsia" w:cstheme="minorEastAsia"/>
          <w:b/>
          <w:bCs/>
          <w:color w:val="auto"/>
          <w:kern w:val="2"/>
          <w:sz w:val="24"/>
          <w:szCs w:val="24"/>
        </w:rPr>
      </w:pPr>
      <w:r>
        <w:rPr>
          <w:rFonts w:hint="eastAsia" w:asciiTheme="minorEastAsia" w:hAnsiTheme="minorEastAsia" w:eastAsiaTheme="minorEastAsia" w:cstheme="minorEastAsia"/>
          <w:b/>
          <w:bCs/>
          <w:color w:val="auto"/>
          <w:kern w:val="2"/>
          <w:sz w:val="24"/>
          <w:szCs w:val="24"/>
        </w:rPr>
        <w:t>5.3参加采购活动前3年内是投标人的控股股东或者实际控制人；</w:t>
      </w:r>
    </w:p>
    <w:p>
      <w:pPr>
        <w:pStyle w:val="520"/>
        <w:spacing w:line="360" w:lineRule="auto"/>
        <w:ind w:left="1" w:firstLine="482" w:firstLineChars="200"/>
        <w:rPr>
          <w:rFonts w:asciiTheme="minorEastAsia" w:hAnsiTheme="minorEastAsia" w:eastAsiaTheme="minorEastAsia" w:cstheme="minorEastAsia"/>
          <w:b/>
          <w:bCs/>
          <w:color w:val="auto"/>
          <w:kern w:val="2"/>
          <w:sz w:val="24"/>
          <w:szCs w:val="24"/>
        </w:rPr>
      </w:pPr>
      <w:r>
        <w:rPr>
          <w:rFonts w:hint="eastAsia" w:asciiTheme="minorEastAsia" w:hAnsiTheme="minorEastAsia" w:eastAsiaTheme="minorEastAsia" w:cstheme="minorEastAsia"/>
          <w:b/>
          <w:bCs/>
          <w:color w:val="auto"/>
          <w:kern w:val="2"/>
          <w:sz w:val="24"/>
          <w:szCs w:val="24"/>
        </w:rPr>
        <w:t>5.4与投标人的法定代表人或者负责人有夫妻、直系血亲、三代以内旁系血亲或者近姻亲关系；</w:t>
      </w:r>
    </w:p>
    <w:p>
      <w:pPr>
        <w:pStyle w:val="520"/>
        <w:spacing w:line="360" w:lineRule="auto"/>
        <w:ind w:left="1" w:firstLine="482" w:firstLineChars="200"/>
        <w:rPr>
          <w:rFonts w:asciiTheme="minorEastAsia" w:hAnsiTheme="minorEastAsia" w:eastAsiaTheme="minorEastAsia" w:cstheme="minorEastAsia"/>
          <w:b/>
          <w:bCs/>
          <w:color w:val="auto"/>
          <w:kern w:val="2"/>
          <w:sz w:val="24"/>
          <w:szCs w:val="24"/>
        </w:rPr>
      </w:pPr>
      <w:r>
        <w:rPr>
          <w:rFonts w:hint="eastAsia" w:asciiTheme="minorEastAsia" w:hAnsiTheme="minorEastAsia" w:eastAsiaTheme="minorEastAsia" w:cstheme="minorEastAsia"/>
          <w:b/>
          <w:bCs/>
          <w:color w:val="auto"/>
          <w:kern w:val="2"/>
          <w:sz w:val="24"/>
          <w:szCs w:val="24"/>
        </w:rPr>
        <w:t>5.5与投标人有其他可能影响政府采购活动公平、公正进行的关系。</w:t>
      </w:r>
    </w:p>
    <w:p>
      <w:pPr>
        <w:pStyle w:val="520"/>
        <w:spacing w:line="360" w:lineRule="auto"/>
        <w:ind w:left="1" w:firstLine="482" w:firstLineChars="200"/>
        <w:rPr>
          <w:rFonts w:asciiTheme="minorEastAsia" w:hAnsiTheme="minorEastAsia" w:eastAsiaTheme="minorEastAsia" w:cstheme="minorEastAsia"/>
          <w:b/>
          <w:bCs/>
          <w:color w:val="auto"/>
          <w:kern w:val="2"/>
          <w:sz w:val="24"/>
          <w:szCs w:val="24"/>
        </w:rPr>
      </w:pPr>
      <w:r>
        <w:rPr>
          <w:rFonts w:hint="eastAsia" w:asciiTheme="minorEastAsia" w:hAnsiTheme="minorEastAsia" w:eastAsiaTheme="minorEastAsia" w:cstheme="minorEastAsia"/>
          <w:b/>
          <w:bCs/>
          <w:color w:val="auto"/>
          <w:kern w:val="2"/>
          <w:sz w:val="24"/>
          <w:szCs w:val="24"/>
        </w:rPr>
        <w:t>本项目政府采购活动中需要依法回避的招标人员是指招标人内部负责采购项目的具体经办工作人员和直接分管采购项目的负责人，以及招标代理机构负责采购项目的具体经办工作人员和直接分管采购活动的负责人。本项目政府采购活动中需要依法回避的相关人员是指评标小组成员。</w:t>
      </w:r>
    </w:p>
    <w:p>
      <w:pPr>
        <w:pStyle w:val="520"/>
        <w:spacing w:line="360" w:lineRule="auto"/>
        <w:ind w:left="1" w:firstLine="482" w:firstLineChars="200"/>
        <w:rPr>
          <w:rFonts w:asciiTheme="minorEastAsia" w:hAnsiTheme="minorEastAsia" w:eastAsiaTheme="minorEastAsia" w:cstheme="minorEastAsia"/>
          <w:b/>
          <w:bCs/>
          <w:color w:val="auto"/>
          <w:kern w:val="2"/>
          <w:sz w:val="24"/>
          <w:szCs w:val="24"/>
        </w:rPr>
      </w:pPr>
      <w:r>
        <w:rPr>
          <w:rFonts w:hint="eastAsia" w:asciiTheme="minorEastAsia" w:hAnsiTheme="minorEastAsia" w:eastAsiaTheme="minorEastAsia" w:cstheme="minorEastAsia"/>
          <w:b/>
          <w:bCs/>
          <w:color w:val="auto"/>
          <w:kern w:val="2"/>
          <w:sz w:val="24"/>
          <w:szCs w:val="24"/>
        </w:rPr>
        <w:t>投标人认为招标人员及相关人员与其他投标人有利害关系的，可以向招标代理机构书面提出回避申请，并说明理由。招标代理机构将及时询问被申请回避人员，有利害关系的被申请回避人员应当回避。</w:t>
      </w:r>
    </w:p>
    <w:p>
      <w:pPr>
        <w:pStyle w:val="32"/>
        <w:spacing w:line="360" w:lineRule="auto"/>
        <w:ind w:firstLine="482"/>
        <w:outlineLvl w:val="1"/>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6、实地勘察和费用</w:t>
      </w:r>
      <w:bookmarkEnd w:id="19"/>
      <w:bookmarkEnd w:id="20"/>
      <w:bookmarkEnd w:id="21"/>
      <w:bookmarkEnd w:id="22"/>
    </w:p>
    <w:p>
      <w:pPr>
        <w:pStyle w:val="32"/>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6.1实地考察</w:t>
      </w:r>
    </w:p>
    <w:p>
      <w:pPr>
        <w:pStyle w:val="32"/>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招标人</w:t>
      </w:r>
      <w:r>
        <w:rPr>
          <w:rFonts w:hint="eastAsia" w:asciiTheme="minorEastAsia" w:hAnsiTheme="minorEastAsia" w:eastAsiaTheme="minorEastAsia" w:cstheme="minorEastAsia"/>
          <w:color w:val="auto"/>
          <w:sz w:val="24"/>
          <w:lang w:eastAsia="zh-CN"/>
        </w:rPr>
        <w:t>不</w:t>
      </w:r>
      <w:r>
        <w:rPr>
          <w:rFonts w:hint="eastAsia" w:asciiTheme="minorEastAsia" w:hAnsiTheme="minorEastAsia" w:eastAsiaTheme="minorEastAsia" w:cstheme="minorEastAsia"/>
          <w:color w:val="auto"/>
          <w:sz w:val="24"/>
        </w:rPr>
        <w:t>统一组织投标人进行实地考察。投标人须自行对招标项目的现场及招标项目所涉及的国家、自治区、克拉玛依地区、相关部门等与此相关的政策进行充分的调查、研究，参观并勘察现场及其周围环境（包括当地气候条件及自然环境等）以取得所有与准备公开招标和实施公开招标有关的必要资料及信息。实地考察所发生的任何费用均由投标人自理。</w:t>
      </w:r>
    </w:p>
    <w:p>
      <w:pPr>
        <w:pStyle w:val="32"/>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6.2参与公开招标费用</w:t>
      </w:r>
    </w:p>
    <w:p>
      <w:pPr>
        <w:pStyle w:val="32"/>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6.2.1投标人应承担所有与公开招标准备和公开招标有关的全部费用，不论公开招标结果如何，招标人和招标代理机构无义务和责任承担投标人所发生的一切费用。</w:t>
      </w:r>
    </w:p>
    <w:p>
      <w:pPr>
        <w:pStyle w:val="32"/>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6.2.2投标人在公开招标准备、实地考察和公开招标的全过程中，如果发生人身伤亡、财物或其它任何损失，不论何种原因所造成，均由投标人自行承担全部责任和损失。</w:t>
      </w:r>
    </w:p>
    <w:p>
      <w:pPr>
        <w:pStyle w:val="32"/>
        <w:spacing w:line="360" w:lineRule="auto"/>
        <w:ind w:firstLine="480" w:firstLineChars="200"/>
        <w:outlineLvl w:val="1"/>
        <w:rPr>
          <w:rFonts w:asciiTheme="minorEastAsia" w:hAnsiTheme="minorEastAsia" w:eastAsiaTheme="minorEastAsia" w:cstheme="minorEastAsia"/>
          <w:color w:val="auto"/>
          <w:sz w:val="24"/>
        </w:rPr>
      </w:pPr>
      <w:bookmarkStart w:id="23" w:name="_Toc233274816"/>
      <w:bookmarkStart w:id="24" w:name="_Toc243906316"/>
      <w:bookmarkStart w:id="25" w:name="_Toc245897276"/>
      <w:bookmarkStart w:id="26" w:name="_Toc243907576"/>
      <w:r>
        <w:rPr>
          <w:rFonts w:hint="eastAsia" w:asciiTheme="minorEastAsia" w:hAnsiTheme="minorEastAsia" w:eastAsiaTheme="minorEastAsia" w:cstheme="minorEastAsia"/>
          <w:color w:val="auto"/>
          <w:sz w:val="24"/>
        </w:rPr>
        <w:t>7、法律适用</w:t>
      </w:r>
      <w:bookmarkEnd w:id="23"/>
      <w:bookmarkEnd w:id="24"/>
      <w:bookmarkEnd w:id="25"/>
      <w:bookmarkEnd w:id="26"/>
    </w:p>
    <w:p>
      <w:pPr>
        <w:pStyle w:val="32"/>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7.1本次公开招标活动及由本次公开招标产生的合同受中国法律制约和保护。</w:t>
      </w:r>
    </w:p>
    <w:p>
      <w:pPr>
        <w:pStyle w:val="32"/>
        <w:spacing w:line="360" w:lineRule="auto"/>
        <w:ind w:firstLine="480" w:firstLineChars="200"/>
        <w:outlineLvl w:val="1"/>
        <w:rPr>
          <w:rFonts w:asciiTheme="minorEastAsia" w:hAnsiTheme="minorEastAsia" w:eastAsiaTheme="minorEastAsia" w:cstheme="minorEastAsia"/>
          <w:color w:val="auto"/>
          <w:sz w:val="24"/>
        </w:rPr>
      </w:pPr>
      <w:bookmarkStart w:id="27" w:name="_Toc243906317"/>
      <w:bookmarkStart w:id="28" w:name="_Toc243907577"/>
      <w:bookmarkStart w:id="29" w:name="_Toc233274817"/>
      <w:bookmarkStart w:id="30" w:name="_Toc245897277"/>
      <w:r>
        <w:rPr>
          <w:rFonts w:hint="eastAsia" w:asciiTheme="minorEastAsia" w:hAnsiTheme="minorEastAsia" w:eastAsiaTheme="minorEastAsia" w:cstheme="minorEastAsia"/>
          <w:color w:val="auto"/>
          <w:sz w:val="24"/>
        </w:rPr>
        <w:t>8、招标文件的约束力</w:t>
      </w:r>
      <w:bookmarkEnd w:id="27"/>
      <w:bookmarkEnd w:id="28"/>
      <w:bookmarkEnd w:id="29"/>
      <w:bookmarkEnd w:id="30"/>
    </w:p>
    <w:p>
      <w:pPr>
        <w:pStyle w:val="32"/>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8.1投标人若中标，即被认为接受了本招标文件中的所有条件和规定。是招标人与中标人签订合同的依据且是合同的组成部分。</w:t>
      </w:r>
    </w:p>
    <w:bookmarkEnd w:id="2"/>
    <w:p>
      <w:pPr>
        <w:spacing w:line="360" w:lineRule="auto"/>
        <w:rPr>
          <w:rFonts w:asciiTheme="minorEastAsia" w:hAnsiTheme="minorEastAsia" w:eastAsiaTheme="minorEastAsia" w:cstheme="minorEastAsia"/>
          <w:color w:val="auto"/>
          <w:sz w:val="24"/>
        </w:rPr>
      </w:pPr>
    </w:p>
    <w:p>
      <w:pPr>
        <w:pStyle w:val="32"/>
        <w:spacing w:line="360" w:lineRule="auto"/>
        <w:jc w:val="center"/>
        <w:outlineLvl w:val="1"/>
        <w:rPr>
          <w:rFonts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bCs/>
          <w:color w:val="auto"/>
          <w:sz w:val="28"/>
          <w:szCs w:val="28"/>
        </w:rPr>
        <w:t>B  招标文件</w:t>
      </w:r>
    </w:p>
    <w:p>
      <w:pPr>
        <w:pStyle w:val="32"/>
        <w:spacing w:line="360" w:lineRule="auto"/>
        <w:ind w:firstLine="480" w:firstLineChars="200"/>
        <w:outlineLvl w:val="1"/>
        <w:rPr>
          <w:rFonts w:asciiTheme="minorEastAsia" w:hAnsiTheme="minorEastAsia" w:eastAsiaTheme="minorEastAsia" w:cstheme="minorEastAsia"/>
          <w:color w:val="auto"/>
          <w:sz w:val="24"/>
        </w:rPr>
      </w:pPr>
      <w:bookmarkStart w:id="31" w:name="_Toc246216188"/>
      <w:bookmarkStart w:id="32" w:name="_Toc243906319"/>
      <w:bookmarkStart w:id="33" w:name="_Toc233274819"/>
      <w:bookmarkStart w:id="34" w:name="_Toc243907579"/>
    </w:p>
    <w:p>
      <w:pPr>
        <w:pStyle w:val="32"/>
        <w:spacing w:line="360" w:lineRule="auto"/>
        <w:ind w:firstLine="480" w:firstLineChars="200"/>
        <w:outlineLvl w:val="1"/>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9、招标文件的组成</w:t>
      </w:r>
      <w:bookmarkEnd w:id="31"/>
      <w:bookmarkEnd w:id="32"/>
      <w:bookmarkEnd w:id="33"/>
      <w:bookmarkEnd w:id="34"/>
    </w:p>
    <w:p>
      <w:pPr>
        <w:spacing w:line="360" w:lineRule="auto"/>
        <w:ind w:firstLine="481"/>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rPr>
        <w:t>9.1 本招标文件是对克拉玛依市中心医院1号（汉餐）、2号（清餐）食堂服务外包项目公开程序、合同条款进行说明。招标文件包括下列内容：</w:t>
      </w:r>
    </w:p>
    <w:p>
      <w:pPr>
        <w:spacing w:line="360" w:lineRule="auto"/>
        <w:ind w:firstLine="481"/>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第一章  招标公告</w:t>
      </w:r>
    </w:p>
    <w:p>
      <w:pPr>
        <w:spacing w:line="360" w:lineRule="auto"/>
        <w:ind w:firstLine="481"/>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第二章  投标人须知</w:t>
      </w:r>
    </w:p>
    <w:p>
      <w:pPr>
        <w:spacing w:line="360" w:lineRule="auto"/>
        <w:ind w:firstLine="481"/>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第三章  项目采购需求</w:t>
      </w:r>
    </w:p>
    <w:p>
      <w:pPr>
        <w:spacing w:line="360" w:lineRule="auto"/>
        <w:ind w:firstLine="481"/>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第四章  合同条款</w:t>
      </w:r>
    </w:p>
    <w:p>
      <w:pPr>
        <w:spacing w:line="360" w:lineRule="auto"/>
        <w:ind w:firstLine="481"/>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第五章  投标文件格式</w:t>
      </w:r>
      <w:r>
        <w:rPr>
          <w:rFonts w:hint="eastAsia" w:asciiTheme="minorEastAsia" w:hAnsiTheme="minorEastAsia" w:eastAsiaTheme="minorEastAsia" w:cstheme="minorEastAsia"/>
          <w:color w:val="auto"/>
          <w:sz w:val="24"/>
        </w:rPr>
        <w:tab/>
      </w:r>
      <w:r>
        <w:rPr>
          <w:rFonts w:hint="eastAsia" w:asciiTheme="minorEastAsia" w:hAnsiTheme="minorEastAsia" w:eastAsiaTheme="minorEastAsia" w:cstheme="minorEastAsia"/>
          <w:color w:val="auto"/>
          <w:sz w:val="24"/>
        </w:rPr>
        <w:tab/>
      </w:r>
    </w:p>
    <w:p>
      <w:pPr>
        <w:spacing w:line="360" w:lineRule="auto"/>
        <w:ind w:firstLine="481"/>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第六章  评标办法（综合评分法）</w:t>
      </w:r>
    </w:p>
    <w:p>
      <w:pPr>
        <w:pStyle w:val="32"/>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9.2 招标文件以中文编印，以中文文本为准。</w:t>
      </w:r>
    </w:p>
    <w:p>
      <w:pPr>
        <w:pStyle w:val="32"/>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9.3 除非有特殊要求，招标文件不单独提供招标项目使用地的自然环境、气候条件、劳动力及公用设施等情况，投标人被视为熟悉上述条件或若中标履行合同有关的一切情况。</w:t>
      </w:r>
    </w:p>
    <w:p>
      <w:pPr>
        <w:pStyle w:val="32"/>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9.4招标人向投标人提供的有关数据和资料，是招标人现有的能被投标人利用的资料，投标人对此做出的推论、理解和结论自行负责。</w:t>
      </w:r>
    </w:p>
    <w:p>
      <w:pPr>
        <w:pStyle w:val="32"/>
        <w:spacing w:line="360" w:lineRule="auto"/>
        <w:ind w:firstLine="480" w:firstLineChars="200"/>
        <w:outlineLvl w:val="1"/>
        <w:rPr>
          <w:rFonts w:asciiTheme="minorEastAsia" w:hAnsiTheme="minorEastAsia" w:eastAsiaTheme="minorEastAsia" w:cstheme="minorEastAsia"/>
          <w:color w:val="auto"/>
          <w:sz w:val="24"/>
        </w:rPr>
      </w:pPr>
      <w:bookmarkStart w:id="35" w:name="_Toc243907580"/>
      <w:bookmarkStart w:id="36" w:name="_Toc243906320"/>
      <w:bookmarkStart w:id="37" w:name="_Toc245897280"/>
      <w:bookmarkStart w:id="38" w:name="_Toc233274820"/>
      <w:r>
        <w:rPr>
          <w:rFonts w:hint="eastAsia" w:asciiTheme="minorEastAsia" w:hAnsiTheme="minorEastAsia" w:eastAsiaTheme="minorEastAsia" w:cstheme="minorEastAsia"/>
          <w:color w:val="auto"/>
          <w:sz w:val="24"/>
        </w:rPr>
        <w:t>10、招标文件的澄清</w:t>
      </w:r>
      <w:bookmarkEnd w:id="35"/>
      <w:bookmarkEnd w:id="36"/>
      <w:bookmarkEnd w:id="37"/>
      <w:bookmarkEnd w:id="38"/>
    </w:p>
    <w:p>
      <w:pPr>
        <w:pStyle w:val="32"/>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10.1 投标人对招标文件如有疑问，可要求澄清，应按招标文件“投标人须知前附表第7条”以书面形式（必须加盖投标人公章）</w:t>
      </w:r>
      <w:r>
        <w:rPr>
          <w:rFonts w:hint="eastAsia" w:hAnsi="宋体" w:cs="宋体"/>
          <w:color w:val="auto"/>
          <w:sz w:val="24"/>
          <w:szCs w:val="24"/>
        </w:rPr>
        <w:t>送达至新疆天麒工程项目管理咨询有限责任公司或发至603781401@qq.com</w:t>
      </w:r>
      <w:r>
        <w:rPr>
          <w:rFonts w:hint="eastAsia" w:asciiTheme="minorEastAsia" w:hAnsiTheme="minorEastAsia" w:eastAsiaTheme="minorEastAsia" w:cstheme="minorEastAsia"/>
          <w:color w:val="auto"/>
          <w:sz w:val="24"/>
        </w:rPr>
        <w:t>。招标人和招标代理机构将视情况以书面形式予以答复，并发至领取招标文件的每位投标人。答复中包括所提问题，但不包括问题的来源。</w:t>
      </w:r>
    </w:p>
    <w:p>
      <w:pPr>
        <w:pStyle w:val="32"/>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10.2 如果上述答复涉及对招标文件的修改或补充，则它将被视为招标文件的组成部分。凡原先所发招标文件中的内容与答复中的内容不一致之处，以最后书面答复为准。任何电话或口头咨询和答复的意思解释均不具有法律约束力。</w:t>
      </w:r>
    </w:p>
    <w:p>
      <w:pPr>
        <w:pStyle w:val="32"/>
        <w:spacing w:line="360" w:lineRule="auto"/>
        <w:ind w:firstLine="480" w:firstLineChars="200"/>
        <w:rPr>
          <w:rFonts w:asciiTheme="minorEastAsia" w:hAnsiTheme="minorEastAsia" w:eastAsiaTheme="minorEastAsia" w:cstheme="minorEastAsia"/>
          <w:color w:val="auto"/>
          <w:sz w:val="24"/>
        </w:rPr>
      </w:pPr>
      <w:bookmarkStart w:id="39" w:name="_Toc233274821"/>
      <w:bookmarkStart w:id="40" w:name="_Toc245897281"/>
      <w:bookmarkStart w:id="41" w:name="_Toc243906321"/>
      <w:bookmarkStart w:id="42" w:name="_Toc243907581"/>
      <w:r>
        <w:rPr>
          <w:rFonts w:hint="eastAsia" w:asciiTheme="minorEastAsia" w:hAnsiTheme="minorEastAsia" w:eastAsiaTheme="minorEastAsia" w:cstheme="minorEastAsia"/>
          <w:color w:val="auto"/>
          <w:sz w:val="24"/>
        </w:rPr>
        <w:t>11、招标文件的修改和补充</w:t>
      </w:r>
      <w:bookmarkEnd w:id="39"/>
      <w:bookmarkEnd w:id="40"/>
      <w:bookmarkEnd w:id="41"/>
      <w:bookmarkEnd w:id="42"/>
      <w:r>
        <w:rPr>
          <w:rFonts w:hint="eastAsia" w:asciiTheme="minorEastAsia" w:hAnsiTheme="minorEastAsia" w:eastAsiaTheme="minorEastAsia" w:cstheme="minorEastAsia"/>
          <w:color w:val="auto"/>
          <w:sz w:val="24"/>
        </w:rPr>
        <w:tab/>
      </w:r>
    </w:p>
    <w:p>
      <w:pPr>
        <w:pStyle w:val="32"/>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11.1澄清或者修改的内容可能影响投标文件编制的，招标人或者招标代理机构应当在投标截止时间至少15日前，以书面形式通知所有获取招标文件的潜在投标人；不足15日的，招标人或者招标代理机构应当顺延提交投标文件的截止时间。修改或补充文件将作为招标文件的组成部分，对所有投标人具有约束力。</w:t>
      </w:r>
    </w:p>
    <w:p>
      <w:pPr>
        <w:pStyle w:val="32"/>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11.2投标人在每次收到招标代理机构发至的书面文件后，应在收到后24小时内以书面形式并加盖投标人公章予以确认。</w:t>
      </w:r>
    </w:p>
    <w:p>
      <w:pPr>
        <w:pStyle w:val="32"/>
        <w:spacing w:line="360" w:lineRule="auto"/>
        <w:jc w:val="center"/>
        <w:outlineLvl w:val="1"/>
        <w:rPr>
          <w:rFonts w:asciiTheme="minorEastAsia" w:hAnsiTheme="minorEastAsia" w:eastAsiaTheme="minorEastAsia" w:cstheme="minorEastAsia"/>
          <w:b/>
          <w:bCs/>
          <w:color w:val="auto"/>
          <w:sz w:val="28"/>
          <w:szCs w:val="28"/>
        </w:rPr>
      </w:pPr>
      <w:bookmarkStart w:id="43" w:name="_Toc243907582"/>
      <w:bookmarkStart w:id="44" w:name="_Toc243906322"/>
      <w:bookmarkStart w:id="45" w:name="_Toc246216191"/>
      <w:bookmarkStart w:id="46" w:name="_Toc233274822"/>
      <w:bookmarkStart w:id="47" w:name="_Toc154996580"/>
    </w:p>
    <w:p>
      <w:pPr>
        <w:pStyle w:val="32"/>
        <w:spacing w:line="360" w:lineRule="auto"/>
        <w:ind w:firstLine="562" w:firstLineChars="200"/>
        <w:jc w:val="center"/>
        <w:outlineLvl w:val="1"/>
        <w:rPr>
          <w:rFonts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 xml:space="preserve">   C 投标文件的编写</w:t>
      </w:r>
      <w:bookmarkEnd w:id="43"/>
      <w:bookmarkEnd w:id="44"/>
      <w:bookmarkEnd w:id="45"/>
      <w:bookmarkEnd w:id="46"/>
    </w:p>
    <w:p>
      <w:pPr>
        <w:pStyle w:val="32"/>
        <w:spacing w:line="360" w:lineRule="auto"/>
        <w:ind w:firstLine="480" w:firstLineChars="200"/>
        <w:rPr>
          <w:rFonts w:asciiTheme="minorEastAsia" w:hAnsiTheme="minorEastAsia" w:eastAsiaTheme="minorEastAsia" w:cstheme="minorEastAsia"/>
          <w:color w:val="auto"/>
          <w:sz w:val="24"/>
        </w:rPr>
      </w:pPr>
    </w:p>
    <w:p>
      <w:pPr>
        <w:pStyle w:val="32"/>
        <w:spacing w:line="360" w:lineRule="auto"/>
        <w:ind w:firstLine="480" w:firstLineChars="200"/>
        <w:outlineLvl w:val="1"/>
        <w:rPr>
          <w:rFonts w:asciiTheme="minorEastAsia" w:hAnsiTheme="minorEastAsia" w:eastAsiaTheme="minorEastAsia" w:cstheme="minorEastAsia"/>
          <w:color w:val="auto"/>
          <w:sz w:val="24"/>
        </w:rPr>
      </w:pPr>
      <w:bookmarkStart w:id="48" w:name="_Toc233274823"/>
      <w:bookmarkStart w:id="49" w:name="_Toc243907583"/>
      <w:bookmarkStart w:id="50" w:name="_Toc245897283"/>
      <w:bookmarkStart w:id="51" w:name="_Toc243906323"/>
      <w:r>
        <w:rPr>
          <w:rFonts w:hint="eastAsia" w:asciiTheme="minorEastAsia" w:hAnsiTheme="minorEastAsia" w:eastAsiaTheme="minorEastAsia" w:cstheme="minorEastAsia"/>
          <w:color w:val="auto"/>
          <w:sz w:val="24"/>
        </w:rPr>
        <w:t>1</w:t>
      </w:r>
      <w:bookmarkEnd w:id="48"/>
      <w:r>
        <w:rPr>
          <w:rFonts w:hint="eastAsia" w:asciiTheme="minorEastAsia" w:hAnsiTheme="minorEastAsia" w:eastAsiaTheme="minorEastAsia" w:cstheme="minorEastAsia"/>
          <w:color w:val="auto"/>
          <w:sz w:val="24"/>
        </w:rPr>
        <w:t>2、投标文件的编写</w:t>
      </w:r>
      <w:bookmarkEnd w:id="49"/>
      <w:bookmarkEnd w:id="50"/>
      <w:bookmarkEnd w:id="51"/>
    </w:p>
    <w:p>
      <w:pPr>
        <w:spacing w:line="360" w:lineRule="auto"/>
        <w:ind w:firstLine="48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rPr>
        <w:t>12.1投标人必须详细阅读招标文件的章、节、条款、格式等所有内容，按招标文件的要求提交投标文件，并保证所提供的全部文件及相关资料的真实性，以使其对招标文件做出实质性投标。投标人应仔细阅读并充分理解招标文件、技术规范及标准、项目采购需求、合同条款后</w:t>
      </w:r>
      <w:r>
        <w:rPr>
          <w:rFonts w:hint="eastAsia" w:asciiTheme="minorEastAsia" w:hAnsiTheme="minorEastAsia" w:eastAsiaTheme="minorEastAsia" w:cstheme="minorEastAsia"/>
          <w:b/>
          <w:color w:val="auto"/>
          <w:sz w:val="24"/>
        </w:rPr>
        <w:t>编制投标文件</w:t>
      </w:r>
      <w:r>
        <w:rPr>
          <w:rFonts w:hint="eastAsia" w:asciiTheme="minorEastAsia" w:hAnsiTheme="minorEastAsia" w:eastAsiaTheme="minorEastAsia" w:cstheme="minorEastAsia"/>
          <w:color w:val="auto"/>
          <w:sz w:val="24"/>
        </w:rPr>
        <w:t>。</w:t>
      </w:r>
    </w:p>
    <w:p>
      <w:pPr>
        <w:pStyle w:val="32"/>
        <w:spacing w:line="360" w:lineRule="auto"/>
        <w:ind w:firstLine="480" w:firstLineChars="200"/>
        <w:outlineLvl w:val="1"/>
        <w:rPr>
          <w:rFonts w:asciiTheme="minorEastAsia" w:hAnsiTheme="minorEastAsia" w:eastAsiaTheme="minorEastAsia" w:cstheme="minorEastAsia"/>
          <w:color w:val="auto"/>
          <w:sz w:val="24"/>
        </w:rPr>
      </w:pPr>
      <w:bookmarkStart w:id="52" w:name="_Toc243907584"/>
      <w:bookmarkStart w:id="53" w:name="_Toc245897284"/>
      <w:bookmarkStart w:id="54" w:name="_Toc233274824"/>
      <w:bookmarkStart w:id="55" w:name="_Toc243906324"/>
      <w:r>
        <w:rPr>
          <w:rFonts w:hint="eastAsia" w:asciiTheme="minorEastAsia" w:hAnsiTheme="minorEastAsia" w:eastAsiaTheme="minorEastAsia" w:cstheme="minorEastAsia"/>
          <w:color w:val="auto"/>
          <w:sz w:val="24"/>
        </w:rPr>
        <w:t>13、投标文件的语言及计量单位</w:t>
      </w:r>
      <w:bookmarkEnd w:id="52"/>
      <w:bookmarkEnd w:id="53"/>
      <w:bookmarkEnd w:id="54"/>
      <w:bookmarkEnd w:id="55"/>
    </w:p>
    <w:p>
      <w:pPr>
        <w:pStyle w:val="32"/>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13.1 投标文件及投标人和招标人及招标代理机构就有关公开的所有文件和来往函件，应以中文书写。投标人可以提交用其他语言（原文）打印的资料，但必须翻译成中文，当原文和译文（中文）之间存有差异和/或矛盾时，以中文为准。</w:t>
      </w:r>
    </w:p>
    <w:p>
      <w:pPr>
        <w:pStyle w:val="32"/>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13.2 除在招标文件的项目采购需求中另有规定外，计量单位应使用中华人民共和国法定计量单位（国际单位制和国家选定的其它计量单位）。如投标人采用其它计量单位，需事先得到招标人的同意。</w:t>
      </w:r>
    </w:p>
    <w:p>
      <w:pPr>
        <w:pStyle w:val="32"/>
        <w:spacing w:line="360" w:lineRule="auto"/>
        <w:ind w:firstLine="480" w:firstLineChars="200"/>
        <w:rPr>
          <w:rFonts w:asciiTheme="minorEastAsia" w:hAnsiTheme="minorEastAsia" w:eastAsiaTheme="minorEastAsia" w:cstheme="minorEastAsia"/>
          <w:color w:val="auto"/>
          <w:sz w:val="24"/>
        </w:rPr>
      </w:pPr>
      <w:bookmarkStart w:id="56" w:name="_Toc243907585"/>
      <w:bookmarkStart w:id="57" w:name="_Toc245897285"/>
      <w:bookmarkStart w:id="58" w:name="_Toc233274825"/>
      <w:bookmarkStart w:id="59" w:name="_Toc243906325"/>
      <w:r>
        <w:rPr>
          <w:rFonts w:hint="eastAsia" w:asciiTheme="minorEastAsia" w:hAnsiTheme="minorEastAsia" w:eastAsiaTheme="minorEastAsia" w:cstheme="minorEastAsia"/>
          <w:color w:val="auto"/>
          <w:sz w:val="24"/>
        </w:rPr>
        <w:t>14、知识产权</w:t>
      </w:r>
    </w:p>
    <w:p>
      <w:pPr>
        <w:pStyle w:val="32"/>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14.1投标人应保证在本项目使用的任何产品和服务时，不会产生因第三方提出侵犯其专利权、商标权或其它知识产权而引起的法律和经济纠纷，如因专利权、商标权或其它知识产权而引起法律和经济纠纷，由投标人承担所有相关责任。</w:t>
      </w:r>
    </w:p>
    <w:p>
      <w:pPr>
        <w:pStyle w:val="32"/>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szCs w:val="24"/>
        </w:rPr>
        <w:t>14.2 招标人享有本项目实施过程中产生的知识成果及知识产权。</w:t>
      </w:r>
    </w:p>
    <w:p>
      <w:pP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14.3投标人如欲在项目实施过程中采用自有知识成果，需在投标文件中声明，并提供相关知识产权证明文件。使用该知识成果后，投标人需承诺提供无限期技术支持，招标人享有永久使用权。</w:t>
      </w:r>
    </w:p>
    <w:p>
      <w:pPr>
        <w:pStyle w:val="32"/>
        <w:spacing w:line="360" w:lineRule="auto"/>
        <w:ind w:firstLine="482" w:firstLineChars="200"/>
        <w:outlineLvl w:val="1"/>
        <w:rPr>
          <w:rFonts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rPr>
        <w:t>15、</w:t>
      </w:r>
      <w:bookmarkEnd w:id="56"/>
      <w:bookmarkEnd w:id="57"/>
      <w:bookmarkEnd w:id="58"/>
      <w:bookmarkEnd w:id="59"/>
      <w:r>
        <w:rPr>
          <w:rFonts w:hint="eastAsia" w:asciiTheme="minorEastAsia" w:hAnsiTheme="minorEastAsia" w:eastAsiaTheme="minorEastAsia" w:cstheme="minorEastAsia"/>
          <w:b/>
          <w:color w:val="auto"/>
          <w:sz w:val="24"/>
        </w:rPr>
        <w:t>投标文件的组成：</w:t>
      </w:r>
    </w:p>
    <w:p>
      <w:pPr>
        <w:spacing w:line="360" w:lineRule="auto"/>
        <w:ind w:firstLine="482" w:firstLineChars="200"/>
        <w:jc w:val="left"/>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各投标人应对照第三章“项目采购需求”及第六章“评标办法（综合评分法）”提供必要的证明资料，投标文件应包括以下内容（但不限于以下内容）：</w:t>
      </w:r>
    </w:p>
    <w:p>
      <w:pPr>
        <w:spacing w:line="360" w:lineRule="auto"/>
        <w:ind w:firstLine="482" w:firstLineChars="200"/>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15.1资格证明文件</w:t>
      </w:r>
    </w:p>
    <w:p>
      <w:pP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投标人资格证明文件应简要客观反映企业面貌，使招标人对其有感性了解，必须如实提供，如发现失实之处将影响其中标。资格证明文件包括但不仅限于以下内容，投标人对照第六对章“1、资格性审查”提供必要的证明材料：</w:t>
      </w:r>
    </w:p>
    <w:p>
      <w:pPr>
        <w:numPr>
          <w:ilvl w:val="0"/>
          <w:numId w:val="2"/>
        </w:numPr>
        <w:tabs>
          <w:tab w:val="left" w:pos="0"/>
        </w:tabs>
        <w:spacing w:line="360" w:lineRule="auto"/>
        <w:ind w:left="5" w:firstLine="415"/>
        <w:jc w:val="left"/>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法定代表人资格证明书</w:t>
      </w:r>
      <w:r>
        <w:rPr>
          <w:rFonts w:hint="eastAsia" w:asciiTheme="minorEastAsia" w:hAnsiTheme="minorEastAsia" w:eastAsiaTheme="minorEastAsia" w:cstheme="minorEastAsia"/>
          <w:color w:val="auto"/>
          <w:sz w:val="24"/>
        </w:rPr>
        <w:t>（详见格式1）；</w:t>
      </w:r>
    </w:p>
    <w:p>
      <w:pPr>
        <w:numPr>
          <w:ilvl w:val="0"/>
          <w:numId w:val="2"/>
        </w:numPr>
        <w:spacing w:line="360" w:lineRule="auto"/>
        <w:ind w:left="5" w:firstLine="415"/>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bCs/>
          <w:color w:val="auto"/>
          <w:sz w:val="24"/>
        </w:rPr>
        <w:t>法定代表人授权委托书</w:t>
      </w:r>
      <w:r>
        <w:rPr>
          <w:rFonts w:hint="eastAsia" w:asciiTheme="minorEastAsia" w:hAnsiTheme="minorEastAsia" w:eastAsiaTheme="minorEastAsia" w:cstheme="minorEastAsia"/>
          <w:color w:val="auto"/>
          <w:sz w:val="24"/>
        </w:rPr>
        <w:t>（详见格式2）；</w:t>
      </w:r>
    </w:p>
    <w:p>
      <w:pPr>
        <w:numPr>
          <w:ilvl w:val="0"/>
          <w:numId w:val="2"/>
        </w:numPr>
        <w:spacing w:line="360" w:lineRule="auto"/>
        <w:ind w:left="5" w:firstLine="415"/>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有效期内的三证合一企业营业执照（复印件）；</w:t>
      </w:r>
    </w:p>
    <w:p>
      <w:pPr>
        <w:numPr>
          <w:ilvl w:val="0"/>
          <w:numId w:val="2"/>
        </w:numPr>
        <w:spacing w:line="360" w:lineRule="auto"/>
        <w:ind w:left="5" w:firstLine="415"/>
        <w:rPr>
          <w:rFonts w:asciiTheme="minorEastAsia" w:hAnsiTheme="minorEastAsia" w:eastAsiaTheme="minorEastAsia" w:cstheme="minorEastAsia"/>
          <w:color w:val="auto"/>
          <w:sz w:val="24"/>
        </w:rPr>
      </w:pPr>
      <w:r>
        <w:rPr>
          <w:rFonts w:hint="eastAsia" w:ascii="宋体" w:hAnsi="宋体" w:cs="宋体"/>
          <w:color w:val="auto"/>
          <w:sz w:val="24"/>
        </w:rPr>
        <w:t>具有在有效期内的《餐饮服务许可证》或《食品经营许可证》</w:t>
      </w:r>
      <w:r>
        <w:rPr>
          <w:rFonts w:hint="eastAsia" w:asciiTheme="minorEastAsia" w:hAnsiTheme="minorEastAsia" w:eastAsiaTheme="minorEastAsia" w:cstheme="minorEastAsia"/>
          <w:color w:val="auto"/>
          <w:sz w:val="24"/>
        </w:rPr>
        <w:t>（复印件）；</w:t>
      </w:r>
    </w:p>
    <w:p>
      <w:pPr>
        <w:numPr>
          <w:ilvl w:val="0"/>
          <w:numId w:val="2"/>
        </w:numPr>
        <w:spacing w:line="360" w:lineRule="auto"/>
        <w:ind w:left="5" w:firstLine="415"/>
        <w:rPr>
          <w:rFonts w:ascii="宋体" w:hAnsi="宋体" w:cs="宋体"/>
          <w:color w:val="auto"/>
          <w:sz w:val="24"/>
          <w:lang w:val="zh-CN"/>
        </w:rPr>
      </w:pPr>
      <w:r>
        <w:rPr>
          <w:rFonts w:hint="eastAsia" w:ascii="宋体" w:hAnsi="宋体" w:cs="宋体"/>
          <w:color w:val="auto"/>
          <w:sz w:val="24"/>
        </w:rPr>
        <w:t>具有专业的团队及完善管理制度，并在本地区内有独立店面，可提供合作单位推荐报告；</w:t>
      </w:r>
    </w:p>
    <w:p>
      <w:pPr>
        <w:numPr>
          <w:ilvl w:val="0"/>
          <w:numId w:val="2"/>
        </w:numPr>
        <w:spacing w:line="360" w:lineRule="auto"/>
        <w:ind w:left="5" w:firstLine="415"/>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bCs/>
          <w:color w:val="auto"/>
          <w:sz w:val="24"/>
        </w:rPr>
        <w:t>投标人基本情况表</w:t>
      </w:r>
      <w:r>
        <w:rPr>
          <w:rFonts w:hint="eastAsia" w:asciiTheme="minorEastAsia" w:hAnsiTheme="minorEastAsia" w:eastAsiaTheme="minorEastAsia" w:cstheme="minorEastAsia"/>
          <w:color w:val="auto"/>
          <w:sz w:val="24"/>
        </w:rPr>
        <w:t>（详见格式3）；</w:t>
      </w:r>
    </w:p>
    <w:p>
      <w:pPr>
        <w:numPr>
          <w:ilvl w:val="0"/>
          <w:numId w:val="2"/>
        </w:numPr>
        <w:spacing w:line="360" w:lineRule="auto"/>
        <w:ind w:left="5" w:firstLine="415"/>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color w:val="auto"/>
          <w:sz w:val="24"/>
        </w:rPr>
        <w:t>近三年（自2017年1月1日至今）同类项目业绩表，并附业绩证明资料（复印件）（详见格式4）；</w:t>
      </w:r>
    </w:p>
    <w:p>
      <w:pPr>
        <w:numPr>
          <w:ilvl w:val="0"/>
          <w:numId w:val="2"/>
        </w:numPr>
        <w:spacing w:line="360" w:lineRule="auto"/>
        <w:ind w:left="5" w:firstLine="415"/>
        <w:rPr>
          <w:rFonts w:ascii="宋体" w:hAnsi="宋体" w:cs="宋体"/>
          <w:bCs/>
          <w:color w:val="auto"/>
          <w:sz w:val="24"/>
        </w:rPr>
      </w:pPr>
      <w:r>
        <w:rPr>
          <w:rFonts w:hint="eastAsia" w:asciiTheme="minorEastAsia" w:hAnsiTheme="minorEastAsia" w:eastAsiaTheme="minorEastAsia" w:cstheme="minorEastAsia"/>
          <w:color w:val="auto"/>
          <w:sz w:val="24"/>
        </w:rPr>
        <w:t>诚信声明（详见格式5）；</w:t>
      </w:r>
    </w:p>
    <w:p>
      <w:pPr>
        <w:numPr>
          <w:ilvl w:val="0"/>
          <w:numId w:val="2"/>
        </w:numPr>
        <w:spacing w:line="360" w:lineRule="auto"/>
        <w:ind w:left="5" w:firstLine="415"/>
        <w:rPr>
          <w:rFonts w:ascii="宋体" w:hAnsi="宋体" w:cs="宋体"/>
          <w:bCs/>
          <w:color w:val="auto"/>
          <w:sz w:val="24"/>
        </w:rPr>
      </w:pPr>
      <w:r>
        <w:rPr>
          <w:rFonts w:hint="eastAsia" w:asciiTheme="minorEastAsia" w:hAnsiTheme="minorEastAsia" w:eastAsiaTheme="minorEastAsia" w:cstheme="minorEastAsia"/>
          <w:color w:val="auto"/>
          <w:sz w:val="24"/>
        </w:rPr>
        <w:t>具有专业的团队及完善管理制度，拥有同时容纳500人以上用餐经营经验，需提供单位推荐报告（复印件）；</w:t>
      </w:r>
    </w:p>
    <w:p>
      <w:pPr>
        <w:numPr>
          <w:ilvl w:val="0"/>
          <w:numId w:val="2"/>
        </w:numPr>
        <w:spacing w:line="360" w:lineRule="auto"/>
        <w:ind w:left="5" w:firstLine="415"/>
        <w:rPr>
          <w:rFonts w:ascii="宋体" w:hAnsi="宋体" w:cs="宋体"/>
          <w:bCs/>
          <w:color w:val="auto"/>
          <w:sz w:val="24"/>
        </w:rPr>
      </w:pPr>
      <w:r>
        <w:rPr>
          <w:rFonts w:hint="eastAsia" w:ascii="宋体" w:hAnsi="宋体" w:cs="宋体"/>
          <w:b/>
          <w:color w:val="auto"/>
          <w:sz w:val="24"/>
        </w:rPr>
        <w:t>企业基本账户开户许可证，交款凭证，投标保证金交款收据复印件（到帐后，由采购代理机构出具）；投标保证金应当从其基本账户转出。</w:t>
      </w:r>
      <w:r>
        <w:rPr>
          <w:rFonts w:hint="eastAsia" w:ascii="宋体" w:hAnsi="宋体" w:cs="宋体"/>
          <w:color w:val="auto"/>
          <w:sz w:val="24"/>
        </w:rPr>
        <w:t>（复印件）；</w:t>
      </w:r>
    </w:p>
    <w:p>
      <w:pPr>
        <w:numPr>
          <w:ilvl w:val="0"/>
          <w:numId w:val="2"/>
        </w:numPr>
        <w:spacing w:line="360" w:lineRule="auto"/>
        <w:ind w:left="5" w:firstLine="415"/>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bCs/>
          <w:color w:val="auto"/>
          <w:sz w:val="24"/>
        </w:rPr>
        <w:t>资格性/符合性自查表</w:t>
      </w:r>
      <w:r>
        <w:rPr>
          <w:rFonts w:hint="eastAsia" w:asciiTheme="minorEastAsia" w:hAnsiTheme="minorEastAsia" w:eastAsiaTheme="minorEastAsia" w:cstheme="minorEastAsia"/>
          <w:color w:val="auto"/>
          <w:sz w:val="24"/>
        </w:rPr>
        <w:t>（详见格式6）；</w:t>
      </w:r>
    </w:p>
    <w:p>
      <w:pPr>
        <w:numPr>
          <w:ilvl w:val="0"/>
          <w:numId w:val="2"/>
        </w:numPr>
        <w:spacing w:line="360" w:lineRule="auto"/>
        <w:ind w:left="5" w:firstLine="415"/>
        <w:jc w:val="left"/>
        <w:rPr>
          <w:rFonts w:asciiTheme="minorEastAsia" w:hAnsiTheme="minorEastAsia" w:eastAsiaTheme="minorEastAsia" w:cstheme="minorEastAsia"/>
          <w:color w:val="auto"/>
          <w:sz w:val="24"/>
        </w:rPr>
      </w:pPr>
      <w:r>
        <w:rPr>
          <w:rFonts w:hint="eastAsia" w:ascii="宋体" w:hAnsi="宋体" w:cs="宋体"/>
          <w:color w:val="auto"/>
          <w:sz w:val="24"/>
        </w:rPr>
        <w:t>有效的信合联服信用报告（复印件）；</w:t>
      </w:r>
    </w:p>
    <w:p>
      <w:pPr>
        <w:numPr>
          <w:ilvl w:val="0"/>
          <w:numId w:val="2"/>
        </w:numPr>
        <w:spacing w:line="360" w:lineRule="auto"/>
        <w:ind w:left="5" w:firstLine="415"/>
        <w:jc w:val="left"/>
        <w:rPr>
          <w:rFonts w:asciiTheme="minorEastAsia" w:hAnsiTheme="minorEastAsia" w:eastAsiaTheme="minorEastAsia" w:cstheme="minorEastAsia"/>
          <w:color w:val="auto"/>
          <w:sz w:val="24"/>
        </w:rPr>
      </w:pPr>
      <w:r>
        <w:rPr>
          <w:rFonts w:hint="eastAsia" w:ascii="宋体" w:hAnsi="宋体" w:cs="宋体"/>
          <w:b/>
          <w:bCs/>
          <w:color w:val="auto"/>
          <w:sz w:val="24"/>
        </w:rPr>
        <w:t>投标人根据政府采购公告中资格要求第一条基本资格要求（共5条）提供相应的证明材料</w:t>
      </w:r>
      <w:r>
        <w:rPr>
          <w:rFonts w:hint="eastAsia" w:ascii="宋体" w:hAnsi="宋体" w:cs="宋体"/>
          <w:color w:val="auto"/>
          <w:sz w:val="24"/>
        </w:rPr>
        <w:t>。</w:t>
      </w:r>
    </w:p>
    <w:p>
      <w:pPr>
        <w:spacing w:line="360" w:lineRule="auto"/>
        <w:ind w:firstLine="482" w:firstLineChars="200"/>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15.2商务文件：</w:t>
      </w:r>
    </w:p>
    <w:p>
      <w:pPr>
        <w:numPr>
          <w:ilvl w:val="0"/>
          <w:numId w:val="3"/>
        </w:numPr>
        <w:tabs>
          <w:tab w:val="left" w:pos="0"/>
        </w:tabs>
        <w:spacing w:line="360" w:lineRule="auto"/>
        <w:ind w:left="5" w:firstLine="415"/>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投标函（详见格式7）；</w:t>
      </w:r>
    </w:p>
    <w:p>
      <w:pPr>
        <w:numPr>
          <w:ilvl w:val="0"/>
          <w:numId w:val="3"/>
        </w:numPr>
        <w:tabs>
          <w:tab w:val="left" w:pos="0"/>
        </w:tabs>
        <w:spacing w:line="360" w:lineRule="auto"/>
        <w:ind w:left="5" w:firstLine="415"/>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商务条款偏离表（详见格式8）；</w:t>
      </w:r>
    </w:p>
    <w:p>
      <w:pPr>
        <w:pStyle w:val="17"/>
        <w:numPr>
          <w:ilvl w:val="0"/>
          <w:numId w:val="3"/>
        </w:numPr>
        <w:tabs>
          <w:tab w:val="left" w:pos="0"/>
        </w:tabs>
        <w:overflowPunct w:val="0"/>
        <w:spacing w:line="360" w:lineRule="auto"/>
        <w:ind w:left="5" w:firstLine="415"/>
        <w:jc w:val="both"/>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中小企业声明函（详见格式9）；</w:t>
      </w:r>
    </w:p>
    <w:p>
      <w:pPr>
        <w:pStyle w:val="17"/>
        <w:numPr>
          <w:ilvl w:val="0"/>
          <w:numId w:val="3"/>
        </w:numPr>
        <w:tabs>
          <w:tab w:val="left" w:pos="0"/>
        </w:tabs>
        <w:overflowPunct w:val="0"/>
        <w:spacing w:line="360" w:lineRule="auto"/>
        <w:ind w:left="5" w:firstLine="415"/>
        <w:jc w:val="both"/>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上一一年的财务报表/财务报告复印件（包括资产负债表、损益表、利润表、现金流量表及财务状况说明书，新成立的公司提供情况说明）；</w:t>
      </w:r>
    </w:p>
    <w:p>
      <w:pPr>
        <w:pStyle w:val="17"/>
        <w:numPr>
          <w:ilvl w:val="0"/>
          <w:numId w:val="3"/>
        </w:numPr>
        <w:tabs>
          <w:tab w:val="left" w:pos="0"/>
        </w:tabs>
        <w:overflowPunct w:val="0"/>
        <w:spacing w:line="360" w:lineRule="auto"/>
        <w:ind w:left="5" w:firstLine="415"/>
        <w:jc w:val="both"/>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近三个月依法缴纳税收和社会保障资金的良好记录的证明材料（附复印件）；</w:t>
      </w:r>
    </w:p>
    <w:p>
      <w:pPr>
        <w:numPr>
          <w:ilvl w:val="0"/>
          <w:numId w:val="3"/>
        </w:numPr>
        <w:spacing w:line="360" w:lineRule="auto"/>
        <w:ind w:left="5" w:firstLine="415"/>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企业近三年（2017年1月1日至今）的获奖、荣誉证书等能够体现企业信誉及其它与本项目有关的能证明企业实力的各项证明资料；</w:t>
      </w:r>
    </w:p>
    <w:p>
      <w:pPr>
        <w:spacing w:line="360" w:lineRule="auto"/>
        <w:ind w:firstLine="482" w:firstLineChars="200"/>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15.3技术文件：</w:t>
      </w:r>
    </w:p>
    <w:p>
      <w:pP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（1）经营方案（包含菜品的品种、定价、风格；营业时间；拟投入的工作人员、服务人员及厨师数量等相关情况；餐饮垃圾的处理方案及设备等）；</w:t>
      </w:r>
    </w:p>
    <w:p>
      <w:pP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（2）送餐服务方案（包含对职工、病人等送餐服务）；</w:t>
      </w:r>
      <w:r>
        <w:rPr>
          <w:rFonts w:asciiTheme="minorEastAsia" w:hAnsiTheme="minorEastAsia" w:eastAsiaTheme="minorEastAsia" w:cstheme="minorEastAsia"/>
          <w:color w:val="auto"/>
          <w:sz w:val="24"/>
        </w:rPr>
        <w:t xml:space="preserve"> </w:t>
      </w:r>
    </w:p>
    <w:p>
      <w:pP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（3）拟投入本项目设备设施情况（包含设备设施的品种、数量、品牌等；烟灶对烟气排放须达到国家环保要求）；</w:t>
      </w:r>
    </w:p>
    <w:p>
      <w:pP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（4）优惠服务及实质性的承诺；</w:t>
      </w:r>
    </w:p>
    <w:p>
      <w:pPr>
        <w:spacing w:line="360" w:lineRule="auto"/>
        <w:ind w:firstLine="481"/>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（5）技术条款偏离表（详见格式10）；</w:t>
      </w:r>
    </w:p>
    <w:p>
      <w:pP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（6）采购需求及评分所需的其它资料；</w:t>
      </w:r>
    </w:p>
    <w:p>
      <w:pP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（7）招标文件要求提供的其它材料以及投标人认为需要提交的材料。</w:t>
      </w:r>
    </w:p>
    <w:p>
      <w:pPr>
        <w:pStyle w:val="32"/>
        <w:spacing w:line="360" w:lineRule="auto"/>
        <w:ind w:firstLine="482" w:firstLineChars="200"/>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特别说明：①上述各种证件、证书复印件须加盖投标人公章。如未按要求加盖投标人公章者，可能导致其投标文件无效。</w:t>
      </w:r>
    </w:p>
    <w:p>
      <w:pPr>
        <w:pStyle w:val="32"/>
        <w:spacing w:line="360" w:lineRule="auto"/>
        <w:ind w:firstLine="482" w:firstLineChars="200"/>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 xml:space="preserve">② </w:t>
      </w:r>
      <w:r>
        <w:rPr>
          <w:rFonts w:hint="eastAsia" w:hAnsi="宋体" w:cs="宋体"/>
          <w:b/>
          <w:color w:val="auto"/>
          <w:sz w:val="24"/>
        </w:rPr>
        <w:t>投标人应如实提供投标资料，并保证真实可靠，不得弄虚作假。如投标人隐瞒事实真相、弄虚作假，一经查实，取消该投标人的投标资格并不予退还其全部投标保证金，若中标的，取消其中标资格，并不予退还其全部投标保证金。</w:t>
      </w:r>
    </w:p>
    <w:p>
      <w:pPr>
        <w:pStyle w:val="32"/>
        <w:spacing w:line="360" w:lineRule="auto"/>
        <w:ind w:firstLine="480" w:firstLineChars="200"/>
        <w:outlineLvl w:val="1"/>
        <w:rPr>
          <w:rFonts w:asciiTheme="minorEastAsia" w:hAnsiTheme="minorEastAsia" w:eastAsiaTheme="minorEastAsia" w:cstheme="minorEastAsia"/>
          <w:color w:val="auto"/>
          <w:sz w:val="24"/>
        </w:rPr>
      </w:pPr>
      <w:bookmarkStart w:id="60" w:name="_Toc245897286"/>
      <w:bookmarkStart w:id="61" w:name="_Toc233274827"/>
      <w:bookmarkStart w:id="62" w:name="_Toc243907587"/>
      <w:bookmarkStart w:id="63" w:name="_Toc243906326"/>
      <w:bookmarkStart w:id="64" w:name="_Toc246216196"/>
      <w:r>
        <w:rPr>
          <w:rFonts w:hint="eastAsia" w:asciiTheme="minorEastAsia" w:hAnsiTheme="minorEastAsia" w:eastAsiaTheme="minorEastAsia" w:cstheme="minorEastAsia"/>
          <w:color w:val="auto"/>
          <w:sz w:val="24"/>
        </w:rPr>
        <w:t>16、投标文件格式</w:t>
      </w:r>
      <w:bookmarkEnd w:id="60"/>
    </w:p>
    <w:p>
      <w:pPr>
        <w:pStyle w:val="32"/>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16.1投标人应按招标文件提供的格式完整地填写所提供的合同项目、服务等内容。</w:t>
      </w:r>
    </w:p>
    <w:bookmarkEnd w:id="61"/>
    <w:bookmarkEnd w:id="62"/>
    <w:bookmarkEnd w:id="63"/>
    <w:bookmarkEnd w:id="64"/>
    <w:p>
      <w:pPr>
        <w:pStyle w:val="32"/>
        <w:spacing w:line="360" w:lineRule="auto"/>
        <w:ind w:firstLine="480" w:firstLineChars="200"/>
        <w:outlineLvl w:val="1"/>
        <w:rPr>
          <w:rFonts w:asciiTheme="minorEastAsia" w:hAnsiTheme="minorEastAsia" w:eastAsiaTheme="minorEastAsia" w:cstheme="minorEastAsia"/>
          <w:color w:val="auto"/>
          <w:sz w:val="24"/>
          <w:szCs w:val="24"/>
        </w:rPr>
      </w:pPr>
      <w:bookmarkStart w:id="65" w:name="_Toc243907589"/>
      <w:bookmarkStart w:id="66" w:name="_Toc243906328"/>
      <w:bookmarkStart w:id="67" w:name="_Toc233274829"/>
      <w:bookmarkStart w:id="68" w:name="_Toc245897289"/>
      <w:r>
        <w:rPr>
          <w:rFonts w:hint="eastAsia" w:asciiTheme="minorEastAsia" w:hAnsiTheme="minorEastAsia" w:eastAsiaTheme="minorEastAsia" w:cstheme="minorEastAsia"/>
          <w:color w:val="auto"/>
          <w:sz w:val="24"/>
          <w:szCs w:val="24"/>
        </w:rPr>
        <w:t>17、投标人资格证明文件</w:t>
      </w:r>
      <w:bookmarkEnd w:id="65"/>
      <w:bookmarkEnd w:id="66"/>
      <w:bookmarkEnd w:id="67"/>
      <w:bookmarkEnd w:id="68"/>
    </w:p>
    <w:p>
      <w:pPr>
        <w:pStyle w:val="32"/>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17.1 投标人必须提交证明其有资格参加公开和中标后有能力履行合同的文件。</w:t>
      </w:r>
    </w:p>
    <w:p>
      <w:pPr>
        <w:pStyle w:val="32"/>
        <w:spacing w:line="360" w:lineRule="auto"/>
        <w:ind w:firstLine="480" w:firstLineChars="200"/>
        <w:outlineLvl w:val="1"/>
        <w:rPr>
          <w:rFonts w:asciiTheme="minorEastAsia" w:hAnsiTheme="minorEastAsia" w:eastAsiaTheme="minorEastAsia" w:cstheme="minorEastAsia"/>
          <w:color w:val="auto"/>
          <w:sz w:val="24"/>
          <w:szCs w:val="24"/>
        </w:rPr>
      </w:pPr>
      <w:bookmarkStart w:id="69" w:name="_Toc243906329"/>
      <w:bookmarkStart w:id="70" w:name="_Toc243907590"/>
      <w:bookmarkStart w:id="71" w:name="_Toc245897290"/>
      <w:bookmarkStart w:id="72" w:name="_Toc233274830"/>
      <w:r>
        <w:rPr>
          <w:rFonts w:hint="eastAsia" w:asciiTheme="minorEastAsia" w:hAnsiTheme="minorEastAsia" w:eastAsiaTheme="minorEastAsia" w:cstheme="minorEastAsia"/>
          <w:color w:val="auto"/>
          <w:sz w:val="24"/>
          <w:szCs w:val="24"/>
        </w:rPr>
        <w:t>18、提供的货物及服务符合招标文件规定的技术投标文件</w:t>
      </w:r>
      <w:bookmarkEnd w:id="69"/>
      <w:bookmarkEnd w:id="70"/>
      <w:bookmarkEnd w:id="71"/>
      <w:bookmarkEnd w:id="72"/>
    </w:p>
    <w:p>
      <w:pPr>
        <w:pStyle w:val="32"/>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18.1 投标人须提交证明其拟供货物和服务符合招标文件、技术规范及标准、项目采购需求规定的技术投标文件，作为投标文件的一部分；</w:t>
      </w:r>
    </w:p>
    <w:p>
      <w:pPr>
        <w:pStyle w:val="32"/>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18.2上述文件可以是文字资料和数据，并须提供项目主要技术性能的详细描述及货物清单和所提供服务的详细说明；</w:t>
      </w:r>
    </w:p>
    <w:p>
      <w:pP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18.3投标人应逐条对招标文件、项目采购需求、合同条款等进行仔细阅读，提出自己提供的货物和服务是否对其做出了实质性的响应。</w:t>
      </w:r>
    </w:p>
    <w:p>
      <w:pPr>
        <w:pStyle w:val="32"/>
        <w:spacing w:line="360" w:lineRule="auto"/>
        <w:ind w:firstLine="480" w:firstLineChars="200"/>
        <w:outlineLvl w:val="1"/>
        <w:rPr>
          <w:rFonts w:asciiTheme="minorEastAsia" w:hAnsiTheme="minorEastAsia" w:eastAsiaTheme="minorEastAsia" w:cstheme="minorEastAsia"/>
          <w:color w:val="auto"/>
          <w:sz w:val="24"/>
          <w:szCs w:val="24"/>
        </w:rPr>
      </w:pPr>
      <w:bookmarkStart w:id="73" w:name="_Toc233274831"/>
      <w:bookmarkStart w:id="74" w:name="_Toc243907591"/>
      <w:bookmarkStart w:id="75" w:name="_Toc245897291"/>
      <w:bookmarkStart w:id="76" w:name="_Toc243906330"/>
      <w:r>
        <w:rPr>
          <w:rFonts w:hint="eastAsia" w:asciiTheme="minorEastAsia" w:hAnsiTheme="minorEastAsia" w:eastAsiaTheme="minorEastAsia" w:cstheme="minorEastAsia"/>
          <w:color w:val="auto"/>
          <w:sz w:val="24"/>
          <w:szCs w:val="24"/>
        </w:rPr>
        <w:t>19、投标文件有效期</w:t>
      </w:r>
      <w:bookmarkEnd w:id="73"/>
      <w:bookmarkEnd w:id="74"/>
      <w:bookmarkEnd w:id="75"/>
      <w:bookmarkEnd w:id="76"/>
    </w:p>
    <w:p>
      <w:pPr>
        <w:pStyle w:val="32"/>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19.1</w:t>
      </w:r>
      <w:r>
        <w:rPr>
          <w:rFonts w:hint="eastAsia" w:asciiTheme="minorEastAsia" w:hAnsiTheme="minorEastAsia" w:eastAsiaTheme="minorEastAsia" w:cstheme="minorEastAsia"/>
          <w:bCs/>
          <w:color w:val="auto"/>
          <w:sz w:val="24"/>
          <w:szCs w:val="24"/>
        </w:rPr>
        <w:t>投标文件</w:t>
      </w:r>
      <w:r>
        <w:rPr>
          <w:rFonts w:hint="eastAsia" w:asciiTheme="minorEastAsia" w:hAnsiTheme="minorEastAsia" w:eastAsiaTheme="minorEastAsia" w:cstheme="minorEastAsia"/>
          <w:color w:val="auto"/>
          <w:sz w:val="24"/>
          <w:szCs w:val="24"/>
        </w:rPr>
        <w:t>有效期为递交投标文件截止之日起90天（日历日）。投标人的投标文件有效期比规定的有效期短的，将被视为非响应而予以拒绝。</w:t>
      </w:r>
    </w:p>
    <w:p>
      <w:pPr>
        <w:pStyle w:val="32"/>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19.2 </w:t>
      </w:r>
      <w:r>
        <w:rPr>
          <w:rFonts w:hint="eastAsia" w:hAnsi="宋体" w:cs="宋体"/>
          <w:color w:val="auto"/>
          <w:sz w:val="24"/>
          <w:szCs w:val="24"/>
        </w:rPr>
        <w:t>特殊情况下，在原有效期届满之前，采购人可征得投标人的同意延长其有效期，这种要求与答复均应以书面形式。投标人拒绝延长的，其投标文件失效</w:t>
      </w:r>
      <w:r>
        <w:rPr>
          <w:rFonts w:hint="eastAsia" w:hAnsi="宋体" w:cs="宋体"/>
          <w:color w:val="auto"/>
          <w:sz w:val="24"/>
        </w:rPr>
        <w:t>，但供应商有权收回其投标保证金</w:t>
      </w:r>
      <w:r>
        <w:rPr>
          <w:rFonts w:hint="eastAsia" w:hAnsi="宋体" w:cs="宋体"/>
          <w:color w:val="auto"/>
          <w:sz w:val="24"/>
          <w:szCs w:val="24"/>
        </w:rPr>
        <w:t>。同意延长有效期的投标人，既不要求也不允许其修改投标文件</w:t>
      </w:r>
      <w:r>
        <w:rPr>
          <w:rFonts w:hint="eastAsia" w:hAnsi="宋体" w:cs="宋体"/>
          <w:color w:val="auto"/>
          <w:sz w:val="24"/>
        </w:rPr>
        <w:t>，但将相应延长投标保证金的有效期。有关退还和不予退还投标保证金的规定在有效期的延长期内继续有效</w:t>
      </w:r>
      <w:r>
        <w:rPr>
          <w:rFonts w:hint="eastAsia" w:hAnsi="宋体" w:cs="宋体"/>
          <w:color w:val="auto"/>
          <w:sz w:val="24"/>
          <w:szCs w:val="24"/>
        </w:rPr>
        <w:t>。</w:t>
      </w:r>
    </w:p>
    <w:p>
      <w:pPr>
        <w:pStyle w:val="32"/>
        <w:spacing w:line="360" w:lineRule="auto"/>
        <w:ind w:firstLine="480" w:firstLineChars="200"/>
        <w:outlineLvl w:val="1"/>
        <w:rPr>
          <w:rFonts w:asciiTheme="minorEastAsia" w:hAnsiTheme="minorEastAsia" w:eastAsiaTheme="minorEastAsia" w:cstheme="minorEastAsia"/>
          <w:color w:val="auto"/>
          <w:sz w:val="24"/>
          <w:szCs w:val="24"/>
        </w:rPr>
      </w:pPr>
      <w:bookmarkStart w:id="77" w:name="_Toc233274832"/>
      <w:bookmarkStart w:id="78" w:name="_Toc245897292"/>
      <w:bookmarkStart w:id="79" w:name="_Toc243906331"/>
      <w:bookmarkStart w:id="80" w:name="_Toc243907592"/>
      <w:r>
        <w:rPr>
          <w:rFonts w:hint="eastAsia" w:asciiTheme="minorEastAsia" w:hAnsiTheme="minorEastAsia" w:eastAsiaTheme="minorEastAsia" w:cstheme="minorEastAsia"/>
          <w:color w:val="auto"/>
          <w:sz w:val="24"/>
          <w:szCs w:val="24"/>
        </w:rPr>
        <w:t>20、投标文件的签署及规定</w:t>
      </w:r>
      <w:bookmarkEnd w:id="77"/>
      <w:bookmarkEnd w:id="78"/>
      <w:bookmarkEnd w:id="79"/>
      <w:bookmarkEnd w:id="80"/>
    </w:p>
    <w:p>
      <w:pPr>
        <w:spacing w:line="360" w:lineRule="auto"/>
        <w:ind w:firstLine="480" w:firstLineChars="200"/>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color w:val="auto"/>
          <w:sz w:val="24"/>
        </w:rPr>
        <w:t>20.1投标人应提交本须知第15条规定的</w:t>
      </w:r>
      <w:r>
        <w:rPr>
          <w:rFonts w:hint="eastAsia" w:asciiTheme="minorEastAsia" w:hAnsiTheme="minorEastAsia" w:eastAsiaTheme="minorEastAsia" w:cstheme="minorEastAsia"/>
          <w:b/>
          <w:color w:val="auto"/>
          <w:sz w:val="24"/>
        </w:rPr>
        <w:t>书面投标文件一式</w:t>
      </w:r>
      <w:r>
        <w:rPr>
          <w:rFonts w:hint="eastAsia" w:asciiTheme="minorEastAsia" w:hAnsiTheme="minorEastAsia" w:eastAsiaTheme="minorEastAsia" w:cstheme="minorEastAsia"/>
          <w:b/>
          <w:color w:val="auto"/>
          <w:sz w:val="24"/>
          <w:u w:val="single"/>
        </w:rPr>
        <w:t>柒</w:t>
      </w:r>
      <w:r>
        <w:rPr>
          <w:rFonts w:hint="eastAsia" w:asciiTheme="minorEastAsia" w:hAnsiTheme="minorEastAsia" w:eastAsiaTheme="minorEastAsia" w:cstheme="minorEastAsia"/>
          <w:b/>
          <w:color w:val="auto"/>
          <w:sz w:val="24"/>
        </w:rPr>
        <w:t>份</w:t>
      </w:r>
      <w:r>
        <w:rPr>
          <w:rFonts w:hint="eastAsia" w:asciiTheme="minorEastAsia" w:hAnsiTheme="minorEastAsia" w:eastAsiaTheme="minorEastAsia" w:cstheme="minorEastAsia"/>
          <w:color w:val="auto"/>
          <w:sz w:val="24"/>
        </w:rPr>
        <w:t>，其中：</w:t>
      </w:r>
      <w:r>
        <w:rPr>
          <w:rFonts w:hint="eastAsia" w:asciiTheme="minorEastAsia" w:hAnsiTheme="minorEastAsia" w:eastAsiaTheme="minorEastAsia" w:cstheme="minorEastAsia"/>
          <w:b/>
          <w:color w:val="auto"/>
          <w:sz w:val="24"/>
          <w:u w:val="single"/>
        </w:rPr>
        <w:t>壹份正本</w:t>
      </w:r>
      <w:r>
        <w:rPr>
          <w:rFonts w:hint="eastAsia" w:asciiTheme="minorEastAsia" w:hAnsiTheme="minorEastAsia" w:eastAsiaTheme="minorEastAsia" w:cstheme="minorEastAsia"/>
          <w:b/>
          <w:color w:val="auto"/>
          <w:sz w:val="24"/>
        </w:rPr>
        <w:t>和</w:t>
      </w:r>
      <w:r>
        <w:rPr>
          <w:rFonts w:hint="eastAsia" w:asciiTheme="minorEastAsia" w:hAnsiTheme="minorEastAsia" w:eastAsiaTheme="minorEastAsia" w:cstheme="minorEastAsia"/>
          <w:b/>
          <w:color w:val="auto"/>
          <w:sz w:val="24"/>
          <w:u w:val="single"/>
        </w:rPr>
        <w:t>陆份副本</w:t>
      </w:r>
      <w:r>
        <w:rPr>
          <w:rFonts w:hint="eastAsia" w:asciiTheme="minorEastAsia" w:hAnsiTheme="minorEastAsia" w:eastAsiaTheme="minorEastAsia" w:cstheme="minorEastAsia"/>
          <w:color w:val="auto"/>
          <w:sz w:val="24"/>
        </w:rPr>
        <w:t>，在每一份投标文件上应明确注明“正本”或“副本”字样，如正、副本之间有差异，以正本为准。</w:t>
      </w:r>
    </w:p>
    <w:p>
      <w:pPr>
        <w:pStyle w:val="32"/>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20.2投标文件正本和副本须打印并由法定代表人或委托代理人签字或盖章。投标文件应加盖投标人的公章。</w:t>
      </w:r>
    </w:p>
    <w:p>
      <w:pPr>
        <w:pStyle w:val="32"/>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20.3 除投标人对错误做必要修改外，投标文件中不许有增删、涂改或改写。若确有修改必须由签署投标文件的委托代理人签字或盖章。</w:t>
      </w:r>
    </w:p>
    <w:p>
      <w:pPr>
        <w:pStyle w:val="32"/>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20.4投标文件副本的上述签名及盖章之处既可由投标人的投标人代表人或其委托代理人签字或盖章，也可通过复印正本将上述签名及盖章复制到副本上。</w:t>
      </w:r>
    </w:p>
    <w:p>
      <w:pPr>
        <w:pStyle w:val="32"/>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20.5 招标人概不接受电报、电传、电话、邮寄以及电子邮件等方式的公开投标。</w:t>
      </w:r>
      <w:bookmarkEnd w:id="47"/>
      <w:bookmarkStart w:id="81" w:name="_Toc154996583"/>
      <w:bookmarkStart w:id="82" w:name="_Toc246216203"/>
      <w:bookmarkStart w:id="83" w:name="_Toc243907594"/>
      <w:bookmarkStart w:id="84" w:name="_Toc233274834"/>
      <w:bookmarkStart w:id="85" w:name="_Toc243906333"/>
    </w:p>
    <w:p>
      <w:pPr>
        <w:pStyle w:val="32"/>
        <w:spacing w:line="360" w:lineRule="auto"/>
        <w:ind w:firstLine="480" w:firstLineChars="200"/>
        <w:outlineLvl w:val="1"/>
        <w:rPr>
          <w:rFonts w:hAnsi="宋体" w:cs="宋体"/>
          <w:color w:val="auto"/>
          <w:sz w:val="24"/>
        </w:rPr>
      </w:pPr>
      <w:bookmarkStart w:id="86" w:name="_Toc243907593"/>
      <w:bookmarkStart w:id="87" w:name="_Toc233274833"/>
      <w:bookmarkStart w:id="88" w:name="_Toc243906332"/>
      <w:bookmarkStart w:id="89" w:name="_Toc245897293"/>
      <w:r>
        <w:rPr>
          <w:rFonts w:hint="eastAsia" w:hAnsi="宋体" w:cs="宋体"/>
          <w:color w:val="auto"/>
          <w:sz w:val="24"/>
        </w:rPr>
        <w:t>21、投标保证金及退还</w:t>
      </w:r>
      <w:bookmarkEnd w:id="86"/>
      <w:bookmarkEnd w:id="87"/>
      <w:bookmarkEnd w:id="88"/>
      <w:bookmarkEnd w:id="89"/>
    </w:p>
    <w:p>
      <w:pPr>
        <w:pStyle w:val="32"/>
        <w:spacing w:line="360" w:lineRule="auto"/>
        <w:ind w:firstLine="480" w:firstLineChars="200"/>
        <w:rPr>
          <w:rFonts w:hAnsi="宋体" w:cs="宋体"/>
          <w:color w:val="auto"/>
          <w:sz w:val="24"/>
        </w:rPr>
      </w:pPr>
      <w:r>
        <w:rPr>
          <w:rFonts w:hint="eastAsia" w:hAnsi="宋体" w:cs="宋体"/>
          <w:color w:val="auto"/>
          <w:sz w:val="24"/>
        </w:rPr>
        <w:t>21.1 投标保证金为响应文件的组成部分之一。投标保证金是为了保护采购人免遭因供应商的行为而蒙受的损失，采购人在因供应商的行为而蒙受损失时，采购人可根据本须知第21.4条的规定对其投标保证金不予退还。</w:t>
      </w:r>
    </w:p>
    <w:p>
      <w:pPr>
        <w:spacing w:line="360" w:lineRule="auto"/>
        <w:ind w:firstLine="480" w:firstLineChars="200"/>
        <w:jc w:val="left"/>
        <w:rPr>
          <w:rFonts w:ascii="宋体" w:hAnsi="宋体" w:cs="宋体"/>
          <w:b/>
          <w:color w:val="auto"/>
          <w:sz w:val="24"/>
        </w:rPr>
      </w:pPr>
      <w:r>
        <w:rPr>
          <w:rFonts w:hint="eastAsia" w:ascii="宋体" w:hAnsi="宋体" w:cs="宋体"/>
          <w:color w:val="auto"/>
          <w:sz w:val="24"/>
        </w:rPr>
        <w:t>21.2 供应商应按本须知前附表第4项规定的金额、时间和方式及要求提交投标保证金。</w:t>
      </w:r>
    </w:p>
    <w:p>
      <w:pPr>
        <w:pStyle w:val="32"/>
        <w:spacing w:line="360" w:lineRule="auto"/>
        <w:ind w:firstLine="482" w:firstLineChars="200"/>
        <w:rPr>
          <w:rFonts w:hAnsi="宋体" w:cs="宋体"/>
          <w:b/>
          <w:bCs/>
          <w:color w:val="auto"/>
          <w:sz w:val="24"/>
        </w:rPr>
      </w:pPr>
      <w:r>
        <w:rPr>
          <w:rFonts w:hint="eastAsia" w:hAnsi="宋体" w:cs="宋体"/>
          <w:b/>
          <w:bCs/>
          <w:color w:val="auto"/>
          <w:sz w:val="24"/>
        </w:rPr>
        <w:t>21.3投标保证金的退还</w:t>
      </w:r>
    </w:p>
    <w:p>
      <w:pPr>
        <w:spacing w:line="360" w:lineRule="auto"/>
        <w:ind w:firstLine="482" w:firstLineChars="200"/>
        <w:rPr>
          <w:rFonts w:ascii="宋体" w:hAnsi="宋体" w:cs="宋体"/>
          <w:b/>
          <w:bCs/>
          <w:color w:val="auto"/>
          <w:sz w:val="24"/>
        </w:rPr>
      </w:pPr>
      <w:r>
        <w:rPr>
          <w:rFonts w:hint="eastAsia" w:ascii="宋体" w:hAnsi="宋体" w:cs="宋体"/>
          <w:b/>
          <w:bCs/>
          <w:color w:val="auto"/>
          <w:sz w:val="24"/>
        </w:rPr>
        <w:t>21.3.1未成交供应商的投标保证金将在成交通知书发出之日起5个工作日内一次性无息退还，供应商凭投标保证金收据原件到新疆天麒工程项目管理咨询有限责任公司办理退还手续。</w:t>
      </w:r>
    </w:p>
    <w:p>
      <w:pPr>
        <w:spacing w:line="360" w:lineRule="auto"/>
        <w:ind w:firstLine="482" w:firstLineChars="200"/>
        <w:rPr>
          <w:rFonts w:ascii="宋体" w:hAnsi="宋体" w:cs="宋体"/>
          <w:b/>
          <w:bCs/>
          <w:color w:val="auto"/>
          <w:sz w:val="24"/>
        </w:rPr>
      </w:pPr>
      <w:r>
        <w:rPr>
          <w:rFonts w:hint="eastAsia" w:ascii="宋体" w:hAnsi="宋体" w:cs="宋体"/>
          <w:b/>
          <w:bCs/>
          <w:color w:val="auto"/>
          <w:sz w:val="24"/>
        </w:rPr>
        <w:t>21.3.2成交供应商的投标保证金应当在签订采购合同后5个工作日内一次性无息予以退还。</w:t>
      </w:r>
    </w:p>
    <w:p>
      <w:pPr>
        <w:spacing w:line="360" w:lineRule="auto"/>
        <w:ind w:firstLine="480" w:firstLineChars="200"/>
        <w:rPr>
          <w:rFonts w:ascii="宋体" w:hAnsi="宋体" w:cs="宋体"/>
          <w:color w:val="auto"/>
          <w:sz w:val="24"/>
        </w:rPr>
      </w:pPr>
      <w:r>
        <w:rPr>
          <w:rFonts w:hint="eastAsia" w:ascii="宋体" w:hAnsi="宋体" w:cs="宋体"/>
          <w:color w:val="auto"/>
          <w:sz w:val="24"/>
        </w:rPr>
        <w:t>21.3.3</w:t>
      </w:r>
      <w:r>
        <w:rPr>
          <w:rFonts w:hint="eastAsia" w:ascii="宋体" w:hAnsi="宋体" w:cs="宋体"/>
          <w:b/>
          <w:color w:val="auto"/>
          <w:sz w:val="24"/>
        </w:rPr>
        <w:t>供应商因自身原因耽搁领取投标保证金，造成投标保证金的退还时间超过5个工作日的，采购人或采购代理不承担延后退还的责任。</w:t>
      </w:r>
    </w:p>
    <w:p>
      <w:pPr>
        <w:pStyle w:val="32"/>
        <w:spacing w:line="360" w:lineRule="auto"/>
        <w:ind w:firstLine="482" w:firstLineChars="200"/>
        <w:rPr>
          <w:rFonts w:hAnsi="宋体" w:cs="宋体"/>
          <w:b/>
          <w:color w:val="auto"/>
          <w:sz w:val="24"/>
        </w:rPr>
      </w:pPr>
      <w:r>
        <w:rPr>
          <w:rFonts w:hint="eastAsia" w:hAnsi="宋体" w:cs="宋体"/>
          <w:b/>
          <w:color w:val="auto"/>
          <w:sz w:val="24"/>
        </w:rPr>
        <w:t>21.4 有下列情形之一者，其投标保证金将不予退还：</w:t>
      </w:r>
    </w:p>
    <w:p>
      <w:pPr>
        <w:spacing w:line="360" w:lineRule="auto"/>
        <w:ind w:firstLine="480" w:firstLineChars="200"/>
        <w:rPr>
          <w:rFonts w:ascii="宋体" w:hAnsi="宋体" w:cs="宋体"/>
          <w:color w:val="auto"/>
          <w:sz w:val="24"/>
        </w:rPr>
      </w:pPr>
      <w:r>
        <w:rPr>
          <w:rFonts w:hint="eastAsia" w:ascii="宋体" w:hAnsi="宋体" w:cs="宋体"/>
          <w:color w:val="auto"/>
          <w:sz w:val="24"/>
        </w:rPr>
        <w:t>21.4.1供应商在提交响应文件截止时间后撤回响应文件；</w:t>
      </w:r>
    </w:p>
    <w:p>
      <w:pPr>
        <w:spacing w:line="360" w:lineRule="auto"/>
        <w:ind w:firstLine="480" w:firstLineChars="200"/>
        <w:rPr>
          <w:rFonts w:ascii="宋体" w:hAnsi="宋体" w:cs="宋体"/>
          <w:color w:val="auto"/>
          <w:sz w:val="24"/>
        </w:rPr>
      </w:pPr>
      <w:r>
        <w:rPr>
          <w:rFonts w:hint="eastAsia" w:ascii="宋体" w:hAnsi="宋体" w:cs="宋体"/>
          <w:color w:val="auto"/>
          <w:sz w:val="24"/>
        </w:rPr>
        <w:t>21.4.2供应商在响应文件中提供虚假材料的；</w:t>
      </w:r>
    </w:p>
    <w:p>
      <w:pPr>
        <w:spacing w:line="360" w:lineRule="auto"/>
        <w:ind w:firstLine="480" w:firstLineChars="200"/>
        <w:rPr>
          <w:rFonts w:ascii="宋体" w:hAnsi="宋体" w:cs="宋体"/>
          <w:color w:val="auto"/>
          <w:sz w:val="24"/>
        </w:rPr>
      </w:pPr>
      <w:r>
        <w:rPr>
          <w:rFonts w:hint="eastAsia" w:ascii="宋体" w:hAnsi="宋体" w:cs="宋体"/>
          <w:color w:val="auto"/>
          <w:sz w:val="24"/>
        </w:rPr>
        <w:t>21.4.3除因不可抗力或磋商文件认可的情形外，成交供应商不与采购人签订合同的 。</w:t>
      </w:r>
    </w:p>
    <w:p>
      <w:pPr>
        <w:spacing w:line="360" w:lineRule="auto"/>
        <w:ind w:firstLine="480" w:firstLineChars="200"/>
        <w:rPr>
          <w:rFonts w:ascii="宋体" w:hAnsi="宋体" w:cs="宋体"/>
          <w:color w:val="auto"/>
          <w:sz w:val="24"/>
        </w:rPr>
      </w:pPr>
      <w:r>
        <w:rPr>
          <w:rFonts w:hint="eastAsia" w:ascii="宋体" w:hAnsi="宋体" w:cs="宋体"/>
          <w:color w:val="auto"/>
          <w:sz w:val="24"/>
        </w:rPr>
        <w:t>21.4.4供应商与采购人、其他供应商或者采购代理机构恶意串通的；</w:t>
      </w:r>
    </w:p>
    <w:p>
      <w:pPr>
        <w:spacing w:line="360" w:lineRule="auto"/>
        <w:ind w:firstLine="480" w:firstLineChars="200"/>
        <w:rPr>
          <w:rFonts w:ascii="宋体" w:hAnsi="宋体" w:cs="宋体"/>
          <w:color w:val="auto"/>
          <w:sz w:val="24"/>
        </w:rPr>
      </w:pPr>
      <w:r>
        <w:rPr>
          <w:rFonts w:hint="eastAsia" w:ascii="宋体" w:hAnsi="宋体" w:cs="宋体"/>
          <w:color w:val="auto"/>
          <w:sz w:val="24"/>
        </w:rPr>
        <w:t>21.4.5《中华人民共和国政府采购法》及相关法律、法规及本磋商磋商文件规定不予退还投标保证金的其它情形。</w:t>
      </w:r>
    </w:p>
    <w:p>
      <w:pPr>
        <w:pStyle w:val="32"/>
        <w:spacing w:line="360" w:lineRule="auto"/>
        <w:ind w:firstLine="480" w:firstLineChars="200"/>
        <w:rPr>
          <w:rFonts w:asciiTheme="minorEastAsia" w:hAnsiTheme="minorEastAsia" w:eastAsiaTheme="minorEastAsia" w:cstheme="minorEastAsia"/>
          <w:color w:val="auto"/>
          <w:sz w:val="24"/>
        </w:rPr>
      </w:pPr>
    </w:p>
    <w:bookmarkEnd w:id="81"/>
    <w:p>
      <w:pPr>
        <w:pStyle w:val="32"/>
        <w:spacing w:line="360" w:lineRule="auto"/>
        <w:ind w:firstLine="562" w:firstLineChars="200"/>
        <w:jc w:val="center"/>
        <w:outlineLvl w:val="1"/>
        <w:rPr>
          <w:rFonts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D  投标文件的递交、修改和撤回</w:t>
      </w:r>
      <w:bookmarkEnd w:id="82"/>
      <w:bookmarkEnd w:id="83"/>
      <w:bookmarkEnd w:id="84"/>
      <w:bookmarkEnd w:id="85"/>
    </w:p>
    <w:p>
      <w:pPr>
        <w:pStyle w:val="32"/>
        <w:spacing w:line="360" w:lineRule="auto"/>
        <w:ind w:firstLine="482" w:firstLineChars="200"/>
        <w:jc w:val="center"/>
        <w:rPr>
          <w:rFonts w:asciiTheme="minorEastAsia" w:hAnsiTheme="minorEastAsia" w:eastAsiaTheme="minorEastAsia" w:cstheme="minorEastAsia"/>
          <w:b/>
          <w:bCs/>
          <w:color w:val="auto"/>
          <w:sz w:val="24"/>
        </w:rPr>
      </w:pPr>
    </w:p>
    <w:p>
      <w:pPr>
        <w:spacing w:line="360" w:lineRule="auto"/>
        <w:ind w:firstLine="480" w:firstLineChars="200"/>
        <w:outlineLvl w:val="1"/>
        <w:rPr>
          <w:rFonts w:asciiTheme="minorEastAsia" w:hAnsiTheme="minorEastAsia" w:eastAsiaTheme="minorEastAsia" w:cstheme="minorEastAsia"/>
          <w:color w:val="auto"/>
          <w:sz w:val="24"/>
        </w:rPr>
      </w:pPr>
      <w:bookmarkStart w:id="90" w:name="_Toc245897295"/>
      <w:bookmarkStart w:id="91" w:name="_Toc243906334"/>
      <w:bookmarkStart w:id="92" w:name="_Toc243907595"/>
      <w:bookmarkStart w:id="93" w:name="_Toc233274835"/>
      <w:r>
        <w:rPr>
          <w:rFonts w:hint="eastAsia" w:asciiTheme="minorEastAsia" w:hAnsiTheme="minorEastAsia" w:eastAsiaTheme="minorEastAsia" w:cstheme="minorEastAsia"/>
          <w:color w:val="auto"/>
          <w:sz w:val="24"/>
        </w:rPr>
        <w:t>22、投标文件的密封和标记</w:t>
      </w:r>
      <w:bookmarkEnd w:id="90"/>
      <w:bookmarkEnd w:id="91"/>
      <w:bookmarkEnd w:id="92"/>
      <w:bookmarkEnd w:id="93"/>
    </w:p>
    <w:p>
      <w:pPr>
        <w:spacing w:line="360" w:lineRule="auto"/>
        <w:ind w:firstLine="480" w:firstLineChars="200"/>
        <w:outlineLvl w:val="1"/>
        <w:rPr>
          <w:rFonts w:asciiTheme="minorEastAsia" w:hAnsiTheme="minorEastAsia" w:eastAsiaTheme="minorEastAsia" w:cstheme="minorEastAsia"/>
          <w:b/>
          <w:color w:val="auto"/>
        </w:rPr>
      </w:pPr>
      <w:r>
        <w:rPr>
          <w:rFonts w:hint="eastAsia" w:asciiTheme="minorEastAsia" w:hAnsiTheme="minorEastAsia" w:eastAsiaTheme="minorEastAsia" w:cstheme="minorEastAsia"/>
          <w:color w:val="auto"/>
          <w:sz w:val="24"/>
        </w:rPr>
        <w:t>22.1</w:t>
      </w:r>
      <w:r>
        <w:rPr>
          <w:rFonts w:hint="eastAsia" w:asciiTheme="minorEastAsia" w:hAnsiTheme="minorEastAsia" w:eastAsiaTheme="minorEastAsia" w:cstheme="minorEastAsia"/>
          <w:b/>
          <w:color w:val="auto"/>
          <w:sz w:val="24"/>
        </w:rPr>
        <w:t>投标文件均按A4复印纸页面编制、装订。所有投标文件均为明标。</w:t>
      </w:r>
    </w:p>
    <w:p>
      <w:pPr>
        <w:spacing w:line="360" w:lineRule="auto"/>
        <w:ind w:firstLine="482" w:firstLineChars="200"/>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22.2投标人应将投标文件“资格证明文件”“商务文件”“技术文件”分别装订、密封，并在密封处加盖投标人公章。</w:t>
      </w:r>
    </w:p>
    <w:p>
      <w:pPr>
        <w:adjustRightInd w:val="0"/>
        <w:snapToGrid w:val="0"/>
        <w:spacing w:line="360" w:lineRule="auto"/>
        <w:ind w:firstLine="480" w:firstLineChars="200"/>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color w:val="auto"/>
          <w:sz w:val="24"/>
        </w:rPr>
        <w:t>22.3投标文件密封袋上均应写明</w:t>
      </w:r>
      <w:r>
        <w:rPr>
          <w:rFonts w:hint="eastAsia" w:asciiTheme="minorEastAsia" w:hAnsiTheme="minorEastAsia" w:eastAsiaTheme="minorEastAsia" w:cstheme="minorEastAsia"/>
          <w:b/>
          <w:color w:val="auto"/>
          <w:sz w:val="24"/>
        </w:rPr>
        <w:t>“资格证明文件”“商务文件”“技术文件”，并同时写明“招标人”、“项目名称”、“标项”、“招标文件编号”、“投标人名称”和“地址”等事项并注明“开启前不准启封”等字样。</w:t>
      </w:r>
    </w:p>
    <w:p>
      <w:pPr>
        <w:spacing w:line="360" w:lineRule="auto"/>
        <w:ind w:firstLine="48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rPr>
        <w:t>22.4未按本要求密封、标记的投标文件，招标人（或招标代理机构）不对后果负责。</w:t>
      </w:r>
    </w:p>
    <w:p>
      <w:pPr>
        <w:pStyle w:val="32"/>
        <w:spacing w:line="360" w:lineRule="auto"/>
        <w:ind w:firstLine="480" w:firstLineChars="200"/>
        <w:outlineLvl w:val="1"/>
        <w:rPr>
          <w:rFonts w:asciiTheme="minorEastAsia" w:hAnsiTheme="minorEastAsia" w:eastAsiaTheme="minorEastAsia" w:cstheme="minorEastAsia"/>
          <w:color w:val="auto"/>
          <w:sz w:val="24"/>
          <w:szCs w:val="24"/>
        </w:rPr>
      </w:pPr>
      <w:bookmarkStart w:id="94" w:name="_Toc233274836"/>
      <w:bookmarkStart w:id="95" w:name="_Toc245897296"/>
      <w:bookmarkStart w:id="96" w:name="_Toc243906335"/>
      <w:bookmarkStart w:id="97" w:name="_Toc243907596"/>
      <w:r>
        <w:rPr>
          <w:rFonts w:hint="eastAsia" w:asciiTheme="minorEastAsia" w:hAnsiTheme="minorEastAsia" w:eastAsiaTheme="minorEastAsia" w:cstheme="minorEastAsia"/>
          <w:color w:val="auto"/>
          <w:sz w:val="24"/>
          <w:szCs w:val="24"/>
        </w:rPr>
        <w:t>23、递交投标文件截止时间</w:t>
      </w:r>
      <w:bookmarkEnd w:id="94"/>
      <w:bookmarkEnd w:id="95"/>
      <w:bookmarkEnd w:id="96"/>
      <w:bookmarkEnd w:id="97"/>
    </w:p>
    <w:p>
      <w:pPr>
        <w:pStyle w:val="32"/>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szCs w:val="24"/>
        </w:rPr>
        <w:t>23.1 所有投标文件都必须按招标人</w:t>
      </w:r>
      <w:r>
        <w:rPr>
          <w:rFonts w:hint="eastAsia" w:asciiTheme="minorEastAsia" w:hAnsiTheme="minorEastAsia" w:eastAsiaTheme="minorEastAsia" w:cstheme="minorEastAsia"/>
          <w:color w:val="auto"/>
          <w:sz w:val="24"/>
        </w:rPr>
        <w:t>在投标人须知前附表中规定的截止时间之前送达。</w:t>
      </w:r>
    </w:p>
    <w:p>
      <w:pPr>
        <w:pStyle w:val="32"/>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23.2出现因招标文件的修改推迟截止日期时，则按招标代理机构修改通知规定的时间递交投标文件。在此情况下，招标人和招标代理机构与投标人之间受截止期制约的所有权利和义务应延长至新的截止期。</w:t>
      </w:r>
    </w:p>
    <w:p>
      <w:pPr>
        <w:pStyle w:val="32"/>
        <w:spacing w:line="360" w:lineRule="auto"/>
        <w:ind w:firstLine="480" w:firstLineChars="200"/>
        <w:outlineLvl w:val="1"/>
        <w:rPr>
          <w:rFonts w:asciiTheme="minorEastAsia" w:hAnsiTheme="minorEastAsia" w:eastAsiaTheme="minorEastAsia" w:cstheme="minorEastAsia"/>
          <w:color w:val="auto"/>
          <w:sz w:val="24"/>
        </w:rPr>
      </w:pPr>
      <w:bookmarkStart w:id="98" w:name="_Toc245897297"/>
      <w:bookmarkStart w:id="99" w:name="_Toc243907597"/>
      <w:bookmarkStart w:id="100" w:name="_Toc243906336"/>
      <w:bookmarkStart w:id="101" w:name="_Toc233274837"/>
      <w:r>
        <w:rPr>
          <w:rFonts w:hint="eastAsia" w:asciiTheme="minorEastAsia" w:hAnsiTheme="minorEastAsia" w:eastAsiaTheme="minorEastAsia" w:cstheme="minorEastAsia"/>
          <w:color w:val="auto"/>
          <w:sz w:val="24"/>
        </w:rPr>
        <w:t>24、迟交的投标文件</w:t>
      </w:r>
      <w:bookmarkEnd w:id="98"/>
      <w:bookmarkEnd w:id="99"/>
      <w:bookmarkEnd w:id="100"/>
      <w:bookmarkEnd w:id="101"/>
    </w:p>
    <w:p>
      <w:pPr>
        <w:pStyle w:val="32"/>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24.1 招标人将拒绝并原封退回在其规定的截止时间后送达的投标文件。</w:t>
      </w:r>
    </w:p>
    <w:p>
      <w:pPr>
        <w:pStyle w:val="32"/>
        <w:spacing w:line="360" w:lineRule="auto"/>
        <w:ind w:firstLine="480" w:firstLineChars="200"/>
        <w:outlineLvl w:val="1"/>
        <w:rPr>
          <w:rFonts w:asciiTheme="minorEastAsia" w:hAnsiTheme="minorEastAsia" w:eastAsiaTheme="minorEastAsia" w:cstheme="minorEastAsia"/>
          <w:color w:val="auto"/>
          <w:sz w:val="24"/>
        </w:rPr>
      </w:pPr>
      <w:bookmarkStart w:id="102" w:name="_Toc243907598"/>
      <w:bookmarkStart w:id="103" w:name="_Toc243906337"/>
      <w:bookmarkStart w:id="104" w:name="_Toc245897298"/>
      <w:bookmarkStart w:id="105" w:name="_Toc233274838"/>
      <w:r>
        <w:rPr>
          <w:rFonts w:hint="eastAsia" w:asciiTheme="minorEastAsia" w:hAnsiTheme="minorEastAsia" w:eastAsiaTheme="minorEastAsia" w:cstheme="minorEastAsia"/>
          <w:color w:val="auto"/>
          <w:sz w:val="24"/>
        </w:rPr>
        <w:t>25、投标文件的修改和撤回</w:t>
      </w:r>
      <w:bookmarkEnd w:id="102"/>
      <w:bookmarkEnd w:id="103"/>
      <w:bookmarkEnd w:id="104"/>
      <w:bookmarkEnd w:id="105"/>
    </w:p>
    <w:p>
      <w:pPr>
        <w:pStyle w:val="32"/>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25.1 投标人在提交投标文件后可在截止时间前对其投标文件进行修改或撤回，但招标人须在截止时间之前收到该修改或撤回的书面通知，该通知须有投标人代表人或经有效授权的委托代理人签字或盖章。</w:t>
      </w:r>
    </w:p>
    <w:p>
      <w:pPr>
        <w:pStyle w:val="32"/>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25.2 </w:t>
      </w:r>
      <w:r>
        <w:rPr>
          <w:rFonts w:hint="eastAsia" w:hAnsi="宋体" w:cs="宋体"/>
          <w:color w:val="auto"/>
          <w:sz w:val="24"/>
        </w:rPr>
        <w:t>投标人对投标文件修改的书面材料或撤回的通知应按第22条和第23条规定进行编写、密封、标记和递交，并注明“修改投标文件”或“撤回投标文件”字样。否则采购人将按21.4款的规定不予退还其全部投标保证金</w:t>
      </w:r>
      <w:r>
        <w:rPr>
          <w:rFonts w:hint="eastAsia" w:asciiTheme="minorEastAsia" w:hAnsiTheme="minorEastAsia" w:eastAsiaTheme="minorEastAsia" w:cstheme="minorEastAsia"/>
          <w:color w:val="auto"/>
          <w:sz w:val="24"/>
        </w:rPr>
        <w:t>。</w:t>
      </w:r>
    </w:p>
    <w:p>
      <w:pPr>
        <w:pStyle w:val="32"/>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25.3截止时间之后，投标人不得对投标文件做任何修改。</w:t>
      </w:r>
    </w:p>
    <w:p>
      <w:pPr>
        <w:pStyle w:val="32"/>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25.4 投标人不得在截止时间起至投标文件有效期期满前撤回投标文件。</w:t>
      </w:r>
    </w:p>
    <w:p>
      <w:pPr>
        <w:spacing w:line="360" w:lineRule="auto"/>
        <w:ind w:firstLine="480" w:firstLineChars="200"/>
        <w:outlineLvl w:val="1"/>
        <w:rPr>
          <w:rFonts w:asciiTheme="minorEastAsia" w:hAnsiTheme="minorEastAsia" w:eastAsiaTheme="minorEastAsia" w:cstheme="minorEastAsia"/>
          <w:color w:val="auto"/>
          <w:sz w:val="24"/>
        </w:rPr>
      </w:pPr>
      <w:bookmarkStart w:id="106" w:name="_Toc245897299"/>
      <w:bookmarkStart w:id="107" w:name="_Toc243907599"/>
      <w:bookmarkStart w:id="108" w:name="_Toc243906338"/>
      <w:bookmarkStart w:id="109" w:name="_Toc233274839"/>
      <w:r>
        <w:rPr>
          <w:rFonts w:hint="eastAsia" w:asciiTheme="minorEastAsia" w:hAnsiTheme="minorEastAsia" w:eastAsiaTheme="minorEastAsia" w:cstheme="minorEastAsia"/>
          <w:color w:val="auto"/>
          <w:sz w:val="24"/>
        </w:rPr>
        <w:t>26、递交投标文件</w:t>
      </w:r>
      <w:bookmarkEnd w:id="106"/>
      <w:bookmarkEnd w:id="107"/>
      <w:bookmarkEnd w:id="108"/>
      <w:bookmarkEnd w:id="109"/>
    </w:p>
    <w:p>
      <w:pP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26.1投标人应按本投标人须知前附表第8项规定的时间及地点递交投标文件。</w:t>
      </w:r>
    </w:p>
    <w:p>
      <w:pPr>
        <w:spacing w:line="360" w:lineRule="auto"/>
        <w:ind w:firstLine="482" w:firstLineChars="200"/>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26.2有下列情形之一的，招标人不予接收其投标文件：</w:t>
      </w:r>
    </w:p>
    <w:p>
      <w:pP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26.2.1投标人在递交投标文件截止时间后送达或未送达到指定地点的投标文件；</w:t>
      </w:r>
    </w:p>
    <w:p>
      <w:pP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26.2.2 投标文件未按招标文件要求密封的。</w:t>
      </w:r>
    </w:p>
    <w:p>
      <w:pPr>
        <w:spacing w:line="360" w:lineRule="auto"/>
        <w:ind w:firstLine="562" w:firstLineChars="200"/>
        <w:jc w:val="center"/>
        <w:outlineLvl w:val="1"/>
        <w:rPr>
          <w:rFonts w:asciiTheme="minorEastAsia" w:hAnsiTheme="minorEastAsia" w:eastAsiaTheme="minorEastAsia" w:cstheme="minorEastAsia"/>
          <w:b/>
          <w:bCs/>
          <w:color w:val="auto"/>
          <w:sz w:val="28"/>
          <w:szCs w:val="28"/>
        </w:rPr>
      </w:pPr>
      <w:bookmarkStart w:id="110" w:name="_Toc233274840"/>
      <w:bookmarkStart w:id="111" w:name="_Toc243907600"/>
      <w:bookmarkStart w:id="112" w:name="_Toc243906339"/>
      <w:bookmarkStart w:id="113" w:name="_Toc246216209"/>
    </w:p>
    <w:p>
      <w:pPr>
        <w:spacing w:line="360" w:lineRule="auto"/>
        <w:ind w:firstLine="562" w:firstLineChars="200"/>
        <w:jc w:val="center"/>
        <w:outlineLvl w:val="1"/>
        <w:rPr>
          <w:rFonts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E  开标、评标、</w:t>
      </w:r>
      <w:bookmarkEnd w:id="110"/>
      <w:bookmarkEnd w:id="111"/>
      <w:bookmarkEnd w:id="112"/>
      <w:bookmarkEnd w:id="113"/>
      <w:r>
        <w:rPr>
          <w:rFonts w:hint="eastAsia" w:asciiTheme="minorEastAsia" w:hAnsiTheme="minorEastAsia" w:eastAsiaTheme="minorEastAsia" w:cstheme="minorEastAsia"/>
          <w:b/>
          <w:bCs/>
          <w:color w:val="auto"/>
          <w:sz w:val="28"/>
          <w:szCs w:val="28"/>
        </w:rPr>
        <w:t>确定中标单位</w:t>
      </w:r>
    </w:p>
    <w:p>
      <w:pPr>
        <w:spacing w:line="360" w:lineRule="auto"/>
        <w:ind w:firstLine="480" w:firstLineChars="200"/>
        <w:rPr>
          <w:rFonts w:asciiTheme="minorEastAsia" w:hAnsiTheme="minorEastAsia" w:eastAsiaTheme="minorEastAsia" w:cstheme="minorEastAsia"/>
          <w:color w:val="auto"/>
          <w:sz w:val="24"/>
          <w:szCs w:val="20"/>
        </w:rPr>
      </w:pPr>
    </w:p>
    <w:p>
      <w:pPr>
        <w:spacing w:line="360" w:lineRule="auto"/>
        <w:ind w:firstLine="480" w:firstLineChars="200"/>
        <w:outlineLvl w:val="1"/>
        <w:rPr>
          <w:rFonts w:asciiTheme="minorEastAsia" w:hAnsiTheme="minorEastAsia" w:eastAsiaTheme="minorEastAsia" w:cstheme="minorEastAsia"/>
          <w:color w:val="auto"/>
          <w:sz w:val="24"/>
          <w:szCs w:val="20"/>
        </w:rPr>
      </w:pPr>
      <w:bookmarkStart w:id="114" w:name="_Toc243907601"/>
      <w:bookmarkStart w:id="115" w:name="_Toc233274841"/>
      <w:bookmarkStart w:id="116" w:name="_Toc243906340"/>
      <w:bookmarkStart w:id="117" w:name="_Toc245897301"/>
      <w:r>
        <w:rPr>
          <w:rFonts w:hint="eastAsia" w:asciiTheme="minorEastAsia" w:hAnsiTheme="minorEastAsia" w:eastAsiaTheme="minorEastAsia" w:cstheme="minorEastAsia"/>
          <w:color w:val="auto"/>
          <w:sz w:val="24"/>
          <w:szCs w:val="20"/>
        </w:rPr>
        <w:t>27、</w:t>
      </w:r>
      <w:bookmarkEnd w:id="114"/>
      <w:bookmarkEnd w:id="115"/>
      <w:bookmarkEnd w:id="116"/>
      <w:bookmarkEnd w:id="117"/>
      <w:r>
        <w:rPr>
          <w:rFonts w:hint="eastAsia" w:asciiTheme="minorEastAsia" w:hAnsiTheme="minorEastAsia" w:eastAsiaTheme="minorEastAsia" w:cstheme="minorEastAsia"/>
          <w:color w:val="auto"/>
          <w:sz w:val="24"/>
          <w:szCs w:val="20"/>
        </w:rPr>
        <w:t>开标会议</w:t>
      </w:r>
    </w:p>
    <w:p>
      <w:pPr>
        <w:spacing w:line="360" w:lineRule="auto"/>
        <w:ind w:firstLine="480" w:firstLineChars="200"/>
        <w:rPr>
          <w:rFonts w:asciiTheme="minorEastAsia" w:hAnsiTheme="minorEastAsia" w:eastAsiaTheme="minorEastAsia" w:cstheme="minorEastAsia"/>
          <w:color w:val="auto"/>
          <w:sz w:val="24"/>
          <w:szCs w:val="20"/>
        </w:rPr>
      </w:pPr>
      <w:r>
        <w:rPr>
          <w:rFonts w:hint="eastAsia" w:asciiTheme="minorEastAsia" w:hAnsiTheme="minorEastAsia" w:eastAsiaTheme="minorEastAsia" w:cstheme="minorEastAsia"/>
          <w:color w:val="auto"/>
          <w:sz w:val="24"/>
          <w:szCs w:val="20"/>
        </w:rPr>
        <w:t>27.1招标人在本投标人须知前附表第98项规定的时间和地点组织开标会议。</w:t>
      </w:r>
    </w:p>
    <w:p>
      <w:pPr>
        <w:spacing w:line="360" w:lineRule="auto"/>
        <w:ind w:firstLine="480" w:firstLineChars="200"/>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color w:val="auto"/>
          <w:sz w:val="24"/>
          <w:szCs w:val="20"/>
        </w:rPr>
        <w:t>27.2</w:t>
      </w:r>
      <w:r>
        <w:rPr>
          <w:rFonts w:hint="eastAsia" w:asciiTheme="minorEastAsia" w:hAnsiTheme="minorEastAsia" w:eastAsiaTheme="minorEastAsia" w:cstheme="minorEastAsia"/>
          <w:color w:val="auto"/>
          <w:sz w:val="24"/>
        </w:rPr>
        <w:t>各投标人法定代表人或其授权代表应准时参加，开标时</w:t>
      </w:r>
      <w:r>
        <w:rPr>
          <w:rFonts w:hint="eastAsia" w:asciiTheme="minorEastAsia" w:hAnsiTheme="minorEastAsia" w:eastAsiaTheme="minorEastAsia" w:cstheme="minorEastAsia"/>
          <w:b/>
          <w:color w:val="auto"/>
          <w:sz w:val="24"/>
        </w:rPr>
        <w:t>参加会议的代表应持有投标人法定代表人授权委托书及委托代理人身份证原件</w:t>
      </w:r>
      <w:r>
        <w:rPr>
          <w:rFonts w:hint="eastAsia" w:asciiTheme="minorEastAsia" w:hAnsiTheme="minorEastAsia" w:eastAsiaTheme="minorEastAsia" w:cstheme="minorEastAsia"/>
          <w:color w:val="auto"/>
          <w:sz w:val="24"/>
        </w:rPr>
        <w:t>。投标文件中按要求提供法定代表人授权书。招标代理机构将核验出席开标活动现场的各投标人法定代表人或其授权代表及相关单位人员身份，并组织其分别登记、签到，无关人员不得进入现场。投标人如不派代表参加开标会议的，事后不得对采购相关人员、开标过程和开标结果提出异议</w:t>
      </w:r>
      <w:r>
        <w:rPr>
          <w:rFonts w:hint="eastAsia" w:asciiTheme="minorEastAsia" w:hAnsiTheme="minorEastAsia" w:eastAsiaTheme="minorEastAsia" w:cstheme="minorEastAsia"/>
          <w:b/>
          <w:color w:val="auto"/>
          <w:sz w:val="24"/>
          <w:szCs w:val="22"/>
        </w:rPr>
        <w:t>。</w:t>
      </w:r>
    </w:p>
    <w:p>
      <w:pP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bCs/>
          <w:color w:val="auto"/>
          <w:sz w:val="24"/>
        </w:rPr>
        <w:t>27.3</w:t>
      </w:r>
      <w:r>
        <w:rPr>
          <w:rFonts w:hint="eastAsia" w:asciiTheme="minorEastAsia" w:hAnsiTheme="minorEastAsia" w:eastAsiaTheme="minorEastAsia" w:cstheme="minorEastAsia"/>
          <w:color w:val="auto"/>
          <w:sz w:val="24"/>
        </w:rPr>
        <w:t>招标代理机构接收投标文件并予以登记，各投标人法定代表人或其授权代表对投标文件的递交情况进行签字确认。</w:t>
      </w:r>
    </w:p>
    <w:p>
      <w:pPr>
        <w:spacing w:line="360" w:lineRule="auto"/>
        <w:ind w:firstLine="480" w:firstLineChars="200"/>
        <w:rPr>
          <w:rFonts w:asciiTheme="minorEastAsia" w:hAnsiTheme="minorEastAsia" w:eastAsiaTheme="minorEastAsia" w:cstheme="minorEastAsia"/>
          <w:color w:val="auto"/>
          <w:sz w:val="24"/>
          <w:szCs w:val="20"/>
        </w:rPr>
      </w:pPr>
      <w:r>
        <w:rPr>
          <w:rFonts w:hint="eastAsia" w:asciiTheme="minorEastAsia" w:hAnsiTheme="minorEastAsia" w:eastAsiaTheme="minorEastAsia" w:cstheme="minorEastAsia"/>
          <w:color w:val="auto"/>
          <w:sz w:val="24"/>
          <w:szCs w:val="20"/>
        </w:rPr>
        <w:t>27.4开标会议由招标代理机构组织并主持。开标时，应当由投标人或者其推选的代表检查投标文件的密封情况，也可以由招标人委托的公证机构检查并公证；经确认无误后，由招标代理机构工作人员当众拆封，</w:t>
      </w:r>
      <w:r>
        <w:rPr>
          <w:rFonts w:hint="eastAsia" w:asciiTheme="minorEastAsia" w:hAnsiTheme="minorEastAsia" w:eastAsiaTheme="minorEastAsia" w:cstheme="minorEastAsia"/>
          <w:color w:val="auto"/>
          <w:sz w:val="24"/>
        </w:rPr>
        <w:t>按投标人提交投标文件的登记顺序当众拆封、清点投标文件（包括正本、副本）数量，各投标人法定代表人或其授权代表等候招标代理机构拆封商务文件</w:t>
      </w:r>
      <w:r>
        <w:rPr>
          <w:rFonts w:hint="eastAsia" w:asciiTheme="minorEastAsia" w:hAnsiTheme="minorEastAsia" w:eastAsiaTheme="minorEastAsia" w:cstheme="minorEastAsia"/>
          <w:color w:val="auto"/>
          <w:sz w:val="24"/>
          <w:szCs w:val="20"/>
        </w:rPr>
        <w:t>，由招标代理机构工作人员宣读投标人名称和招标文件规定的需要宣布的其他内容。</w:t>
      </w:r>
    </w:p>
    <w:p>
      <w:pPr>
        <w:spacing w:line="360" w:lineRule="auto"/>
        <w:ind w:firstLine="482"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b/>
          <w:color w:val="auto"/>
          <w:sz w:val="24"/>
        </w:rPr>
        <w:t>27.5开标结束后，招标人、招标代理机构应当依法对投标人的资格进行审查。投标人未按照招标文件要求提供其相应的有效资格证明材料的，视为投标人不具备招标文件中规定的资格要求，其投标无效，不得进入评标程序。</w:t>
      </w:r>
    </w:p>
    <w:p>
      <w:pPr>
        <w:spacing w:line="360" w:lineRule="auto"/>
        <w:ind w:firstLine="480" w:firstLineChars="200"/>
        <w:outlineLvl w:val="1"/>
        <w:rPr>
          <w:rFonts w:asciiTheme="minorEastAsia" w:hAnsiTheme="minorEastAsia" w:eastAsiaTheme="minorEastAsia" w:cstheme="minorEastAsia"/>
          <w:color w:val="auto"/>
          <w:sz w:val="24"/>
          <w:szCs w:val="20"/>
        </w:rPr>
      </w:pPr>
      <w:bookmarkStart w:id="118" w:name="_Toc243906341"/>
      <w:bookmarkStart w:id="119" w:name="_Toc243907602"/>
      <w:bookmarkStart w:id="120" w:name="_Toc233274842"/>
      <w:bookmarkStart w:id="121" w:name="_Toc245897302"/>
      <w:r>
        <w:rPr>
          <w:rFonts w:hint="eastAsia" w:asciiTheme="minorEastAsia" w:hAnsiTheme="minorEastAsia" w:eastAsiaTheme="minorEastAsia" w:cstheme="minorEastAsia"/>
          <w:color w:val="auto"/>
          <w:sz w:val="24"/>
          <w:szCs w:val="20"/>
        </w:rPr>
        <w:t>28、评标委员会</w:t>
      </w:r>
      <w:bookmarkEnd w:id="118"/>
      <w:bookmarkEnd w:id="119"/>
      <w:bookmarkEnd w:id="120"/>
      <w:bookmarkEnd w:id="121"/>
    </w:p>
    <w:p>
      <w:pPr>
        <w:widowControl/>
        <w:spacing w:line="360" w:lineRule="auto"/>
        <w:ind w:firstLine="480" w:firstLineChars="200"/>
        <w:rPr>
          <w:rFonts w:asciiTheme="minorEastAsia" w:hAnsiTheme="minorEastAsia" w:eastAsiaTheme="minorEastAsia" w:cstheme="minorEastAsia"/>
          <w:color w:val="auto"/>
          <w:sz w:val="24"/>
          <w:szCs w:val="20"/>
        </w:rPr>
      </w:pPr>
      <w:r>
        <w:rPr>
          <w:rFonts w:hint="eastAsia" w:asciiTheme="minorEastAsia" w:hAnsiTheme="minorEastAsia" w:eastAsiaTheme="minorEastAsia" w:cstheme="minorEastAsia"/>
          <w:color w:val="auto"/>
          <w:sz w:val="24"/>
          <w:szCs w:val="20"/>
        </w:rPr>
        <w:t>28.1评标委员会成员组成：按照</w:t>
      </w:r>
      <w:r>
        <w:rPr>
          <w:rFonts w:hint="eastAsia" w:asciiTheme="minorEastAsia" w:hAnsiTheme="minorEastAsia" w:eastAsiaTheme="minorEastAsia" w:cstheme="minorEastAsia"/>
          <w:color w:val="auto"/>
          <w:sz w:val="24"/>
        </w:rPr>
        <w:t>《中华人民共和国政府采购法》、《中华人民共和国政府采购法实施条例》、《政府采购货物和服务招标投标管理办法》</w:t>
      </w:r>
      <w:r>
        <w:rPr>
          <w:rFonts w:hint="eastAsia" w:asciiTheme="minorEastAsia" w:hAnsiTheme="minorEastAsia" w:eastAsiaTheme="minorEastAsia" w:cstheme="minorEastAsia"/>
          <w:color w:val="auto"/>
          <w:sz w:val="24"/>
          <w:szCs w:val="20"/>
        </w:rPr>
        <w:t>及相关法律、法规规定组建</w:t>
      </w:r>
      <w:r>
        <w:rPr>
          <w:rFonts w:hint="eastAsia" w:asciiTheme="minorEastAsia" w:hAnsiTheme="minorEastAsia" w:eastAsiaTheme="minorEastAsia" w:cstheme="minorEastAsia"/>
          <w:color w:val="auto"/>
          <w:sz w:val="24"/>
        </w:rPr>
        <w:t>，由招标人代表和评审专家组成</w:t>
      </w:r>
      <w:r>
        <w:rPr>
          <w:rFonts w:hint="eastAsia" w:asciiTheme="minorEastAsia" w:hAnsiTheme="minorEastAsia" w:eastAsiaTheme="minorEastAsia" w:cstheme="minorEastAsia"/>
          <w:color w:val="auto"/>
          <w:sz w:val="24"/>
          <w:szCs w:val="20"/>
        </w:rPr>
        <w:t>。评标委员会将负责对投标人提交的投标文件进行公开、评审，确保公开、评审过程公正、合法、保密，并向招标人推荐中标候选人。</w:t>
      </w:r>
    </w:p>
    <w:p>
      <w:pPr>
        <w:spacing w:line="360" w:lineRule="auto"/>
        <w:ind w:firstLine="482" w:firstLineChars="200"/>
        <w:outlineLvl w:val="1"/>
        <w:rPr>
          <w:rFonts w:asciiTheme="minorEastAsia" w:hAnsiTheme="minorEastAsia" w:eastAsiaTheme="minorEastAsia" w:cstheme="minorEastAsia"/>
          <w:color w:val="auto"/>
          <w:sz w:val="24"/>
          <w:szCs w:val="20"/>
        </w:rPr>
      </w:pPr>
      <w:bookmarkStart w:id="122" w:name="_Toc245897306"/>
      <w:bookmarkStart w:id="123" w:name="_Toc243907607"/>
      <w:bookmarkStart w:id="124" w:name="_Toc233274845"/>
      <w:bookmarkStart w:id="125" w:name="_Toc243906346"/>
      <w:bookmarkStart w:id="126" w:name="_Toc233274843"/>
      <w:bookmarkStart w:id="127" w:name="_Toc243907605"/>
      <w:bookmarkStart w:id="128" w:name="_Toc245897304"/>
      <w:bookmarkStart w:id="129" w:name="_Toc243906344"/>
      <w:r>
        <w:rPr>
          <w:rFonts w:hint="eastAsia" w:asciiTheme="minorEastAsia" w:hAnsiTheme="minorEastAsia" w:eastAsiaTheme="minorEastAsia" w:cstheme="minorEastAsia"/>
          <w:b/>
          <w:color w:val="auto"/>
          <w:sz w:val="24"/>
          <w:szCs w:val="20"/>
        </w:rPr>
        <w:t>29、重大偏离</w:t>
      </w:r>
      <w:bookmarkEnd w:id="122"/>
      <w:bookmarkEnd w:id="123"/>
      <w:bookmarkEnd w:id="124"/>
      <w:bookmarkEnd w:id="125"/>
    </w:p>
    <w:p>
      <w:pPr>
        <w:spacing w:line="360" w:lineRule="auto"/>
        <w:ind w:firstLine="482" w:firstLineChars="200"/>
        <w:rPr>
          <w:rFonts w:asciiTheme="minorEastAsia" w:hAnsiTheme="minorEastAsia" w:eastAsiaTheme="minorEastAsia" w:cstheme="minorEastAsia"/>
          <w:b/>
          <w:color w:val="auto"/>
          <w:sz w:val="24"/>
          <w:szCs w:val="20"/>
        </w:rPr>
      </w:pPr>
      <w:bookmarkStart w:id="130" w:name="_Toc245897307"/>
      <w:bookmarkStart w:id="131" w:name="_Toc243906347"/>
      <w:bookmarkStart w:id="132" w:name="_Toc233274846"/>
      <w:bookmarkStart w:id="133" w:name="_Toc243907608"/>
      <w:r>
        <w:rPr>
          <w:rFonts w:hint="eastAsia" w:asciiTheme="minorEastAsia" w:hAnsiTheme="minorEastAsia" w:eastAsiaTheme="minorEastAsia" w:cstheme="minorEastAsia"/>
          <w:b/>
          <w:color w:val="auto"/>
          <w:sz w:val="24"/>
          <w:szCs w:val="20"/>
        </w:rPr>
        <w:t>重大偏离是指实质上影响合同的招标内容、质量和性能、承包年限、</w:t>
      </w:r>
      <w:r>
        <w:rPr>
          <w:rFonts w:hint="eastAsia" w:ascii="宋体" w:hAnsi="宋体" w:cs="宋体"/>
          <w:b/>
          <w:color w:val="auto"/>
          <w:sz w:val="24"/>
          <w:szCs w:val="20"/>
        </w:rPr>
        <w:t>投标保证金</w:t>
      </w:r>
      <w:r>
        <w:rPr>
          <w:rFonts w:hint="eastAsia" w:asciiTheme="minorEastAsia" w:hAnsiTheme="minorEastAsia" w:eastAsiaTheme="minorEastAsia" w:cstheme="minorEastAsia"/>
          <w:b/>
          <w:color w:val="auto"/>
          <w:sz w:val="24"/>
          <w:szCs w:val="20"/>
        </w:rPr>
        <w:t>等，或者实质上不满足招标文件的要求，而且限制了招标人的权力或减轻了投标人的义务。纠正或承认这些偏离将会对其他实质上投标要求的投标人合理的竞争地位产生不公正的影响。</w:t>
      </w:r>
    </w:p>
    <w:p>
      <w:pPr>
        <w:spacing w:line="360" w:lineRule="auto"/>
        <w:ind w:firstLine="482" w:firstLineChars="200"/>
        <w:outlineLvl w:val="1"/>
        <w:rPr>
          <w:rFonts w:asciiTheme="minorEastAsia" w:hAnsiTheme="minorEastAsia" w:eastAsiaTheme="minorEastAsia" w:cstheme="minorEastAsia"/>
          <w:b/>
          <w:color w:val="auto"/>
          <w:sz w:val="24"/>
          <w:szCs w:val="20"/>
        </w:rPr>
      </w:pPr>
      <w:r>
        <w:rPr>
          <w:rFonts w:hint="eastAsia" w:asciiTheme="minorEastAsia" w:hAnsiTheme="minorEastAsia" w:eastAsiaTheme="minorEastAsia" w:cstheme="minorEastAsia"/>
          <w:b/>
          <w:color w:val="auto"/>
          <w:sz w:val="24"/>
          <w:szCs w:val="20"/>
        </w:rPr>
        <w:t>30、</w:t>
      </w:r>
      <w:bookmarkEnd w:id="130"/>
      <w:bookmarkEnd w:id="131"/>
      <w:bookmarkEnd w:id="132"/>
      <w:bookmarkEnd w:id="133"/>
      <w:r>
        <w:rPr>
          <w:rFonts w:hint="eastAsia" w:asciiTheme="minorEastAsia" w:hAnsiTheme="minorEastAsia" w:eastAsiaTheme="minorEastAsia" w:cstheme="minorEastAsia"/>
          <w:b/>
          <w:color w:val="auto"/>
          <w:sz w:val="24"/>
          <w:szCs w:val="20"/>
        </w:rPr>
        <w:t>废标</w:t>
      </w:r>
    </w:p>
    <w:p>
      <w:pPr>
        <w:spacing w:line="360" w:lineRule="auto"/>
        <w:ind w:firstLine="482" w:firstLineChars="200"/>
        <w:rPr>
          <w:rFonts w:asciiTheme="minorEastAsia" w:hAnsiTheme="minorEastAsia" w:eastAsiaTheme="minorEastAsia" w:cstheme="minorEastAsia"/>
          <w:b/>
          <w:color w:val="auto"/>
          <w:sz w:val="24"/>
          <w:szCs w:val="20"/>
        </w:rPr>
      </w:pPr>
      <w:r>
        <w:rPr>
          <w:rFonts w:hint="eastAsia" w:asciiTheme="minorEastAsia" w:hAnsiTheme="minorEastAsia" w:eastAsiaTheme="minorEastAsia" w:cstheme="minorEastAsia"/>
          <w:b/>
          <w:color w:val="auto"/>
          <w:sz w:val="24"/>
          <w:szCs w:val="20"/>
        </w:rPr>
        <w:t>在招标采购中，出现下列情形之一的，应予废标：</w:t>
      </w:r>
    </w:p>
    <w:p>
      <w:pPr>
        <w:spacing w:line="360" w:lineRule="auto"/>
        <w:ind w:firstLine="482" w:firstLineChars="200"/>
        <w:rPr>
          <w:rFonts w:asciiTheme="minorEastAsia" w:hAnsiTheme="minorEastAsia" w:eastAsiaTheme="minorEastAsia" w:cstheme="minorEastAsia"/>
          <w:b/>
          <w:color w:val="auto"/>
          <w:sz w:val="24"/>
          <w:szCs w:val="20"/>
        </w:rPr>
      </w:pPr>
      <w:r>
        <w:rPr>
          <w:rFonts w:hint="eastAsia" w:asciiTheme="minorEastAsia" w:hAnsiTheme="minorEastAsia" w:eastAsiaTheme="minorEastAsia" w:cstheme="minorEastAsia"/>
          <w:b/>
          <w:color w:val="auto"/>
          <w:sz w:val="24"/>
          <w:szCs w:val="20"/>
        </w:rPr>
        <w:t>30.1符合专业条件的投标人或者对招标文件作实质响应的投标人不足三家的；</w:t>
      </w:r>
    </w:p>
    <w:p>
      <w:pPr>
        <w:spacing w:line="360" w:lineRule="auto"/>
        <w:ind w:firstLine="482" w:firstLineChars="200"/>
        <w:rPr>
          <w:rFonts w:asciiTheme="minorEastAsia" w:hAnsiTheme="minorEastAsia" w:eastAsiaTheme="minorEastAsia" w:cstheme="minorEastAsia"/>
          <w:b/>
          <w:color w:val="auto"/>
          <w:sz w:val="24"/>
          <w:szCs w:val="20"/>
        </w:rPr>
      </w:pPr>
      <w:r>
        <w:rPr>
          <w:rFonts w:hint="eastAsia" w:asciiTheme="minorEastAsia" w:hAnsiTheme="minorEastAsia" w:eastAsiaTheme="minorEastAsia" w:cstheme="minorEastAsia"/>
          <w:b/>
          <w:color w:val="auto"/>
          <w:sz w:val="24"/>
          <w:szCs w:val="20"/>
        </w:rPr>
        <w:t>30.2出现影响采购公正的违法、违规行为的；</w:t>
      </w:r>
    </w:p>
    <w:p>
      <w:pPr>
        <w:spacing w:line="360" w:lineRule="auto"/>
        <w:ind w:firstLine="482" w:firstLineChars="200"/>
        <w:rPr>
          <w:rFonts w:asciiTheme="minorEastAsia" w:hAnsiTheme="minorEastAsia" w:eastAsiaTheme="minorEastAsia" w:cstheme="minorEastAsia"/>
          <w:b/>
          <w:color w:val="auto"/>
          <w:sz w:val="24"/>
          <w:szCs w:val="20"/>
        </w:rPr>
      </w:pPr>
      <w:r>
        <w:rPr>
          <w:rFonts w:hint="eastAsia" w:asciiTheme="minorEastAsia" w:hAnsiTheme="minorEastAsia" w:eastAsiaTheme="minorEastAsia" w:cstheme="minorEastAsia"/>
          <w:b/>
          <w:color w:val="auto"/>
          <w:sz w:val="24"/>
          <w:szCs w:val="20"/>
        </w:rPr>
        <w:t>30.3投标人的报价均超过了采购预算，招标人不能支付的；</w:t>
      </w:r>
    </w:p>
    <w:p>
      <w:pPr>
        <w:spacing w:line="360" w:lineRule="auto"/>
        <w:ind w:firstLine="482" w:firstLineChars="200"/>
        <w:rPr>
          <w:rFonts w:asciiTheme="minorEastAsia" w:hAnsiTheme="minorEastAsia" w:eastAsiaTheme="minorEastAsia" w:cstheme="minorEastAsia"/>
          <w:b/>
          <w:color w:val="auto"/>
          <w:sz w:val="24"/>
          <w:szCs w:val="20"/>
        </w:rPr>
      </w:pPr>
      <w:r>
        <w:rPr>
          <w:rFonts w:hint="eastAsia" w:asciiTheme="minorEastAsia" w:hAnsiTheme="minorEastAsia" w:eastAsiaTheme="minorEastAsia" w:cstheme="minorEastAsia"/>
          <w:b/>
          <w:color w:val="auto"/>
          <w:sz w:val="24"/>
          <w:szCs w:val="20"/>
        </w:rPr>
        <w:t>30.4因重大变故，采购任务取消的；</w:t>
      </w:r>
    </w:p>
    <w:p>
      <w:pPr>
        <w:spacing w:line="360" w:lineRule="auto"/>
        <w:ind w:firstLine="482" w:firstLineChars="200"/>
        <w:rPr>
          <w:rFonts w:asciiTheme="minorEastAsia" w:hAnsiTheme="minorEastAsia" w:eastAsiaTheme="minorEastAsia" w:cstheme="minorEastAsia"/>
          <w:b/>
          <w:color w:val="auto"/>
          <w:sz w:val="24"/>
          <w:szCs w:val="20"/>
        </w:rPr>
      </w:pPr>
      <w:r>
        <w:rPr>
          <w:rFonts w:hint="eastAsia" w:asciiTheme="minorEastAsia" w:hAnsiTheme="minorEastAsia" w:eastAsiaTheme="minorEastAsia" w:cstheme="minorEastAsia"/>
          <w:b/>
          <w:color w:val="auto"/>
          <w:sz w:val="24"/>
          <w:szCs w:val="20"/>
        </w:rPr>
        <w:t>30.5《中华人民共和国政府采购法》及相关法律法规及招标文件明确规定废标的其他情形。</w:t>
      </w:r>
      <w:bookmarkStart w:id="134" w:name="_Toc243907609"/>
      <w:bookmarkStart w:id="135" w:name="_Toc245897308"/>
      <w:bookmarkStart w:id="136" w:name="_Toc233274847"/>
      <w:bookmarkStart w:id="137" w:name="_Toc243906348"/>
    </w:p>
    <w:p>
      <w:pPr>
        <w:spacing w:line="360" w:lineRule="auto"/>
        <w:ind w:firstLine="482" w:firstLineChars="200"/>
        <w:outlineLvl w:val="1"/>
        <w:rPr>
          <w:rFonts w:asciiTheme="minorEastAsia" w:hAnsiTheme="minorEastAsia" w:eastAsiaTheme="minorEastAsia" w:cstheme="minorEastAsia"/>
          <w:b/>
          <w:color w:val="auto"/>
          <w:sz w:val="24"/>
          <w:szCs w:val="20"/>
        </w:rPr>
      </w:pPr>
      <w:r>
        <w:rPr>
          <w:rFonts w:hint="eastAsia" w:asciiTheme="minorEastAsia" w:hAnsiTheme="minorEastAsia" w:eastAsiaTheme="minorEastAsia" w:cstheme="minorEastAsia"/>
          <w:b/>
          <w:color w:val="auto"/>
          <w:sz w:val="24"/>
          <w:szCs w:val="20"/>
        </w:rPr>
        <w:t>31、投标人串通投标</w:t>
      </w:r>
    </w:p>
    <w:p>
      <w:pPr>
        <w:spacing w:line="360" w:lineRule="auto"/>
        <w:ind w:firstLine="482" w:firstLineChars="200"/>
        <w:rPr>
          <w:rFonts w:asciiTheme="minorEastAsia" w:hAnsiTheme="minorEastAsia" w:eastAsiaTheme="minorEastAsia" w:cstheme="minorEastAsia"/>
          <w:b/>
          <w:color w:val="auto"/>
          <w:sz w:val="24"/>
          <w:szCs w:val="20"/>
        </w:rPr>
      </w:pPr>
      <w:r>
        <w:rPr>
          <w:rFonts w:hint="eastAsia" w:asciiTheme="minorEastAsia" w:hAnsiTheme="minorEastAsia" w:eastAsiaTheme="minorEastAsia" w:cstheme="minorEastAsia"/>
          <w:b/>
          <w:color w:val="auto"/>
          <w:sz w:val="24"/>
          <w:szCs w:val="20"/>
        </w:rPr>
        <w:t>有下列情形之一的，视为投标人串通投标，其投标无效：</w:t>
      </w:r>
    </w:p>
    <w:p>
      <w:pPr>
        <w:spacing w:line="360" w:lineRule="auto"/>
        <w:ind w:firstLine="482" w:firstLineChars="200"/>
        <w:rPr>
          <w:rFonts w:asciiTheme="minorEastAsia" w:hAnsiTheme="minorEastAsia" w:eastAsiaTheme="minorEastAsia" w:cstheme="minorEastAsia"/>
          <w:b/>
          <w:color w:val="auto"/>
          <w:sz w:val="24"/>
          <w:szCs w:val="20"/>
        </w:rPr>
      </w:pPr>
      <w:r>
        <w:rPr>
          <w:rFonts w:hint="eastAsia" w:asciiTheme="minorEastAsia" w:hAnsiTheme="minorEastAsia" w:eastAsiaTheme="minorEastAsia" w:cstheme="minorEastAsia"/>
          <w:b/>
          <w:color w:val="auto"/>
          <w:sz w:val="24"/>
          <w:szCs w:val="20"/>
        </w:rPr>
        <w:t>31.1不同投标人的投标文件由同一单位或者个人编制；</w:t>
      </w:r>
    </w:p>
    <w:p>
      <w:pPr>
        <w:spacing w:line="360" w:lineRule="auto"/>
        <w:ind w:firstLine="482" w:firstLineChars="200"/>
        <w:rPr>
          <w:rFonts w:asciiTheme="minorEastAsia" w:hAnsiTheme="minorEastAsia" w:eastAsiaTheme="minorEastAsia" w:cstheme="minorEastAsia"/>
          <w:b/>
          <w:color w:val="auto"/>
          <w:sz w:val="24"/>
          <w:szCs w:val="20"/>
        </w:rPr>
      </w:pPr>
      <w:r>
        <w:rPr>
          <w:rFonts w:hint="eastAsia" w:asciiTheme="minorEastAsia" w:hAnsiTheme="minorEastAsia" w:eastAsiaTheme="minorEastAsia" w:cstheme="minorEastAsia"/>
          <w:b/>
          <w:color w:val="auto"/>
          <w:sz w:val="24"/>
          <w:szCs w:val="20"/>
        </w:rPr>
        <w:t>31.2不同投标人委托同一单位或者个人办理投标事宜；</w:t>
      </w:r>
    </w:p>
    <w:p>
      <w:pPr>
        <w:spacing w:line="360" w:lineRule="auto"/>
        <w:ind w:firstLine="482" w:firstLineChars="200"/>
        <w:rPr>
          <w:rFonts w:asciiTheme="minorEastAsia" w:hAnsiTheme="minorEastAsia" w:eastAsiaTheme="minorEastAsia" w:cstheme="minorEastAsia"/>
          <w:b/>
          <w:color w:val="auto"/>
          <w:sz w:val="24"/>
          <w:szCs w:val="20"/>
        </w:rPr>
      </w:pPr>
      <w:r>
        <w:rPr>
          <w:rFonts w:hint="eastAsia" w:asciiTheme="minorEastAsia" w:hAnsiTheme="minorEastAsia" w:eastAsiaTheme="minorEastAsia" w:cstheme="minorEastAsia"/>
          <w:b/>
          <w:color w:val="auto"/>
          <w:sz w:val="24"/>
          <w:szCs w:val="20"/>
        </w:rPr>
        <w:t>31.3不同投标人的投标文件载明的项目管理成员或者联系人员为同一人；</w:t>
      </w:r>
    </w:p>
    <w:p>
      <w:pPr>
        <w:spacing w:line="360" w:lineRule="auto"/>
        <w:ind w:firstLine="482" w:firstLineChars="200"/>
        <w:rPr>
          <w:rFonts w:asciiTheme="minorEastAsia" w:hAnsiTheme="minorEastAsia" w:eastAsiaTheme="minorEastAsia" w:cstheme="minorEastAsia"/>
          <w:b/>
          <w:color w:val="auto"/>
          <w:sz w:val="24"/>
          <w:szCs w:val="20"/>
        </w:rPr>
      </w:pPr>
      <w:r>
        <w:rPr>
          <w:rFonts w:hint="eastAsia" w:asciiTheme="minorEastAsia" w:hAnsiTheme="minorEastAsia" w:eastAsiaTheme="minorEastAsia" w:cstheme="minorEastAsia"/>
          <w:b/>
          <w:color w:val="auto"/>
          <w:sz w:val="24"/>
          <w:szCs w:val="20"/>
        </w:rPr>
        <w:t>31.4不同投标人的投标文件异常一致或者投标报价呈规律性差异；</w:t>
      </w:r>
    </w:p>
    <w:p>
      <w:pPr>
        <w:spacing w:line="360" w:lineRule="auto"/>
        <w:ind w:firstLine="482" w:firstLineChars="200"/>
        <w:rPr>
          <w:rFonts w:asciiTheme="minorEastAsia" w:hAnsiTheme="minorEastAsia" w:eastAsiaTheme="minorEastAsia" w:cstheme="minorEastAsia"/>
          <w:b/>
          <w:color w:val="auto"/>
          <w:sz w:val="24"/>
          <w:szCs w:val="20"/>
        </w:rPr>
      </w:pPr>
      <w:r>
        <w:rPr>
          <w:rFonts w:hint="eastAsia" w:asciiTheme="minorEastAsia" w:hAnsiTheme="minorEastAsia" w:eastAsiaTheme="minorEastAsia" w:cstheme="minorEastAsia"/>
          <w:b/>
          <w:color w:val="auto"/>
          <w:sz w:val="24"/>
          <w:szCs w:val="20"/>
        </w:rPr>
        <w:t>31.5不同投标人的投标文件相互混装；</w:t>
      </w:r>
    </w:p>
    <w:p>
      <w:pPr>
        <w:spacing w:line="360" w:lineRule="auto"/>
        <w:ind w:firstLine="482"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4"/>
          <w:szCs w:val="20"/>
        </w:rPr>
        <w:t>31.6不同投标人的投标保证金从同一单位或者个人的账户转出。</w:t>
      </w:r>
    </w:p>
    <w:p>
      <w:pPr>
        <w:spacing w:line="360" w:lineRule="auto"/>
        <w:ind w:firstLine="482" w:firstLineChars="200"/>
        <w:outlineLvl w:val="1"/>
        <w:rPr>
          <w:rFonts w:asciiTheme="minorEastAsia" w:hAnsiTheme="minorEastAsia" w:eastAsiaTheme="minorEastAsia" w:cstheme="minorEastAsia"/>
          <w:b/>
          <w:color w:val="auto"/>
          <w:sz w:val="24"/>
          <w:szCs w:val="20"/>
        </w:rPr>
      </w:pPr>
      <w:r>
        <w:rPr>
          <w:rFonts w:hint="eastAsia" w:asciiTheme="minorEastAsia" w:hAnsiTheme="minorEastAsia" w:eastAsiaTheme="minorEastAsia" w:cstheme="minorEastAsia"/>
          <w:b/>
          <w:color w:val="auto"/>
          <w:sz w:val="24"/>
          <w:szCs w:val="20"/>
        </w:rPr>
        <w:t>32、投标无效：投标人存在下列情况之一的，其投标无效:</w:t>
      </w:r>
    </w:p>
    <w:p>
      <w:pPr>
        <w:spacing w:line="360" w:lineRule="auto"/>
        <w:ind w:firstLine="482" w:firstLineChars="200"/>
        <w:outlineLvl w:val="1"/>
        <w:rPr>
          <w:rFonts w:asciiTheme="minorEastAsia" w:hAnsiTheme="minorEastAsia" w:eastAsiaTheme="minorEastAsia" w:cstheme="minorEastAsia"/>
          <w:b/>
          <w:color w:val="auto"/>
          <w:sz w:val="24"/>
          <w:szCs w:val="20"/>
        </w:rPr>
      </w:pPr>
      <w:r>
        <w:rPr>
          <w:rFonts w:hint="eastAsia" w:asciiTheme="minorEastAsia" w:hAnsiTheme="minorEastAsia" w:eastAsiaTheme="minorEastAsia" w:cstheme="minorEastAsia"/>
          <w:b/>
          <w:color w:val="auto"/>
          <w:sz w:val="24"/>
          <w:szCs w:val="20"/>
        </w:rPr>
        <w:t>32.1未按照招标文件的规定提交投标保证金的；</w:t>
      </w:r>
    </w:p>
    <w:p>
      <w:pPr>
        <w:spacing w:line="360" w:lineRule="auto"/>
        <w:ind w:firstLine="482" w:firstLineChars="200"/>
        <w:outlineLvl w:val="1"/>
        <w:rPr>
          <w:rFonts w:asciiTheme="minorEastAsia" w:hAnsiTheme="minorEastAsia" w:eastAsiaTheme="minorEastAsia" w:cstheme="minorEastAsia"/>
          <w:b/>
          <w:color w:val="auto"/>
          <w:sz w:val="24"/>
          <w:szCs w:val="20"/>
        </w:rPr>
      </w:pPr>
      <w:r>
        <w:rPr>
          <w:rFonts w:hint="eastAsia" w:asciiTheme="minorEastAsia" w:hAnsiTheme="minorEastAsia" w:eastAsiaTheme="minorEastAsia" w:cstheme="minorEastAsia"/>
          <w:b/>
          <w:color w:val="auto"/>
          <w:sz w:val="24"/>
          <w:szCs w:val="20"/>
        </w:rPr>
        <w:t>32.2投标文件未按招标文件要求签署、盖章的；</w:t>
      </w:r>
    </w:p>
    <w:p>
      <w:pPr>
        <w:spacing w:line="360" w:lineRule="auto"/>
        <w:ind w:firstLine="482" w:firstLineChars="200"/>
        <w:outlineLvl w:val="1"/>
        <w:rPr>
          <w:rFonts w:asciiTheme="minorEastAsia" w:hAnsiTheme="minorEastAsia" w:eastAsiaTheme="minorEastAsia" w:cstheme="minorEastAsia"/>
          <w:b/>
          <w:color w:val="auto"/>
          <w:sz w:val="24"/>
          <w:szCs w:val="20"/>
        </w:rPr>
      </w:pPr>
      <w:r>
        <w:rPr>
          <w:rFonts w:hint="eastAsia" w:asciiTheme="minorEastAsia" w:hAnsiTheme="minorEastAsia" w:eastAsiaTheme="minorEastAsia" w:cstheme="minorEastAsia"/>
          <w:b/>
          <w:color w:val="auto"/>
          <w:sz w:val="24"/>
          <w:szCs w:val="20"/>
        </w:rPr>
        <w:t>32.3不具备招标文件中规定的资格要求的；</w:t>
      </w:r>
    </w:p>
    <w:p>
      <w:pPr>
        <w:spacing w:line="360" w:lineRule="auto"/>
        <w:ind w:firstLine="482" w:firstLineChars="200"/>
        <w:outlineLvl w:val="1"/>
        <w:rPr>
          <w:rFonts w:asciiTheme="minorEastAsia" w:hAnsiTheme="minorEastAsia" w:eastAsiaTheme="minorEastAsia" w:cstheme="minorEastAsia"/>
          <w:b/>
          <w:color w:val="auto"/>
          <w:sz w:val="24"/>
          <w:szCs w:val="20"/>
        </w:rPr>
      </w:pPr>
      <w:r>
        <w:rPr>
          <w:rFonts w:hint="eastAsia" w:asciiTheme="minorEastAsia" w:hAnsiTheme="minorEastAsia" w:eastAsiaTheme="minorEastAsia" w:cstheme="minorEastAsia"/>
          <w:b/>
          <w:color w:val="auto"/>
          <w:sz w:val="24"/>
          <w:szCs w:val="20"/>
        </w:rPr>
        <w:t>32.4报价超过招标文件中规定的预算金额或者最高限价的；</w:t>
      </w:r>
    </w:p>
    <w:p>
      <w:pPr>
        <w:spacing w:line="360" w:lineRule="auto"/>
        <w:ind w:firstLine="482" w:firstLineChars="200"/>
        <w:outlineLvl w:val="1"/>
        <w:rPr>
          <w:rFonts w:asciiTheme="minorEastAsia" w:hAnsiTheme="minorEastAsia" w:eastAsiaTheme="minorEastAsia" w:cstheme="minorEastAsia"/>
          <w:b/>
          <w:color w:val="auto"/>
          <w:sz w:val="24"/>
          <w:szCs w:val="20"/>
        </w:rPr>
      </w:pPr>
      <w:r>
        <w:rPr>
          <w:rFonts w:hint="eastAsia" w:asciiTheme="minorEastAsia" w:hAnsiTheme="minorEastAsia" w:eastAsiaTheme="minorEastAsia" w:cstheme="minorEastAsia"/>
          <w:b/>
          <w:color w:val="auto"/>
          <w:sz w:val="24"/>
          <w:szCs w:val="20"/>
        </w:rPr>
        <w:t>32.5投标文件含有招标人不能接受的附加条件的;</w:t>
      </w:r>
    </w:p>
    <w:p>
      <w:pPr>
        <w:spacing w:line="360" w:lineRule="auto"/>
        <w:ind w:firstLine="482" w:firstLineChars="200"/>
        <w:outlineLvl w:val="1"/>
        <w:rPr>
          <w:rFonts w:asciiTheme="minorEastAsia" w:hAnsiTheme="minorEastAsia" w:eastAsiaTheme="minorEastAsia" w:cstheme="minorEastAsia"/>
          <w:b/>
          <w:color w:val="auto"/>
          <w:sz w:val="24"/>
          <w:szCs w:val="20"/>
        </w:rPr>
      </w:pPr>
      <w:r>
        <w:rPr>
          <w:rFonts w:hint="eastAsia" w:asciiTheme="minorEastAsia" w:hAnsiTheme="minorEastAsia" w:eastAsiaTheme="minorEastAsia" w:cstheme="minorEastAsia"/>
          <w:b/>
          <w:color w:val="auto"/>
          <w:sz w:val="24"/>
          <w:szCs w:val="20"/>
        </w:rPr>
        <w:t>32.6《中华人民共和国政府采购法》、《中华人民共和国政府采购法实施条例》、《政府采购货物和服务招标投标管理办法》及相关法律法规及招标文件明确规定可以作无效投标文件的其他情形。</w:t>
      </w:r>
    </w:p>
    <w:p>
      <w:pPr>
        <w:spacing w:line="360" w:lineRule="auto"/>
        <w:ind w:firstLine="482" w:firstLineChars="200"/>
        <w:outlineLvl w:val="1"/>
        <w:rPr>
          <w:rFonts w:asciiTheme="minorEastAsia" w:hAnsiTheme="minorEastAsia" w:eastAsiaTheme="minorEastAsia" w:cstheme="minorEastAsia"/>
          <w:b/>
          <w:color w:val="auto"/>
          <w:sz w:val="24"/>
          <w:szCs w:val="20"/>
        </w:rPr>
      </w:pPr>
      <w:r>
        <w:rPr>
          <w:rFonts w:hint="eastAsia" w:asciiTheme="minorEastAsia" w:hAnsiTheme="minorEastAsia" w:eastAsiaTheme="minorEastAsia" w:cstheme="minorEastAsia"/>
          <w:b/>
          <w:color w:val="auto"/>
          <w:sz w:val="24"/>
          <w:szCs w:val="20"/>
        </w:rPr>
        <w:t>33、</w:t>
      </w:r>
      <w:bookmarkEnd w:id="134"/>
      <w:bookmarkEnd w:id="135"/>
      <w:bookmarkEnd w:id="136"/>
      <w:bookmarkEnd w:id="137"/>
      <w:r>
        <w:rPr>
          <w:rFonts w:hint="eastAsia" w:asciiTheme="minorEastAsia" w:hAnsiTheme="minorEastAsia" w:eastAsiaTheme="minorEastAsia" w:cstheme="minorEastAsia"/>
          <w:b/>
          <w:color w:val="auto"/>
          <w:sz w:val="24"/>
          <w:szCs w:val="20"/>
        </w:rPr>
        <w:t>评标方法</w:t>
      </w:r>
    </w:p>
    <w:p>
      <w:pPr>
        <w:spacing w:line="360" w:lineRule="auto"/>
        <w:ind w:firstLine="482" w:firstLineChars="200"/>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szCs w:val="20"/>
        </w:rPr>
        <w:t>33.</w:t>
      </w:r>
      <w:bookmarkEnd w:id="126"/>
      <w:bookmarkEnd w:id="127"/>
      <w:bookmarkEnd w:id="128"/>
      <w:bookmarkEnd w:id="129"/>
      <w:r>
        <w:rPr>
          <w:rFonts w:hint="eastAsia" w:asciiTheme="minorEastAsia" w:hAnsiTheme="minorEastAsia" w:eastAsiaTheme="minorEastAsia" w:cstheme="minorEastAsia"/>
          <w:b/>
          <w:color w:val="auto"/>
          <w:sz w:val="24"/>
          <w:szCs w:val="20"/>
        </w:rPr>
        <w:t>1本项目评审采用综合评分法，并严格按照招标文件的要求和条件进行。</w:t>
      </w:r>
    </w:p>
    <w:p>
      <w:pPr>
        <w:spacing w:line="360" w:lineRule="auto"/>
        <w:ind w:firstLine="482" w:firstLineChars="200"/>
        <w:rPr>
          <w:rFonts w:asciiTheme="minorEastAsia" w:hAnsiTheme="minorEastAsia" w:eastAsiaTheme="minorEastAsia" w:cstheme="minorEastAsia"/>
          <w:b/>
          <w:color w:val="auto"/>
          <w:sz w:val="24"/>
          <w:szCs w:val="20"/>
        </w:rPr>
      </w:pPr>
      <w:r>
        <w:rPr>
          <w:rFonts w:hint="eastAsia" w:asciiTheme="minorEastAsia" w:hAnsiTheme="minorEastAsia" w:eastAsiaTheme="minorEastAsia" w:cstheme="minorEastAsia"/>
          <w:b/>
          <w:color w:val="auto"/>
          <w:sz w:val="24"/>
          <w:szCs w:val="20"/>
        </w:rPr>
        <w:t>33.1.1投标文件符合性审查：由评标委员会评委对符合资格的各投标人投标文件进行符合性审查。符合性审查是从投标文件的有效性、完整性和对招标文件的响应程度进行审查。</w:t>
      </w:r>
      <w:r>
        <w:rPr>
          <w:rFonts w:hint="eastAsia" w:asciiTheme="minorEastAsia" w:hAnsiTheme="minorEastAsia" w:eastAsiaTheme="minorEastAsia" w:cstheme="minorEastAsia"/>
          <w:b/>
          <w:color w:val="auto"/>
          <w:sz w:val="24"/>
        </w:rPr>
        <w:t>未通过符合性审查的投标人其投标文件将按照无效投标处理。</w:t>
      </w:r>
    </w:p>
    <w:p>
      <w:pPr>
        <w:spacing w:line="360" w:lineRule="auto"/>
        <w:ind w:firstLine="482" w:firstLineChars="200"/>
        <w:rPr>
          <w:rFonts w:asciiTheme="minorEastAsia" w:hAnsiTheme="minorEastAsia" w:eastAsiaTheme="minorEastAsia" w:cstheme="minorEastAsia"/>
          <w:b/>
          <w:color w:val="auto"/>
          <w:sz w:val="24"/>
          <w:szCs w:val="20"/>
        </w:rPr>
      </w:pPr>
      <w:r>
        <w:rPr>
          <w:rFonts w:hint="eastAsia" w:asciiTheme="minorEastAsia" w:hAnsiTheme="minorEastAsia" w:eastAsiaTheme="minorEastAsia" w:cstheme="minorEastAsia"/>
          <w:b/>
          <w:color w:val="auto"/>
          <w:sz w:val="24"/>
          <w:szCs w:val="20"/>
        </w:rPr>
        <w:t>33.1.1.1澄清有关问题。对投标文件中含义不明确、同类问题表述不一致或者有明显文字和计算错误的内容，评标委员会可以书面形式要求投标人作出必要的澄清、说明或者纠正。</w:t>
      </w:r>
    </w:p>
    <w:p>
      <w:pPr>
        <w:pStyle w:val="32"/>
        <w:spacing w:line="360" w:lineRule="auto"/>
        <w:ind w:firstLine="482" w:firstLineChars="200"/>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33.1.1.2比较与评价。评标委员会应当按照招标文件中规定的评标方法和标准，对符合性审查合格的投标文件进行综合比较与评价。</w:t>
      </w:r>
    </w:p>
    <w:p>
      <w:pPr>
        <w:spacing w:line="360" w:lineRule="auto"/>
        <w:ind w:firstLine="482" w:firstLineChars="200"/>
        <w:rPr>
          <w:rFonts w:asciiTheme="minorEastAsia" w:hAnsiTheme="minorEastAsia" w:eastAsiaTheme="minorEastAsia" w:cstheme="minorEastAsia"/>
          <w:b/>
          <w:color w:val="auto"/>
          <w:sz w:val="24"/>
          <w:szCs w:val="20"/>
        </w:rPr>
      </w:pPr>
      <w:r>
        <w:rPr>
          <w:rFonts w:hint="eastAsia" w:asciiTheme="minorEastAsia" w:hAnsiTheme="minorEastAsia" w:eastAsiaTheme="minorEastAsia" w:cstheme="minorEastAsia"/>
          <w:b/>
          <w:color w:val="auto"/>
          <w:sz w:val="24"/>
          <w:szCs w:val="20"/>
        </w:rPr>
        <w:t>33.2综合评分法是指投标文件满足招标文件全部实质性要求，且按照评审因素的量化指标评审得分最高的投标人为中标候选人的评标方法。</w:t>
      </w:r>
    </w:p>
    <w:p>
      <w:pPr>
        <w:spacing w:line="360" w:lineRule="auto"/>
        <w:ind w:firstLine="482" w:firstLineChars="200"/>
        <w:rPr>
          <w:rFonts w:asciiTheme="minorEastAsia" w:hAnsiTheme="minorEastAsia" w:eastAsiaTheme="minorEastAsia" w:cstheme="minorEastAsia"/>
          <w:b/>
          <w:color w:val="auto"/>
          <w:sz w:val="24"/>
          <w:szCs w:val="20"/>
        </w:rPr>
      </w:pPr>
      <w:r>
        <w:rPr>
          <w:rFonts w:hint="eastAsia" w:asciiTheme="minorEastAsia" w:hAnsiTheme="minorEastAsia" w:eastAsiaTheme="minorEastAsia" w:cstheme="minorEastAsia"/>
          <w:b/>
          <w:color w:val="auto"/>
          <w:sz w:val="24"/>
          <w:szCs w:val="20"/>
        </w:rPr>
        <w:t>33.3各标项</w:t>
      </w:r>
      <w:r>
        <w:rPr>
          <w:rFonts w:hint="eastAsia" w:asciiTheme="minorEastAsia" w:hAnsiTheme="minorEastAsia" w:eastAsiaTheme="minorEastAsia" w:cstheme="minorEastAsia"/>
          <w:b/>
          <w:color w:val="auto"/>
          <w:sz w:val="24"/>
        </w:rPr>
        <w:t>评标分值：总分值为100分。具体评标方法详本招标文件第六章“</w:t>
      </w:r>
      <w:r>
        <w:rPr>
          <w:rFonts w:hint="eastAsia" w:asciiTheme="minorEastAsia" w:hAnsiTheme="minorEastAsia" w:eastAsiaTheme="minorEastAsia" w:cstheme="minorEastAsia"/>
          <w:b/>
          <w:color w:val="auto"/>
          <w:sz w:val="24"/>
          <w:szCs w:val="22"/>
        </w:rPr>
        <w:t>评标方法（综合评分法）</w:t>
      </w:r>
      <w:r>
        <w:rPr>
          <w:rFonts w:hint="eastAsia" w:asciiTheme="minorEastAsia" w:hAnsiTheme="minorEastAsia" w:eastAsiaTheme="minorEastAsia" w:cstheme="minorEastAsia"/>
          <w:b/>
          <w:color w:val="auto"/>
          <w:sz w:val="24"/>
        </w:rPr>
        <w:t>”。</w:t>
      </w:r>
    </w:p>
    <w:p>
      <w:pPr>
        <w:spacing w:line="360" w:lineRule="auto"/>
        <w:ind w:firstLine="482" w:firstLineChars="200"/>
        <w:rPr>
          <w:rFonts w:asciiTheme="minorEastAsia" w:hAnsiTheme="minorEastAsia" w:eastAsiaTheme="minorEastAsia" w:cstheme="minorEastAsia"/>
          <w:b/>
          <w:color w:val="auto"/>
          <w:sz w:val="24"/>
          <w:szCs w:val="20"/>
        </w:rPr>
      </w:pPr>
      <w:r>
        <w:rPr>
          <w:rFonts w:hint="eastAsia" w:asciiTheme="minorEastAsia" w:hAnsiTheme="minorEastAsia" w:eastAsiaTheme="minorEastAsia" w:cstheme="minorEastAsia"/>
          <w:b/>
          <w:color w:val="auto"/>
          <w:sz w:val="24"/>
          <w:szCs w:val="20"/>
        </w:rPr>
        <w:t>34、</w:t>
      </w:r>
      <w:r>
        <w:rPr>
          <w:rFonts w:hint="eastAsia" w:asciiTheme="minorEastAsia" w:hAnsiTheme="minorEastAsia" w:eastAsiaTheme="minorEastAsia" w:cstheme="minorEastAsia"/>
          <w:b/>
          <w:color w:val="auto"/>
          <w:sz w:val="24"/>
        </w:rPr>
        <w:t>推荐各标项中标候选人</w:t>
      </w:r>
    </w:p>
    <w:p>
      <w:pPr>
        <w:spacing w:line="360" w:lineRule="auto"/>
        <w:ind w:firstLine="482" w:firstLineChars="200"/>
        <w:outlineLvl w:val="1"/>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34.1各标项投标人的评审得分由高至低排序，评审得分排列前3名的投标人被推荐为中标候选人。得分相同的并列。投标文件满足招标文件全部实质性要求，且按照评审因素的量化指标评审得分最高的投标人为排名第一的中标候选人。</w:t>
      </w:r>
    </w:p>
    <w:p>
      <w:pPr>
        <w:spacing w:line="360" w:lineRule="auto"/>
        <w:ind w:firstLine="482" w:firstLineChars="200"/>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注：评分计算保留两位小数，第三位小数四舍五入。</w:t>
      </w:r>
    </w:p>
    <w:p>
      <w:pPr>
        <w:spacing w:line="360" w:lineRule="auto"/>
        <w:ind w:firstLine="482" w:firstLineChars="200"/>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34.2评标委员会评审专家复核。评标小组评分汇总结束后，评标小组应当进行评审复核，对拟推荐为中标候选人的、投标人资格审查未通过的、投标人投标文件作无效处理的重点复核。</w:t>
      </w:r>
    </w:p>
    <w:p>
      <w:pPr>
        <w:spacing w:line="360" w:lineRule="auto"/>
        <w:ind w:firstLine="482" w:firstLineChars="200"/>
        <w:rPr>
          <w:rFonts w:asciiTheme="minorEastAsia" w:hAnsiTheme="minorEastAsia" w:eastAsiaTheme="minorEastAsia" w:cstheme="minorEastAsia"/>
          <w:b/>
          <w:color w:val="auto"/>
          <w:sz w:val="24"/>
          <w:szCs w:val="20"/>
        </w:rPr>
      </w:pPr>
      <w:bookmarkStart w:id="138" w:name="_Toc243907610"/>
      <w:bookmarkStart w:id="139" w:name="_Toc233274848"/>
      <w:bookmarkStart w:id="140" w:name="_Toc243906349"/>
      <w:bookmarkStart w:id="141" w:name="_Toc245897309"/>
      <w:r>
        <w:rPr>
          <w:rFonts w:hint="eastAsia" w:asciiTheme="minorEastAsia" w:hAnsiTheme="minorEastAsia" w:eastAsiaTheme="minorEastAsia" w:cstheme="minorEastAsia"/>
          <w:b/>
          <w:color w:val="auto"/>
          <w:sz w:val="24"/>
          <w:szCs w:val="20"/>
        </w:rPr>
        <w:t>35、确定</w:t>
      </w:r>
      <w:r>
        <w:rPr>
          <w:rFonts w:hint="eastAsia" w:asciiTheme="minorEastAsia" w:hAnsiTheme="minorEastAsia" w:eastAsiaTheme="minorEastAsia" w:cstheme="minorEastAsia"/>
          <w:b/>
          <w:color w:val="auto"/>
          <w:sz w:val="24"/>
        </w:rPr>
        <w:t>各标项</w:t>
      </w:r>
      <w:r>
        <w:rPr>
          <w:rFonts w:hint="eastAsia" w:asciiTheme="minorEastAsia" w:hAnsiTheme="minorEastAsia" w:eastAsiaTheme="minorEastAsia" w:cstheme="minorEastAsia"/>
          <w:b/>
          <w:color w:val="auto"/>
          <w:sz w:val="24"/>
          <w:szCs w:val="20"/>
        </w:rPr>
        <w:t>中标人</w:t>
      </w:r>
    </w:p>
    <w:p>
      <w:pPr>
        <w:spacing w:line="360" w:lineRule="auto"/>
        <w:ind w:firstLine="482" w:firstLineChars="200"/>
        <w:rPr>
          <w:rFonts w:asciiTheme="minorEastAsia" w:hAnsiTheme="minorEastAsia" w:eastAsiaTheme="minorEastAsia" w:cstheme="minorEastAsia"/>
          <w:b/>
          <w:color w:val="auto"/>
          <w:sz w:val="24"/>
          <w:szCs w:val="20"/>
        </w:rPr>
      </w:pPr>
      <w:r>
        <w:rPr>
          <w:rFonts w:hint="eastAsia" w:asciiTheme="minorEastAsia" w:hAnsiTheme="minorEastAsia" w:eastAsiaTheme="minorEastAsia" w:cstheme="minorEastAsia"/>
          <w:b/>
          <w:color w:val="auto"/>
          <w:sz w:val="24"/>
          <w:szCs w:val="20"/>
        </w:rPr>
        <w:t>35.1招标代理机构应当在评标结束后2个工作日内将评标报告送招标人确认。</w:t>
      </w:r>
    </w:p>
    <w:p>
      <w:pPr>
        <w:spacing w:line="360" w:lineRule="auto"/>
        <w:ind w:firstLine="482" w:firstLineChars="200"/>
        <w:rPr>
          <w:rFonts w:asciiTheme="minorEastAsia" w:hAnsiTheme="minorEastAsia" w:eastAsiaTheme="minorEastAsia" w:cstheme="minorEastAsia"/>
          <w:b/>
          <w:color w:val="auto"/>
          <w:sz w:val="24"/>
          <w:szCs w:val="20"/>
        </w:rPr>
      </w:pPr>
      <w:r>
        <w:rPr>
          <w:rFonts w:hint="eastAsia" w:asciiTheme="minorEastAsia" w:hAnsiTheme="minorEastAsia" w:eastAsiaTheme="minorEastAsia" w:cstheme="minorEastAsia"/>
          <w:b/>
          <w:color w:val="auto"/>
          <w:sz w:val="24"/>
          <w:szCs w:val="20"/>
        </w:rPr>
        <w:t>35.2招标人应当在收到评标报告后5个工作日内，按照评标报告中推荐的中标候选人顺序确定中标人；也可以事先授权评标委员会直接确定中标人。</w:t>
      </w:r>
    </w:p>
    <w:p>
      <w:pPr>
        <w:spacing w:line="360" w:lineRule="auto"/>
        <w:ind w:firstLine="482" w:firstLineChars="200"/>
        <w:rPr>
          <w:rFonts w:asciiTheme="minorEastAsia" w:hAnsiTheme="minorEastAsia" w:eastAsiaTheme="minorEastAsia" w:cstheme="minorEastAsia"/>
          <w:b/>
          <w:color w:val="auto"/>
          <w:sz w:val="24"/>
          <w:szCs w:val="20"/>
        </w:rPr>
      </w:pPr>
      <w:r>
        <w:rPr>
          <w:rFonts w:hint="eastAsia" w:asciiTheme="minorEastAsia" w:hAnsiTheme="minorEastAsia" w:eastAsiaTheme="minorEastAsia" w:cstheme="minorEastAsia"/>
          <w:b/>
          <w:color w:val="auto"/>
          <w:sz w:val="24"/>
          <w:szCs w:val="20"/>
        </w:rPr>
        <w:t>35.3中标人因不可抗力或者自身原因不能履行合同的，招标人可以与排位在中标人之后第一位的中标候选人签订合同，以此类推。</w:t>
      </w:r>
    </w:p>
    <w:p>
      <w:pPr>
        <w:spacing w:line="360" w:lineRule="auto"/>
        <w:ind w:firstLine="482" w:firstLineChars="200"/>
        <w:rPr>
          <w:rFonts w:asciiTheme="minorEastAsia" w:hAnsiTheme="minorEastAsia" w:eastAsiaTheme="minorEastAsia" w:cstheme="minorEastAsia"/>
          <w:b/>
          <w:color w:val="auto"/>
          <w:sz w:val="24"/>
          <w:szCs w:val="20"/>
        </w:rPr>
      </w:pPr>
      <w:r>
        <w:rPr>
          <w:rFonts w:hint="eastAsia" w:asciiTheme="minorEastAsia" w:hAnsiTheme="minorEastAsia" w:eastAsiaTheme="minorEastAsia" w:cstheme="minorEastAsia"/>
          <w:b/>
          <w:color w:val="auto"/>
          <w:sz w:val="24"/>
          <w:szCs w:val="20"/>
        </w:rPr>
        <w:t>35.4在确定中标人前，招标单位不得与投标人就投标方案等实质性内容进行谈判。</w:t>
      </w:r>
    </w:p>
    <w:p>
      <w:pPr>
        <w:spacing w:line="360" w:lineRule="auto"/>
        <w:ind w:firstLine="480" w:firstLineChars="200"/>
        <w:rPr>
          <w:rFonts w:asciiTheme="minorEastAsia" w:hAnsiTheme="minorEastAsia" w:eastAsiaTheme="minorEastAsia" w:cstheme="minorEastAsia"/>
          <w:color w:val="auto"/>
          <w:sz w:val="24"/>
          <w:szCs w:val="20"/>
        </w:rPr>
      </w:pPr>
      <w:r>
        <w:rPr>
          <w:rFonts w:hint="eastAsia" w:asciiTheme="minorEastAsia" w:hAnsiTheme="minorEastAsia" w:eastAsiaTheme="minorEastAsia" w:cstheme="minorEastAsia"/>
          <w:color w:val="auto"/>
          <w:sz w:val="24"/>
          <w:szCs w:val="20"/>
        </w:rPr>
        <w:t>36、招标人依法接受和拒绝任一或所有投标人的权力</w:t>
      </w:r>
    </w:p>
    <w:p>
      <w:pPr>
        <w:spacing w:line="360" w:lineRule="auto"/>
        <w:ind w:firstLine="480" w:firstLineChars="200"/>
        <w:rPr>
          <w:rFonts w:asciiTheme="minorEastAsia" w:hAnsiTheme="minorEastAsia" w:eastAsiaTheme="minorEastAsia" w:cstheme="minorEastAsia"/>
          <w:color w:val="auto"/>
          <w:sz w:val="24"/>
          <w:szCs w:val="20"/>
        </w:rPr>
      </w:pPr>
      <w:r>
        <w:rPr>
          <w:rFonts w:hint="eastAsia" w:asciiTheme="minorEastAsia" w:hAnsiTheme="minorEastAsia" w:eastAsiaTheme="minorEastAsia" w:cstheme="minorEastAsia"/>
          <w:color w:val="auto"/>
          <w:sz w:val="24"/>
          <w:szCs w:val="20"/>
        </w:rPr>
        <w:t>招标人保留确定中标人之前的任何时候依法接受或拒绝任一或所有投标人的权力，对受影响的投标人不承担任何责任，也无义务向受影响的投标人解释采取这一行动的理由。</w:t>
      </w:r>
    </w:p>
    <w:p>
      <w:pPr>
        <w:spacing w:line="360" w:lineRule="auto"/>
        <w:ind w:firstLine="480" w:firstLineChars="200"/>
        <w:outlineLvl w:val="1"/>
        <w:rPr>
          <w:rFonts w:asciiTheme="minorEastAsia" w:hAnsiTheme="minorEastAsia" w:eastAsiaTheme="minorEastAsia" w:cstheme="minorEastAsia"/>
          <w:color w:val="auto"/>
          <w:sz w:val="24"/>
          <w:szCs w:val="20"/>
        </w:rPr>
      </w:pPr>
      <w:r>
        <w:rPr>
          <w:rFonts w:hint="eastAsia" w:asciiTheme="minorEastAsia" w:hAnsiTheme="minorEastAsia" w:eastAsiaTheme="minorEastAsia" w:cstheme="minorEastAsia"/>
          <w:color w:val="auto"/>
          <w:sz w:val="24"/>
          <w:szCs w:val="20"/>
        </w:rPr>
        <w:t>37、</w:t>
      </w:r>
      <w:bookmarkEnd w:id="138"/>
      <w:bookmarkEnd w:id="139"/>
      <w:bookmarkEnd w:id="140"/>
      <w:bookmarkEnd w:id="141"/>
      <w:r>
        <w:rPr>
          <w:rFonts w:hint="eastAsia" w:asciiTheme="minorEastAsia" w:hAnsiTheme="minorEastAsia" w:eastAsiaTheme="minorEastAsia" w:cstheme="minorEastAsia"/>
          <w:color w:val="auto"/>
          <w:sz w:val="24"/>
        </w:rPr>
        <w:t>中标</w:t>
      </w:r>
      <w:r>
        <w:rPr>
          <w:rFonts w:hint="eastAsia" w:asciiTheme="minorEastAsia" w:hAnsiTheme="minorEastAsia" w:eastAsiaTheme="minorEastAsia" w:cstheme="minorEastAsia"/>
          <w:color w:val="auto"/>
          <w:sz w:val="24"/>
          <w:szCs w:val="20"/>
        </w:rPr>
        <w:t>通知书</w:t>
      </w:r>
    </w:p>
    <w:p>
      <w:pPr>
        <w:spacing w:line="360" w:lineRule="auto"/>
        <w:ind w:firstLine="480" w:firstLineChars="200"/>
        <w:rPr>
          <w:rFonts w:asciiTheme="minorEastAsia" w:hAnsiTheme="minorEastAsia" w:eastAsiaTheme="minorEastAsia" w:cstheme="minorEastAsia"/>
          <w:color w:val="auto"/>
          <w:sz w:val="24"/>
          <w:szCs w:val="20"/>
        </w:rPr>
      </w:pPr>
      <w:r>
        <w:rPr>
          <w:rFonts w:hint="eastAsia" w:asciiTheme="minorEastAsia" w:hAnsiTheme="minorEastAsia" w:eastAsiaTheme="minorEastAsia" w:cstheme="minorEastAsia"/>
          <w:color w:val="auto"/>
          <w:sz w:val="24"/>
          <w:szCs w:val="20"/>
        </w:rPr>
        <w:t>37.1招标人确定中标人后，及时通知招标代理机构，招标代理机构将按程序公告中标结果，同时向中标人发出</w:t>
      </w:r>
      <w:r>
        <w:rPr>
          <w:rFonts w:hint="eastAsia" w:asciiTheme="minorEastAsia" w:hAnsiTheme="minorEastAsia" w:eastAsiaTheme="minorEastAsia" w:cstheme="minorEastAsia"/>
          <w:color w:val="auto"/>
          <w:sz w:val="24"/>
        </w:rPr>
        <w:t>中标</w:t>
      </w:r>
      <w:r>
        <w:rPr>
          <w:rFonts w:hint="eastAsia" w:asciiTheme="minorEastAsia" w:hAnsiTheme="minorEastAsia" w:eastAsiaTheme="minorEastAsia" w:cstheme="minorEastAsia"/>
          <w:color w:val="auto"/>
          <w:sz w:val="24"/>
          <w:szCs w:val="20"/>
        </w:rPr>
        <w:t>通知书，</w:t>
      </w:r>
      <w:r>
        <w:rPr>
          <w:rFonts w:hint="eastAsia" w:asciiTheme="minorEastAsia" w:hAnsiTheme="minorEastAsia" w:eastAsiaTheme="minorEastAsia" w:cstheme="minorEastAsia"/>
          <w:color w:val="auto"/>
          <w:sz w:val="24"/>
        </w:rPr>
        <w:t>中标</w:t>
      </w:r>
      <w:r>
        <w:rPr>
          <w:rFonts w:hint="eastAsia" w:asciiTheme="minorEastAsia" w:hAnsiTheme="minorEastAsia" w:eastAsiaTheme="minorEastAsia" w:cstheme="minorEastAsia"/>
          <w:color w:val="auto"/>
          <w:sz w:val="24"/>
          <w:szCs w:val="20"/>
        </w:rPr>
        <w:t>通知书一经发出即发生法律效力。</w:t>
      </w:r>
    </w:p>
    <w:p>
      <w:pPr>
        <w:spacing w:line="360" w:lineRule="auto"/>
        <w:ind w:firstLine="480" w:firstLineChars="200"/>
        <w:rPr>
          <w:rFonts w:asciiTheme="minorEastAsia" w:hAnsiTheme="minorEastAsia" w:eastAsiaTheme="minorEastAsia" w:cstheme="minorEastAsia"/>
          <w:color w:val="auto"/>
          <w:sz w:val="24"/>
          <w:szCs w:val="20"/>
        </w:rPr>
      </w:pPr>
      <w:r>
        <w:rPr>
          <w:rFonts w:hint="eastAsia" w:asciiTheme="minorEastAsia" w:hAnsiTheme="minorEastAsia" w:eastAsiaTheme="minorEastAsia" w:cstheme="minorEastAsia"/>
          <w:color w:val="auto"/>
          <w:sz w:val="24"/>
          <w:szCs w:val="20"/>
        </w:rPr>
        <w:t>37.2《</w:t>
      </w:r>
      <w:r>
        <w:rPr>
          <w:rFonts w:hint="eastAsia" w:asciiTheme="minorEastAsia" w:hAnsiTheme="minorEastAsia" w:eastAsiaTheme="minorEastAsia" w:cstheme="minorEastAsia"/>
          <w:color w:val="auto"/>
          <w:sz w:val="24"/>
        </w:rPr>
        <w:t>中标</w:t>
      </w:r>
      <w:r>
        <w:rPr>
          <w:rFonts w:hint="eastAsia" w:asciiTheme="minorEastAsia" w:hAnsiTheme="minorEastAsia" w:eastAsiaTheme="minorEastAsia" w:cstheme="minorEastAsia"/>
          <w:color w:val="auto"/>
          <w:sz w:val="24"/>
          <w:szCs w:val="20"/>
        </w:rPr>
        <w:t>通知书》将是合同的组成部分。</w:t>
      </w:r>
    </w:p>
    <w:p>
      <w:pPr>
        <w:spacing w:line="360" w:lineRule="auto"/>
        <w:ind w:firstLine="480" w:firstLineChars="200"/>
        <w:rPr>
          <w:rFonts w:asciiTheme="minorEastAsia" w:hAnsiTheme="minorEastAsia" w:eastAsiaTheme="minorEastAsia" w:cstheme="minorEastAsia"/>
          <w:color w:val="auto"/>
          <w:sz w:val="24"/>
          <w:szCs w:val="20"/>
        </w:rPr>
      </w:pPr>
      <w:r>
        <w:rPr>
          <w:rFonts w:hint="eastAsia" w:asciiTheme="minorEastAsia" w:hAnsiTheme="minorEastAsia" w:eastAsiaTheme="minorEastAsia" w:cstheme="minorEastAsia"/>
          <w:color w:val="auto"/>
          <w:sz w:val="24"/>
          <w:szCs w:val="20"/>
        </w:rPr>
        <w:t>37.3</w:t>
      </w:r>
      <w:r>
        <w:rPr>
          <w:rFonts w:hint="eastAsia" w:ascii="宋体" w:hAnsi="宋体" w:cs="宋体"/>
          <w:color w:val="auto"/>
          <w:sz w:val="24"/>
          <w:szCs w:val="20"/>
        </w:rPr>
        <w:t>采购人将通知其他未成交的投标人，并按照本须知第21.3条规定退还其投标保证金</w:t>
      </w:r>
      <w:r>
        <w:rPr>
          <w:rFonts w:hint="eastAsia" w:asciiTheme="minorEastAsia" w:hAnsiTheme="minorEastAsia" w:eastAsiaTheme="minorEastAsia" w:cstheme="minorEastAsia"/>
          <w:color w:val="auto"/>
          <w:sz w:val="24"/>
          <w:szCs w:val="20"/>
        </w:rPr>
        <w:t>。</w:t>
      </w:r>
    </w:p>
    <w:p>
      <w:pPr>
        <w:spacing w:line="360" w:lineRule="auto"/>
        <w:ind w:firstLine="480" w:firstLineChars="200"/>
        <w:outlineLvl w:val="1"/>
        <w:rPr>
          <w:rFonts w:asciiTheme="minorEastAsia" w:hAnsiTheme="minorEastAsia" w:eastAsiaTheme="minorEastAsia" w:cstheme="minorEastAsia"/>
          <w:color w:val="auto"/>
          <w:sz w:val="24"/>
          <w:szCs w:val="20"/>
        </w:rPr>
      </w:pPr>
      <w:bookmarkStart w:id="142" w:name="_Toc233274849"/>
      <w:bookmarkStart w:id="143" w:name="_Toc243906350"/>
      <w:bookmarkStart w:id="144" w:name="_Toc243907611"/>
      <w:bookmarkStart w:id="145" w:name="_Toc245897310"/>
      <w:r>
        <w:rPr>
          <w:rFonts w:hint="eastAsia" w:asciiTheme="minorEastAsia" w:hAnsiTheme="minorEastAsia" w:eastAsiaTheme="minorEastAsia" w:cstheme="minorEastAsia"/>
          <w:color w:val="auto"/>
          <w:sz w:val="24"/>
          <w:szCs w:val="20"/>
        </w:rPr>
        <w:t>38、纪律与保密事项</w:t>
      </w:r>
      <w:bookmarkEnd w:id="142"/>
      <w:bookmarkEnd w:id="143"/>
      <w:bookmarkEnd w:id="144"/>
      <w:bookmarkEnd w:id="145"/>
    </w:p>
    <w:p>
      <w:pP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38.1凡参与公开招标的有关人员均应自觉接受有关主管部门的监督，不得向他人透露可能影响公平竞争的有关公开的其他情况。</w:t>
      </w:r>
    </w:p>
    <w:p>
      <w:pP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38.2领取本招标文件及其它相关资料者，应对文件进行保密，不得用作本次公开以外的任何用途。由招标人向投标人提供的技术资料和所有其它资料，均视为保密资料，除非得到招标人的同意，不得向第三方透露。</w:t>
      </w:r>
    </w:p>
    <w:p>
      <w:pP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38.3投标人不得与招标人串通公开，不得向招标人或者评标委员会成员行贿谋取中标，不得以他人名义参与公开或者以其它任何方式弄虚作假骗取参与公开；投标人不得以任何方式干扰、影响评标工作。</w:t>
      </w:r>
    </w:p>
    <w:p>
      <w:pP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38.4</w:t>
      </w:r>
      <w:r>
        <w:rPr>
          <w:rFonts w:hint="eastAsia" w:ascii="宋体" w:hAnsi="宋体" w:cs="宋体"/>
          <w:color w:val="auto"/>
          <w:sz w:val="24"/>
        </w:rPr>
        <w:t>投标人不得在公开采购过程中互相串通、结盟、损害公开的公正性和竞争性，或以任何方式影响其他投标人参与正当公开。扰乱公开市场，破坏公平竞争原则。如投标人在公开招标过程中互相串通，一经查实，将取消公开招标资格并不予退还其投标保证金</w:t>
      </w:r>
      <w:r>
        <w:rPr>
          <w:rFonts w:hint="eastAsia" w:asciiTheme="minorEastAsia" w:hAnsiTheme="minorEastAsia" w:eastAsiaTheme="minorEastAsia" w:cstheme="minorEastAsia"/>
          <w:color w:val="auto"/>
          <w:sz w:val="24"/>
        </w:rPr>
        <w:t>。</w:t>
      </w:r>
    </w:p>
    <w:p>
      <w:pP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38.5 公开之日起直至授予</w:t>
      </w:r>
      <w:r>
        <w:rPr>
          <w:rFonts w:hint="eastAsia" w:asciiTheme="minorEastAsia" w:hAnsiTheme="minorEastAsia" w:eastAsiaTheme="minorEastAsia" w:cstheme="minorEastAsia"/>
          <w:color w:val="auto"/>
          <w:sz w:val="24"/>
          <w:szCs w:val="20"/>
        </w:rPr>
        <w:t>中标人</w:t>
      </w:r>
      <w:r>
        <w:rPr>
          <w:rFonts w:hint="eastAsia" w:asciiTheme="minorEastAsia" w:hAnsiTheme="minorEastAsia" w:eastAsiaTheme="minorEastAsia" w:cstheme="minorEastAsia"/>
          <w:color w:val="auto"/>
          <w:sz w:val="24"/>
        </w:rPr>
        <w:t>合同为止，凡属于对投标文件的审查、澄清、评价、比较有关的资料和中标人的推荐情况及与评审有关的其他任何情况均严格保密。</w:t>
      </w:r>
    </w:p>
    <w:p>
      <w:pPr>
        <w:spacing w:line="360" w:lineRule="auto"/>
        <w:ind w:firstLine="480" w:firstLineChars="200"/>
        <w:rPr>
          <w:rFonts w:asciiTheme="minorEastAsia" w:hAnsiTheme="minorEastAsia" w:eastAsiaTheme="minorEastAsia" w:cstheme="minorEastAsia"/>
          <w:color w:val="auto"/>
          <w:sz w:val="24"/>
          <w:szCs w:val="20"/>
        </w:rPr>
      </w:pPr>
      <w:r>
        <w:rPr>
          <w:rFonts w:hint="eastAsia" w:asciiTheme="minorEastAsia" w:hAnsiTheme="minorEastAsia" w:eastAsiaTheme="minorEastAsia" w:cstheme="minorEastAsia"/>
          <w:color w:val="auto"/>
          <w:sz w:val="24"/>
          <w:szCs w:val="20"/>
        </w:rPr>
        <w:t>38.6从公开之日起至授予合同期间，投标人试图向评标委员会、招标代理机构施加任何影响或对招标人的比较及授予合同的决定进行影响，都可能导致其投标文件被拒绝。</w:t>
      </w:r>
    </w:p>
    <w:p>
      <w:pP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38.7除投标人被要求对投标文件进行澄清外，从公开之时起至授予合同期间，投标人不得就与其投标文件有关的事项主动与评标委员会、招标代理机构以及招标人联系。</w:t>
      </w:r>
    </w:p>
    <w:p>
      <w:pP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38.8</w:t>
      </w:r>
      <w:r>
        <w:rPr>
          <w:rFonts w:hint="eastAsia" w:asciiTheme="minorEastAsia" w:hAnsiTheme="minorEastAsia" w:eastAsiaTheme="minorEastAsia" w:cstheme="minorEastAsia"/>
          <w:color w:val="auto"/>
          <w:sz w:val="24"/>
          <w:szCs w:val="20"/>
        </w:rPr>
        <w:t>中标人</w:t>
      </w:r>
      <w:r>
        <w:rPr>
          <w:rFonts w:hint="eastAsia" w:asciiTheme="minorEastAsia" w:hAnsiTheme="minorEastAsia" w:eastAsiaTheme="minorEastAsia" w:cstheme="minorEastAsia"/>
          <w:color w:val="auto"/>
          <w:sz w:val="24"/>
        </w:rPr>
        <w:t>确定后，招标人不对未中标人就评审过程以及未能</w:t>
      </w:r>
      <w:r>
        <w:rPr>
          <w:rFonts w:hint="eastAsia" w:asciiTheme="minorEastAsia" w:hAnsiTheme="minorEastAsia" w:eastAsiaTheme="minorEastAsia" w:cstheme="minorEastAsia"/>
          <w:color w:val="auto"/>
          <w:sz w:val="24"/>
          <w:szCs w:val="20"/>
        </w:rPr>
        <w:t>中标</w:t>
      </w:r>
      <w:r>
        <w:rPr>
          <w:rFonts w:hint="eastAsia" w:asciiTheme="minorEastAsia" w:hAnsiTheme="minorEastAsia" w:eastAsiaTheme="minorEastAsia" w:cstheme="minorEastAsia"/>
          <w:color w:val="auto"/>
          <w:sz w:val="24"/>
        </w:rPr>
        <w:t>原因作出任何解释，未中标人不得向评标委员会或其他有关人员询问评审过程的情况和索取评审过程的资料。</w:t>
      </w:r>
    </w:p>
    <w:p>
      <w:pPr>
        <w:pStyle w:val="32"/>
        <w:spacing w:line="360" w:lineRule="auto"/>
        <w:ind w:firstLine="562" w:firstLineChars="200"/>
        <w:jc w:val="center"/>
        <w:outlineLvl w:val="1"/>
        <w:rPr>
          <w:rFonts w:asciiTheme="minorEastAsia" w:hAnsiTheme="minorEastAsia" w:eastAsiaTheme="minorEastAsia" w:cstheme="minorEastAsia"/>
          <w:b/>
          <w:bCs/>
          <w:color w:val="auto"/>
          <w:sz w:val="28"/>
          <w:szCs w:val="28"/>
        </w:rPr>
      </w:pPr>
    </w:p>
    <w:p>
      <w:pPr>
        <w:pStyle w:val="32"/>
        <w:spacing w:line="360" w:lineRule="auto"/>
        <w:ind w:firstLine="562" w:firstLineChars="200"/>
        <w:jc w:val="center"/>
        <w:outlineLvl w:val="1"/>
        <w:rPr>
          <w:rFonts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F   授予合同</w:t>
      </w:r>
      <w:bookmarkStart w:id="146" w:name="_Toc245897315"/>
      <w:bookmarkStart w:id="147" w:name="_Toc243907618"/>
      <w:bookmarkStart w:id="148" w:name="_Toc243906355"/>
      <w:bookmarkStart w:id="149" w:name="_Toc233274853"/>
    </w:p>
    <w:p>
      <w:pPr>
        <w:pStyle w:val="32"/>
        <w:spacing w:line="360" w:lineRule="auto"/>
        <w:ind w:firstLine="562" w:firstLineChars="200"/>
        <w:jc w:val="center"/>
        <w:outlineLvl w:val="1"/>
        <w:rPr>
          <w:rFonts w:asciiTheme="minorEastAsia" w:hAnsiTheme="minorEastAsia" w:eastAsiaTheme="minorEastAsia" w:cstheme="minorEastAsia"/>
          <w:b/>
          <w:bCs/>
          <w:color w:val="auto"/>
          <w:sz w:val="28"/>
          <w:szCs w:val="28"/>
        </w:rPr>
      </w:pPr>
    </w:p>
    <w:bookmarkEnd w:id="146"/>
    <w:bookmarkEnd w:id="147"/>
    <w:bookmarkEnd w:id="148"/>
    <w:bookmarkEnd w:id="149"/>
    <w:p>
      <w:pPr>
        <w:pStyle w:val="32"/>
        <w:spacing w:line="360" w:lineRule="auto"/>
        <w:ind w:firstLine="480" w:firstLineChars="200"/>
        <w:outlineLvl w:val="1"/>
        <w:rPr>
          <w:rFonts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39、授予合同标准</w:t>
      </w:r>
    </w:p>
    <w:p>
      <w:pPr>
        <w:pStyle w:val="32"/>
        <w:spacing w:line="360" w:lineRule="auto"/>
        <w:ind w:firstLine="480" w:firstLineChars="200"/>
        <w:rPr>
          <w:rFonts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39.1本招标项目的货物采购合同将授予按本须知第35条所确定中标人。</w:t>
      </w:r>
    </w:p>
    <w:p>
      <w:pPr>
        <w:pStyle w:val="32"/>
        <w:spacing w:line="360" w:lineRule="auto"/>
        <w:ind w:firstLine="480" w:firstLineChars="200"/>
        <w:outlineLvl w:val="1"/>
        <w:rPr>
          <w:rFonts w:asciiTheme="minorEastAsia" w:hAnsiTheme="minorEastAsia" w:eastAsiaTheme="minorEastAsia" w:cstheme="minorEastAsia"/>
          <w:color w:val="auto"/>
          <w:sz w:val="24"/>
        </w:rPr>
      </w:pPr>
      <w:bookmarkStart w:id="150" w:name="_Toc233274855"/>
      <w:bookmarkStart w:id="151" w:name="_Toc243906357"/>
      <w:bookmarkStart w:id="152" w:name="_Toc245897317"/>
      <w:bookmarkStart w:id="153" w:name="_Toc243907620"/>
      <w:r>
        <w:rPr>
          <w:rFonts w:hint="eastAsia" w:asciiTheme="minorEastAsia" w:hAnsiTheme="minorEastAsia" w:eastAsiaTheme="minorEastAsia" w:cstheme="minorEastAsia"/>
          <w:color w:val="auto"/>
          <w:sz w:val="24"/>
        </w:rPr>
        <w:t>40、签订合同</w:t>
      </w:r>
      <w:bookmarkEnd w:id="150"/>
      <w:bookmarkEnd w:id="151"/>
      <w:bookmarkEnd w:id="152"/>
      <w:bookmarkEnd w:id="153"/>
    </w:p>
    <w:p>
      <w:pPr>
        <w:pStyle w:val="32"/>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40.1中标人应当自中标通知书发出之日起三十日内，按照招标文件和中标人的投标文件订立书面合同。中标人不得要求订立背离本投标文件合同条款等投标文件实质性内容的其他协议。</w:t>
      </w:r>
    </w:p>
    <w:p>
      <w:pPr>
        <w:pStyle w:val="32"/>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40.2 中标通知书、中标人的投标文件及其技术规范及标准、项目采购需求、本招标文件（含修改文件或补充文件）及答疑纪要等，均为签订合同的依据。</w:t>
      </w:r>
    </w:p>
    <w:p>
      <w:pPr>
        <w:pStyle w:val="32"/>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40.3招标人如不按本须知40.1条规定与中标人签订合同，或者招标人、中标人签订背离合同实质性内容的协议，由监督管理部门责令其改正。</w:t>
      </w:r>
    </w:p>
    <w:p>
      <w:pPr>
        <w:pStyle w:val="32"/>
        <w:tabs>
          <w:tab w:val="left" w:pos="7770"/>
        </w:tabs>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40.4中标人如不按本须知40.1条规定与招标人签订合同，则按违约处理，</w:t>
      </w:r>
      <w:r>
        <w:rPr>
          <w:rFonts w:hint="eastAsia" w:hAnsi="宋体" w:cs="宋体"/>
          <w:color w:val="auto"/>
          <w:sz w:val="24"/>
        </w:rPr>
        <w:t>采购人将有权取消中标单位资格，不予退还其投标保证金，给采购人造成损失超过投标保证金数额的，还应当对超过部分予以赔偿，同时依法承担相应的法律责任。</w:t>
      </w:r>
    </w:p>
    <w:p>
      <w:pPr>
        <w:spacing w:line="360" w:lineRule="auto"/>
        <w:ind w:firstLine="482" w:firstLineChars="200"/>
        <w:rPr>
          <w:rFonts w:asciiTheme="minorEastAsia" w:hAnsiTheme="minorEastAsia" w:eastAsiaTheme="minorEastAsia" w:cstheme="minorEastAsia"/>
          <w:b/>
          <w:color w:val="auto"/>
          <w:sz w:val="24"/>
          <w:szCs w:val="20"/>
        </w:rPr>
      </w:pPr>
      <w:r>
        <w:rPr>
          <w:rFonts w:hint="eastAsia" w:asciiTheme="minorEastAsia" w:hAnsiTheme="minorEastAsia" w:eastAsiaTheme="minorEastAsia" w:cstheme="minorEastAsia"/>
          <w:b/>
          <w:color w:val="auto"/>
          <w:sz w:val="24"/>
        </w:rPr>
        <w:t>40.5</w:t>
      </w:r>
      <w:r>
        <w:rPr>
          <w:rFonts w:hint="eastAsia" w:asciiTheme="minorEastAsia" w:hAnsiTheme="minorEastAsia" w:eastAsiaTheme="minorEastAsia" w:cstheme="minorEastAsia"/>
          <w:b/>
          <w:bCs/>
          <w:color w:val="auto"/>
          <w:sz w:val="24"/>
          <w:szCs w:val="20"/>
        </w:rPr>
        <w:t>中标人</w:t>
      </w:r>
      <w:r>
        <w:rPr>
          <w:rFonts w:hint="eastAsia" w:asciiTheme="minorEastAsia" w:hAnsiTheme="minorEastAsia" w:eastAsiaTheme="minorEastAsia" w:cstheme="minorEastAsia"/>
          <w:b/>
          <w:color w:val="auto"/>
          <w:sz w:val="24"/>
          <w:szCs w:val="20"/>
        </w:rPr>
        <w:t>因不可抗力或者自身原因不能履行合同的，招标人可以与排位在</w:t>
      </w:r>
      <w:r>
        <w:rPr>
          <w:rFonts w:hint="eastAsia" w:asciiTheme="minorEastAsia" w:hAnsiTheme="minorEastAsia" w:eastAsiaTheme="minorEastAsia" w:cstheme="minorEastAsia"/>
          <w:b/>
          <w:bCs/>
          <w:color w:val="auto"/>
          <w:sz w:val="24"/>
          <w:szCs w:val="20"/>
        </w:rPr>
        <w:t>中标人之</w:t>
      </w:r>
      <w:r>
        <w:rPr>
          <w:rFonts w:hint="eastAsia" w:asciiTheme="minorEastAsia" w:hAnsiTheme="minorEastAsia" w:eastAsiaTheme="minorEastAsia" w:cstheme="minorEastAsia"/>
          <w:b/>
          <w:color w:val="auto"/>
          <w:sz w:val="24"/>
          <w:szCs w:val="20"/>
        </w:rPr>
        <w:t>后第一位的中标候选人签订合同，以此类推。</w:t>
      </w:r>
    </w:p>
    <w:p>
      <w:pPr>
        <w:spacing w:line="360" w:lineRule="auto"/>
        <w:ind w:firstLine="480" w:firstLineChars="200"/>
        <w:outlineLvl w:val="1"/>
        <w:rPr>
          <w:rFonts w:asciiTheme="minorEastAsia" w:hAnsiTheme="minorEastAsia" w:eastAsiaTheme="minorEastAsia" w:cstheme="minorEastAsia"/>
          <w:color w:val="auto"/>
        </w:rPr>
      </w:pPr>
      <w:bookmarkStart w:id="154" w:name="_Toc245897318"/>
      <w:bookmarkStart w:id="155" w:name="_Toc243907621"/>
      <w:r>
        <w:rPr>
          <w:rFonts w:hint="eastAsia" w:asciiTheme="minorEastAsia" w:hAnsiTheme="minorEastAsia" w:eastAsiaTheme="minorEastAsia" w:cstheme="minorEastAsia"/>
          <w:color w:val="auto"/>
          <w:sz w:val="24"/>
        </w:rPr>
        <w:t>41、合同的签订准则</w:t>
      </w:r>
      <w:bookmarkEnd w:id="154"/>
      <w:bookmarkEnd w:id="155"/>
    </w:p>
    <w:p>
      <w:pP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41.1合同签订必须由招标人、</w:t>
      </w:r>
      <w:r>
        <w:rPr>
          <w:rFonts w:hint="eastAsia" w:asciiTheme="minorEastAsia" w:hAnsiTheme="minorEastAsia" w:eastAsiaTheme="minorEastAsia" w:cstheme="minorEastAsia"/>
          <w:color w:val="auto"/>
          <w:sz w:val="24"/>
          <w:szCs w:val="20"/>
        </w:rPr>
        <w:t>中标人</w:t>
      </w:r>
      <w:r>
        <w:rPr>
          <w:rFonts w:hint="eastAsia" w:asciiTheme="minorEastAsia" w:hAnsiTheme="minorEastAsia" w:eastAsiaTheme="minorEastAsia" w:cstheme="minorEastAsia"/>
          <w:color w:val="auto"/>
          <w:sz w:val="24"/>
        </w:rPr>
        <w:t>双方法定代表人或其委托代理人签署并加盖法人公章后方能生效。</w:t>
      </w:r>
    </w:p>
    <w:p>
      <w:pP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41.2合同转包（实质性要求）</w:t>
      </w:r>
    </w:p>
    <w:p>
      <w:pP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采购项目严禁中标单位将任何政府采购合同义务转包。本项目所称转包，是指中标单位将政府采购合同义务转让给第三人，并退出现有政府采购合同当事人双方的权利义务关系，受让人（即第三人）成为政府采购合同的另一方当事人的行为。</w:t>
      </w:r>
    </w:p>
    <w:p>
      <w:pP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中标单位转包的，视同拒绝履行政府采购合同义务，将依法追究法律责任。</w:t>
      </w:r>
    </w:p>
    <w:p>
      <w:pPr>
        <w:spacing w:line="360" w:lineRule="auto"/>
        <w:ind w:firstLine="480" w:firstLineChars="200"/>
        <w:rPr>
          <w:rFonts w:asciiTheme="minorEastAsia" w:hAnsiTheme="minorEastAsia" w:eastAsiaTheme="minorEastAsia" w:cstheme="minorEastAsia"/>
          <w:color w:val="auto"/>
          <w:sz w:val="24"/>
        </w:rPr>
      </w:pPr>
    </w:p>
    <w:p>
      <w:pPr>
        <w:snapToGrid w:val="0"/>
        <w:spacing w:line="360" w:lineRule="auto"/>
        <w:ind w:firstLine="562" w:firstLineChars="200"/>
        <w:jc w:val="center"/>
        <w:rPr>
          <w:rFonts w:asciiTheme="minorEastAsia" w:hAnsiTheme="minorEastAsia" w:eastAsiaTheme="minorEastAsia" w:cstheme="minorEastAsia"/>
          <w:b/>
          <w:bCs/>
          <w:color w:val="auto"/>
          <w:kern w:val="0"/>
          <w:sz w:val="28"/>
          <w:szCs w:val="28"/>
        </w:rPr>
      </w:pPr>
      <w:r>
        <w:rPr>
          <w:rFonts w:hint="eastAsia" w:asciiTheme="minorEastAsia" w:hAnsiTheme="minorEastAsia" w:eastAsiaTheme="minorEastAsia" w:cstheme="minorEastAsia"/>
          <w:b/>
          <w:bCs/>
          <w:color w:val="auto"/>
          <w:kern w:val="0"/>
          <w:sz w:val="28"/>
          <w:szCs w:val="28"/>
        </w:rPr>
        <w:t>G  询问、质疑、投诉</w:t>
      </w:r>
    </w:p>
    <w:p>
      <w:pPr>
        <w:spacing w:line="360" w:lineRule="auto"/>
        <w:ind w:firstLine="480" w:firstLineChars="200"/>
        <w:jc w:val="center"/>
        <w:rPr>
          <w:rFonts w:asciiTheme="minorEastAsia" w:hAnsiTheme="minorEastAsia" w:eastAsiaTheme="minorEastAsia" w:cstheme="minorEastAsia"/>
          <w:color w:val="auto"/>
          <w:sz w:val="24"/>
        </w:rPr>
      </w:pPr>
    </w:p>
    <w:p>
      <w:pPr>
        <w:snapToGrid w:val="0"/>
        <w:spacing w:line="360" w:lineRule="auto"/>
        <w:ind w:firstLine="482" w:firstLineChars="200"/>
        <w:jc w:val="left"/>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42、询问</w:t>
      </w:r>
    </w:p>
    <w:p>
      <w:pP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42.1投标人对采购活动事项有疑问的，可以向招标人或招标代理机构提出询问，招标人或招标代理机构应当在三个工作日内对投标人依法提出的询问作出答复，但答复的内容不得涉及商业秘密。</w:t>
      </w:r>
    </w:p>
    <w:p>
      <w:pPr>
        <w:spacing w:line="360" w:lineRule="auto"/>
        <w:ind w:firstLine="482" w:firstLineChars="200"/>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43、质疑</w:t>
      </w:r>
    </w:p>
    <w:p>
      <w:pP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43.1 投标人认为招标文件、采购过程和中标结果使自己的合法权益受到损害的，可以在知道或者应知其权益受到损害之日起七个工作日内，将质疑文件原件和必要的证明材料送达招标代理机构。</w:t>
      </w:r>
    </w:p>
    <w:p>
      <w:pP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43.2上述应知其权益受到损害之日是指： </w:t>
      </w:r>
    </w:p>
    <w:p>
      <w:pP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（1）对招标文件提出质疑的，为招标文件公告期限届满之日起计算； </w:t>
      </w:r>
    </w:p>
    <w:p>
      <w:pP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（2）对采购过程提出质疑的，自采购程序环节结束之日起计算；</w:t>
      </w:r>
    </w:p>
    <w:p>
      <w:pP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（3）对中标结果提出质疑的，自中标或者中标结果公告期限届满之日起计算。</w:t>
      </w:r>
    </w:p>
    <w:p>
      <w:pP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43.3质疑投标人在法定质疑期内应当一次性提出针对同一采购环节提出质疑。</w:t>
      </w:r>
    </w:p>
    <w:p>
      <w:pPr>
        <w:spacing w:line="360" w:lineRule="auto"/>
        <w:ind w:firstLine="482" w:firstLineChars="200"/>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43.4质疑文件应包括以下主要内容，并按照“谁主张、谁举证”的原则，附上相关证明材料。否则，招标代理机构不予受理：　　　　　　　</w:t>
      </w:r>
    </w:p>
    <w:p>
      <w:pP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（1）投标人的姓名或者名称、地址、邮编、联系人及联系电话（包括座机、手机、传真号码等）； </w:t>
      </w:r>
    </w:p>
    <w:p>
      <w:pP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（2）质疑项目的名称、项目编号、包号、采购公告发布时间、递交投标文件或投标文件截止时间； </w:t>
      </w:r>
    </w:p>
    <w:p>
      <w:pP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（3）具体、明确的质疑事项和与质疑事项相关的请求； </w:t>
      </w:r>
    </w:p>
    <w:p>
      <w:pP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（4）事实依据（具体条款，认为自己合法权益受到损害或可能受到损害的相关证据材料。如涉及到产品功能或技术指标的，应出具相关制造商的证明文件）； </w:t>
      </w:r>
    </w:p>
    <w:p>
      <w:pP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（5）必要的法律依据； </w:t>
      </w:r>
    </w:p>
    <w:p>
      <w:pP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（6）提起质疑的日期；</w:t>
      </w:r>
    </w:p>
    <w:p>
      <w:pP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（7）质疑文件应当署名，质疑人为自然人的，应当由本人签字并附有效身份证明；质疑人为法人或其他组织的，应当由法定代表人签字并加盖单位公章；</w:t>
      </w:r>
    </w:p>
    <w:p>
      <w:pP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（8）投标人委托代理质疑的，应当提交授权委托书，并载明代理人的姓名或者名称、代理事项、具体权限、期限和相关事项。</w:t>
      </w:r>
    </w:p>
    <w:p>
      <w:pP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43.5质疑投标人是指直接参加本项目采购活动的投标人，未参加政府采购活动的投标人或在采购活动中自身权益未受到损害的投标人所提出的质疑不予受理。</w:t>
      </w:r>
    </w:p>
    <w:p>
      <w:pP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43.6招标人、招标代理机构在收到投标人的书面质疑后将及时组织调查核实，在七个工作日内作出答复，并以书面形式通知质疑投标人和其他有关投标人，答复的内容不涉及商业秘密。</w:t>
      </w:r>
    </w:p>
    <w:p>
      <w:pPr>
        <w:spacing w:line="360" w:lineRule="auto"/>
        <w:ind w:firstLine="482" w:firstLineChars="200"/>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44、投诉</w:t>
      </w:r>
    </w:p>
    <w:p>
      <w:pP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44.1质疑投标人对招标人、招标代理机构的答复不满意，或招标人、招标代理机构未在规定的时间内作出答复的，可以在答复期满后十五个工作日内向采购项目同级财政部门提起投诉。</w:t>
      </w:r>
    </w:p>
    <w:p>
      <w:pP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44.2投标人投诉的事项不得超出已质疑事项的范围，但基于质疑答复内容提出的投诉事项除外。</w:t>
      </w:r>
    </w:p>
    <w:p>
      <w:pPr>
        <w:spacing w:line="360" w:lineRule="auto"/>
        <w:ind w:firstLine="482" w:firstLineChars="200"/>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45、诚实信用</w:t>
      </w:r>
    </w:p>
    <w:p>
      <w:pP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45.1投标人不得虚假质疑和恶意质疑，并对质疑内容的真实性承担责任。如果投标人或者其他利害关系人通过捏造事实、伪造证明材料等方式提出质疑，干扰政府采购活动正常进行的，属于严重不良行为，招标人、招标代理机构将提请财政部门将其列入不良行为记录名单，并依法予以处罚。</w:t>
      </w:r>
    </w:p>
    <w:p>
      <w:pP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45.2 投标人不得虚假承诺，否则，按照提供虚假材料谋取中标处理。</w:t>
      </w:r>
    </w:p>
    <w:p>
      <w:pPr>
        <w:spacing w:line="360" w:lineRule="auto"/>
        <w:ind w:firstLine="480" w:firstLineChars="200"/>
        <w:rPr>
          <w:rFonts w:asciiTheme="minorEastAsia" w:hAnsiTheme="minorEastAsia" w:eastAsiaTheme="minorEastAsia" w:cstheme="minorEastAsia"/>
          <w:color w:val="auto"/>
          <w:sz w:val="24"/>
        </w:rPr>
      </w:pPr>
    </w:p>
    <w:p>
      <w:pPr>
        <w:snapToGrid w:val="0"/>
        <w:spacing w:line="360" w:lineRule="auto"/>
        <w:ind w:firstLine="562" w:firstLineChars="200"/>
        <w:jc w:val="center"/>
        <w:rPr>
          <w:rFonts w:asciiTheme="minorEastAsia" w:hAnsiTheme="minorEastAsia" w:eastAsiaTheme="minorEastAsia" w:cstheme="minorEastAsia"/>
          <w:b/>
          <w:bCs/>
          <w:color w:val="auto"/>
          <w:kern w:val="0"/>
          <w:sz w:val="28"/>
          <w:szCs w:val="28"/>
        </w:rPr>
      </w:pPr>
      <w:r>
        <w:rPr>
          <w:rFonts w:hint="eastAsia" w:asciiTheme="minorEastAsia" w:hAnsiTheme="minorEastAsia" w:eastAsiaTheme="minorEastAsia" w:cstheme="minorEastAsia"/>
          <w:b/>
          <w:bCs/>
          <w:color w:val="auto"/>
          <w:kern w:val="0"/>
          <w:sz w:val="28"/>
          <w:szCs w:val="28"/>
        </w:rPr>
        <w:t>H   义务、工作纪律</w:t>
      </w:r>
    </w:p>
    <w:p>
      <w:pPr>
        <w:snapToGrid w:val="0"/>
        <w:spacing w:line="360" w:lineRule="auto"/>
        <w:ind w:firstLine="562" w:firstLineChars="200"/>
        <w:jc w:val="center"/>
        <w:rPr>
          <w:rFonts w:asciiTheme="minorEastAsia" w:hAnsiTheme="minorEastAsia" w:eastAsiaTheme="minorEastAsia" w:cstheme="minorEastAsia"/>
          <w:b/>
          <w:bCs/>
          <w:color w:val="auto"/>
          <w:kern w:val="0"/>
          <w:sz w:val="28"/>
          <w:szCs w:val="28"/>
        </w:rPr>
      </w:pPr>
    </w:p>
    <w:p>
      <w:pPr>
        <w:tabs>
          <w:tab w:val="left" w:pos="7665"/>
        </w:tabs>
        <w:spacing w:line="360" w:lineRule="auto"/>
        <w:ind w:firstLine="482" w:firstLineChars="200"/>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46、招标人或者招标代理机构负责组织评标工作，并履行下列职责：</w:t>
      </w:r>
    </w:p>
    <w:p>
      <w:pPr>
        <w:tabs>
          <w:tab w:val="left" w:pos="7665"/>
        </w:tabs>
        <w:spacing w:line="360" w:lineRule="auto"/>
        <w:ind w:firstLine="482" w:firstLineChars="200"/>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（一）核对评审专家身份和招标人代表授权函，对评审专家在政府采购活动中的职责履行情况予以记录，并及时将有关违法违规行为向财政部门报告；</w:t>
      </w:r>
    </w:p>
    <w:p>
      <w:pPr>
        <w:tabs>
          <w:tab w:val="left" w:pos="7665"/>
        </w:tabs>
        <w:spacing w:line="360" w:lineRule="auto"/>
        <w:ind w:firstLine="482" w:firstLineChars="200"/>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（二）宣布评标纪律；</w:t>
      </w:r>
    </w:p>
    <w:p>
      <w:pPr>
        <w:tabs>
          <w:tab w:val="left" w:pos="7665"/>
        </w:tabs>
        <w:spacing w:line="360" w:lineRule="auto"/>
        <w:ind w:firstLine="482" w:firstLineChars="200"/>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（三）公布投标人名单，告知评审专家应当回避的情形；</w:t>
      </w:r>
    </w:p>
    <w:p>
      <w:pPr>
        <w:tabs>
          <w:tab w:val="left" w:pos="7665"/>
        </w:tabs>
        <w:spacing w:line="360" w:lineRule="auto"/>
        <w:ind w:firstLine="482" w:firstLineChars="200"/>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（四）组织评标委员会推选评标组长，招标人代表不得担任组长；</w:t>
      </w:r>
    </w:p>
    <w:p>
      <w:pPr>
        <w:tabs>
          <w:tab w:val="left" w:pos="7665"/>
        </w:tabs>
        <w:spacing w:line="360" w:lineRule="auto"/>
        <w:ind w:firstLine="482" w:firstLineChars="200"/>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（五）在评标期间采取必要的通讯管理措施，保证评标活动不受外界干扰；</w:t>
      </w:r>
    </w:p>
    <w:p>
      <w:pPr>
        <w:tabs>
          <w:tab w:val="left" w:pos="7665"/>
        </w:tabs>
        <w:spacing w:line="360" w:lineRule="auto"/>
        <w:ind w:firstLine="482" w:firstLineChars="200"/>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（六）根据评标委员会的要求介绍政府采购相关政策法规、招标文件；</w:t>
      </w:r>
    </w:p>
    <w:p>
      <w:pPr>
        <w:tabs>
          <w:tab w:val="left" w:pos="7665"/>
        </w:tabs>
        <w:spacing w:line="360" w:lineRule="auto"/>
        <w:ind w:firstLine="482" w:firstLineChars="200"/>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（七）维护评标秩序，监督评标委员会依照招标文件规定的评标程序、方法和标准进行独立评审，及时制止和纠正招标人代表、评审专家的倾向性言论或者违法违规行为；</w:t>
      </w:r>
    </w:p>
    <w:p>
      <w:pPr>
        <w:tabs>
          <w:tab w:val="left" w:pos="7665"/>
        </w:tabs>
        <w:spacing w:line="360" w:lineRule="auto"/>
        <w:ind w:firstLine="482" w:firstLineChars="200"/>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（八）核对评标结果，有本办法第六十四条规定情形的，要求评标委员会复核或者书面说明理由，评标委员会拒绝的，应予记录并向本级财政部门报告；</w:t>
      </w:r>
    </w:p>
    <w:p>
      <w:pPr>
        <w:tabs>
          <w:tab w:val="left" w:pos="7665"/>
        </w:tabs>
        <w:spacing w:line="360" w:lineRule="auto"/>
        <w:ind w:firstLine="482" w:firstLineChars="200"/>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（九）评审工作完成后，按照规定向评审专家支付劳务报酬和异地评审差旅费，不得向评审专家以外的其他人员支付评审劳务报酬；</w:t>
      </w:r>
    </w:p>
    <w:p>
      <w:pPr>
        <w:tabs>
          <w:tab w:val="left" w:pos="7665"/>
        </w:tabs>
        <w:spacing w:line="360" w:lineRule="auto"/>
        <w:ind w:firstLine="482" w:firstLineChars="200"/>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（十）处理与评标有关的其他事项。</w:t>
      </w:r>
    </w:p>
    <w:p>
      <w:pPr>
        <w:tabs>
          <w:tab w:val="left" w:pos="7665"/>
        </w:tabs>
        <w:spacing w:line="360" w:lineRule="auto"/>
        <w:ind w:firstLine="482" w:firstLineChars="200"/>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招标人可以在评标前说明项目背景和采购需求，说明内容不得含有歧视性、倾向性意见，不得超出招标文件所述范围。说明应当提交书面材料，并随采购文件一并存档。</w:t>
      </w:r>
    </w:p>
    <w:p>
      <w:pPr>
        <w:tabs>
          <w:tab w:val="left" w:pos="7665"/>
        </w:tabs>
        <w:spacing w:line="360" w:lineRule="auto"/>
        <w:ind w:firstLine="482"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b/>
          <w:color w:val="auto"/>
          <w:sz w:val="24"/>
        </w:rPr>
        <w:t>47、评标委员会在政府采购活动中应当遵守以下工作纪律</w:t>
      </w:r>
      <w:r>
        <w:rPr>
          <w:rFonts w:hint="eastAsia" w:asciiTheme="minorEastAsia" w:hAnsiTheme="minorEastAsia" w:eastAsiaTheme="minorEastAsia" w:cstheme="minorEastAsia"/>
          <w:color w:val="auto"/>
          <w:sz w:val="24"/>
        </w:rPr>
        <w:t>：</w:t>
      </w:r>
    </w:p>
    <w:p>
      <w:pPr>
        <w:tabs>
          <w:tab w:val="left" w:pos="7665"/>
        </w:tabs>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（一）不得参加与自己有《中华人民共和国政府采购法实施条例》第九条规定的利害关系的政府采购项目的评标活动。发现参加了与自己有利害关系的评审活动，须主动提出回避，退出评审；</w:t>
      </w:r>
    </w:p>
    <w:p>
      <w:pPr>
        <w:tabs>
          <w:tab w:val="left" w:pos="7665"/>
        </w:tabs>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（二）评审前，应当将通讯工具或者相关电子设备交由招标代理机构统一保管；</w:t>
      </w:r>
    </w:p>
    <w:p>
      <w:pPr>
        <w:tabs>
          <w:tab w:val="left" w:pos="7665"/>
        </w:tabs>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（三）评审过程中，不得与外界联系，因发生不可预见情况，确实需要与外界联系的，应当在监督人员监督之下办理；</w:t>
      </w:r>
    </w:p>
    <w:p>
      <w:pPr>
        <w:tabs>
          <w:tab w:val="left" w:pos="7665"/>
        </w:tabs>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四）评审过程中，不得发表影响评审公正的倾向性、歧视性言论，不得征询或者接受招标人的倾向性意见，不得明示或暗示投标人在澄清时表达与其投标文件原义不同的意见，不得以招标文件没有规定的评审方法和标准作为评审的依据，不得修改或者细化评审程序、评审方法、评审因素和评审标准，不得违规撰写评审意见，不得拒绝对自己的评审意见签字确认；</w:t>
      </w:r>
    </w:p>
    <w:p>
      <w:pPr>
        <w:tabs>
          <w:tab w:val="left" w:pos="7665"/>
        </w:tabs>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（五）在评审过程中和评审结束后，不得记录、复制或带走任何评审资料，不得向外界透露评审内容；</w:t>
      </w:r>
    </w:p>
    <w:p>
      <w:pPr>
        <w:tabs>
          <w:tab w:val="left" w:pos="7665"/>
        </w:tabs>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（六）评审现场服从招标代理机构工作人员的管理，接受现场监督人员的合法监督；</w:t>
      </w:r>
    </w:p>
    <w:p>
      <w:pPr>
        <w:tabs>
          <w:tab w:val="left" w:pos="7665"/>
        </w:tabs>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（七）遵守有关廉洁自律规定，不得私下接触投标人，不得收受投标人及有关业务单位和个人的财物或好处，不得接受招标代理机构的请托。</w:t>
      </w:r>
    </w:p>
    <w:p>
      <w:pPr>
        <w:tabs>
          <w:tab w:val="left" w:pos="7665"/>
        </w:tabs>
        <w:spacing w:line="360" w:lineRule="auto"/>
        <w:ind w:firstLine="482" w:firstLineChars="200"/>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48、评标委员会负责具体评标事务，并独立履行下列职责：</w:t>
      </w:r>
    </w:p>
    <w:p>
      <w:pPr>
        <w:tabs>
          <w:tab w:val="left" w:pos="7665"/>
        </w:tabs>
        <w:spacing w:line="360" w:lineRule="auto"/>
        <w:ind w:firstLine="482" w:firstLineChars="200"/>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（一）审查、评价投标文件是否符合招标文件的商务、技术等实质性要求；</w:t>
      </w:r>
    </w:p>
    <w:p>
      <w:pPr>
        <w:tabs>
          <w:tab w:val="left" w:pos="7665"/>
        </w:tabs>
        <w:spacing w:line="360" w:lineRule="auto"/>
        <w:ind w:firstLine="482" w:firstLineChars="200"/>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（二）要求投标人对投标文件有关事项作出澄清或者说明；</w:t>
      </w:r>
    </w:p>
    <w:p>
      <w:pPr>
        <w:tabs>
          <w:tab w:val="left" w:pos="7665"/>
        </w:tabs>
        <w:spacing w:line="360" w:lineRule="auto"/>
        <w:ind w:firstLine="482" w:firstLineChars="200"/>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（三）对投标文件进行比较和评价；</w:t>
      </w:r>
    </w:p>
    <w:p>
      <w:pPr>
        <w:tabs>
          <w:tab w:val="left" w:pos="7665"/>
        </w:tabs>
        <w:spacing w:line="360" w:lineRule="auto"/>
        <w:ind w:firstLine="482" w:firstLineChars="200"/>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（四）确定中标候选人名单，以及根据招标人委托直接确定中标人；</w:t>
      </w:r>
    </w:p>
    <w:p>
      <w:pPr>
        <w:tabs>
          <w:tab w:val="left" w:pos="7665"/>
        </w:tabs>
        <w:spacing w:line="360" w:lineRule="auto"/>
        <w:ind w:firstLine="482" w:firstLineChars="200"/>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（五）向招标人、招标代理机构或者有关部门报告评标中发现的违法行为。</w:t>
      </w:r>
    </w:p>
    <w:p>
      <w:pPr>
        <w:tabs>
          <w:tab w:val="left" w:pos="7665"/>
        </w:tabs>
        <w:spacing w:line="360" w:lineRule="auto"/>
        <w:ind w:firstLine="482" w:firstLineChars="200"/>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49、采购代理服务费</w:t>
      </w:r>
    </w:p>
    <w:p>
      <w:pPr>
        <w:snapToGrid w:val="0"/>
        <w:spacing w:line="360" w:lineRule="auto"/>
        <w:ind w:firstLine="480" w:firstLineChars="20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49.1经与招标人协商，本项目采购代理服务费由中标人在领取中标通知书同时向招标代理机构支付，各标项采购代理服务费均为¥2.4万元整（大写：人民币贰万肆仟元整）。</w:t>
      </w:r>
    </w:p>
    <w:p>
      <w:pPr>
        <w:pStyle w:val="32"/>
        <w:adjustRightInd w:val="0"/>
        <w:snapToGrid w:val="0"/>
        <w:spacing w:line="360" w:lineRule="auto"/>
        <w:jc w:val="center"/>
        <w:outlineLvl w:val="0"/>
        <w:rPr>
          <w:rFonts w:asciiTheme="minorEastAsia" w:hAnsiTheme="minorEastAsia" w:eastAsiaTheme="minorEastAsia" w:cstheme="minorEastAsia"/>
          <w:b/>
          <w:bCs/>
          <w:color w:val="auto"/>
          <w:sz w:val="28"/>
          <w:szCs w:val="28"/>
        </w:rPr>
      </w:pPr>
    </w:p>
    <w:p>
      <w:pPr>
        <w:pStyle w:val="32"/>
        <w:adjustRightInd w:val="0"/>
        <w:snapToGrid w:val="0"/>
        <w:spacing w:line="360" w:lineRule="auto"/>
        <w:jc w:val="center"/>
        <w:outlineLvl w:val="0"/>
        <w:rPr>
          <w:rFonts w:asciiTheme="minorEastAsia" w:hAnsiTheme="minorEastAsia" w:eastAsiaTheme="minorEastAsia" w:cstheme="minorEastAsia"/>
          <w:b/>
          <w:bCs/>
          <w:color w:val="auto"/>
          <w:sz w:val="28"/>
          <w:szCs w:val="28"/>
        </w:rPr>
      </w:pPr>
    </w:p>
    <w:p>
      <w:pPr>
        <w:pStyle w:val="32"/>
        <w:adjustRightInd w:val="0"/>
        <w:snapToGrid w:val="0"/>
        <w:spacing w:line="360" w:lineRule="auto"/>
        <w:jc w:val="center"/>
        <w:outlineLvl w:val="0"/>
        <w:rPr>
          <w:rFonts w:asciiTheme="minorEastAsia" w:hAnsiTheme="minorEastAsia" w:eastAsiaTheme="minorEastAsia" w:cstheme="minorEastAsia"/>
          <w:b/>
          <w:bCs/>
          <w:color w:val="auto"/>
          <w:sz w:val="28"/>
          <w:szCs w:val="28"/>
        </w:rPr>
      </w:pPr>
    </w:p>
    <w:p>
      <w:pPr>
        <w:pStyle w:val="32"/>
        <w:adjustRightInd w:val="0"/>
        <w:snapToGrid w:val="0"/>
        <w:spacing w:line="360" w:lineRule="auto"/>
        <w:jc w:val="center"/>
        <w:outlineLvl w:val="0"/>
        <w:rPr>
          <w:rFonts w:asciiTheme="minorEastAsia" w:hAnsiTheme="minorEastAsia" w:eastAsiaTheme="minorEastAsia" w:cstheme="minorEastAsia"/>
          <w:b/>
          <w:bCs/>
          <w:color w:val="auto"/>
          <w:sz w:val="28"/>
          <w:szCs w:val="28"/>
        </w:rPr>
      </w:pPr>
    </w:p>
    <w:p>
      <w:pPr>
        <w:pStyle w:val="32"/>
        <w:adjustRightInd w:val="0"/>
        <w:snapToGrid w:val="0"/>
        <w:spacing w:line="360" w:lineRule="auto"/>
        <w:jc w:val="center"/>
        <w:outlineLvl w:val="0"/>
        <w:rPr>
          <w:rFonts w:asciiTheme="minorEastAsia" w:hAnsiTheme="minorEastAsia" w:eastAsiaTheme="minorEastAsia" w:cstheme="minorEastAsia"/>
          <w:b/>
          <w:bCs/>
          <w:color w:val="auto"/>
          <w:sz w:val="28"/>
          <w:szCs w:val="28"/>
        </w:rPr>
      </w:pPr>
    </w:p>
    <w:p>
      <w:pPr>
        <w:pStyle w:val="32"/>
        <w:adjustRightInd w:val="0"/>
        <w:snapToGrid w:val="0"/>
        <w:spacing w:line="360" w:lineRule="auto"/>
        <w:jc w:val="center"/>
        <w:outlineLvl w:val="0"/>
        <w:rPr>
          <w:rFonts w:asciiTheme="minorEastAsia" w:hAnsiTheme="minorEastAsia" w:eastAsiaTheme="minorEastAsia" w:cstheme="minorEastAsia"/>
          <w:b/>
          <w:bCs/>
          <w:color w:val="auto"/>
          <w:sz w:val="28"/>
          <w:szCs w:val="28"/>
        </w:rPr>
      </w:pPr>
    </w:p>
    <w:p>
      <w:pPr>
        <w:pStyle w:val="32"/>
        <w:adjustRightInd w:val="0"/>
        <w:snapToGrid w:val="0"/>
        <w:spacing w:line="360" w:lineRule="auto"/>
        <w:jc w:val="center"/>
        <w:outlineLvl w:val="0"/>
        <w:rPr>
          <w:rFonts w:asciiTheme="minorEastAsia" w:hAnsiTheme="minorEastAsia" w:eastAsiaTheme="minorEastAsia" w:cstheme="minorEastAsia"/>
          <w:b/>
          <w:bCs/>
          <w:color w:val="auto"/>
          <w:sz w:val="28"/>
          <w:szCs w:val="28"/>
        </w:rPr>
      </w:pPr>
    </w:p>
    <w:p>
      <w:pPr>
        <w:pStyle w:val="32"/>
        <w:adjustRightInd w:val="0"/>
        <w:snapToGrid w:val="0"/>
        <w:spacing w:line="360" w:lineRule="auto"/>
        <w:jc w:val="center"/>
        <w:outlineLvl w:val="0"/>
        <w:rPr>
          <w:rFonts w:asciiTheme="minorEastAsia" w:hAnsiTheme="minorEastAsia" w:eastAsiaTheme="minorEastAsia" w:cstheme="minorEastAsia"/>
          <w:b/>
          <w:bCs/>
          <w:color w:val="auto"/>
          <w:sz w:val="28"/>
          <w:szCs w:val="28"/>
        </w:rPr>
      </w:pPr>
    </w:p>
    <w:p>
      <w:pPr>
        <w:pStyle w:val="32"/>
        <w:adjustRightInd w:val="0"/>
        <w:snapToGrid w:val="0"/>
        <w:spacing w:line="360" w:lineRule="auto"/>
        <w:jc w:val="center"/>
        <w:outlineLvl w:val="0"/>
        <w:rPr>
          <w:rFonts w:asciiTheme="minorEastAsia" w:hAnsiTheme="minorEastAsia" w:eastAsiaTheme="minorEastAsia" w:cstheme="minorEastAsia"/>
          <w:b/>
          <w:bCs/>
          <w:color w:val="auto"/>
          <w:sz w:val="28"/>
          <w:szCs w:val="28"/>
        </w:rPr>
      </w:pPr>
    </w:p>
    <w:p>
      <w:pPr>
        <w:pStyle w:val="32"/>
        <w:adjustRightInd w:val="0"/>
        <w:snapToGrid w:val="0"/>
        <w:spacing w:line="360" w:lineRule="auto"/>
        <w:jc w:val="center"/>
        <w:outlineLvl w:val="0"/>
        <w:rPr>
          <w:rFonts w:asciiTheme="minorEastAsia" w:hAnsiTheme="minorEastAsia" w:eastAsiaTheme="minorEastAsia" w:cstheme="minorEastAsia"/>
          <w:b/>
          <w:bCs/>
          <w:color w:val="auto"/>
          <w:sz w:val="28"/>
          <w:szCs w:val="28"/>
        </w:rPr>
      </w:pPr>
    </w:p>
    <w:p>
      <w:pPr>
        <w:pStyle w:val="32"/>
        <w:adjustRightInd w:val="0"/>
        <w:snapToGrid w:val="0"/>
        <w:spacing w:line="360" w:lineRule="auto"/>
        <w:jc w:val="center"/>
        <w:outlineLvl w:val="0"/>
        <w:rPr>
          <w:rFonts w:asciiTheme="minorEastAsia" w:hAnsiTheme="minorEastAsia" w:eastAsiaTheme="minorEastAsia" w:cstheme="minorEastAsia"/>
          <w:b/>
          <w:bCs/>
          <w:color w:val="auto"/>
          <w:sz w:val="28"/>
          <w:szCs w:val="28"/>
        </w:rPr>
      </w:pPr>
    </w:p>
    <w:p>
      <w:pPr>
        <w:pStyle w:val="32"/>
        <w:adjustRightInd w:val="0"/>
        <w:snapToGrid w:val="0"/>
        <w:spacing w:line="360" w:lineRule="auto"/>
        <w:jc w:val="center"/>
        <w:outlineLvl w:val="0"/>
        <w:rPr>
          <w:rFonts w:asciiTheme="minorEastAsia" w:hAnsiTheme="minorEastAsia" w:eastAsiaTheme="minorEastAsia" w:cstheme="minorEastAsia"/>
          <w:b/>
          <w:bCs/>
          <w:color w:val="auto"/>
          <w:sz w:val="28"/>
          <w:szCs w:val="28"/>
        </w:rPr>
      </w:pPr>
    </w:p>
    <w:p>
      <w:pPr>
        <w:pStyle w:val="32"/>
        <w:adjustRightInd w:val="0"/>
        <w:snapToGrid w:val="0"/>
        <w:spacing w:line="360" w:lineRule="auto"/>
        <w:jc w:val="center"/>
        <w:outlineLvl w:val="0"/>
        <w:rPr>
          <w:rFonts w:asciiTheme="minorEastAsia" w:hAnsiTheme="minorEastAsia" w:eastAsiaTheme="minorEastAsia" w:cstheme="minorEastAsia"/>
          <w:b/>
          <w:bCs/>
          <w:color w:val="auto"/>
          <w:sz w:val="28"/>
          <w:szCs w:val="28"/>
        </w:rPr>
      </w:pPr>
    </w:p>
    <w:p>
      <w:pPr>
        <w:pStyle w:val="32"/>
        <w:adjustRightInd w:val="0"/>
        <w:snapToGrid w:val="0"/>
        <w:spacing w:line="360" w:lineRule="auto"/>
        <w:jc w:val="center"/>
        <w:outlineLvl w:val="0"/>
        <w:rPr>
          <w:rFonts w:asciiTheme="minorEastAsia" w:hAnsiTheme="minorEastAsia" w:eastAsiaTheme="minorEastAsia" w:cstheme="minorEastAsia"/>
          <w:b/>
          <w:bCs/>
          <w:color w:val="auto"/>
          <w:sz w:val="28"/>
          <w:szCs w:val="28"/>
        </w:rPr>
      </w:pPr>
    </w:p>
    <w:p>
      <w:pPr>
        <w:pStyle w:val="32"/>
        <w:adjustRightInd w:val="0"/>
        <w:snapToGrid w:val="0"/>
        <w:spacing w:line="360" w:lineRule="auto"/>
        <w:jc w:val="center"/>
        <w:outlineLvl w:val="0"/>
        <w:rPr>
          <w:rFonts w:asciiTheme="minorEastAsia" w:hAnsiTheme="minorEastAsia" w:eastAsiaTheme="minorEastAsia" w:cstheme="minorEastAsia"/>
          <w:b/>
          <w:bCs/>
          <w:color w:val="auto"/>
          <w:sz w:val="28"/>
          <w:szCs w:val="28"/>
        </w:rPr>
      </w:pPr>
    </w:p>
    <w:p>
      <w:pPr>
        <w:pStyle w:val="32"/>
        <w:adjustRightInd w:val="0"/>
        <w:snapToGrid w:val="0"/>
        <w:spacing w:line="360" w:lineRule="auto"/>
        <w:jc w:val="center"/>
        <w:outlineLvl w:val="0"/>
        <w:rPr>
          <w:rFonts w:asciiTheme="minorEastAsia" w:hAnsiTheme="minorEastAsia" w:eastAsiaTheme="minorEastAsia" w:cstheme="minorEastAsia"/>
          <w:b/>
          <w:bCs/>
          <w:color w:val="auto"/>
          <w:sz w:val="28"/>
          <w:szCs w:val="28"/>
        </w:rPr>
      </w:pPr>
    </w:p>
    <w:p>
      <w:pPr>
        <w:pStyle w:val="32"/>
        <w:adjustRightInd w:val="0"/>
        <w:snapToGrid w:val="0"/>
        <w:spacing w:line="360" w:lineRule="auto"/>
        <w:jc w:val="center"/>
        <w:outlineLvl w:val="0"/>
        <w:rPr>
          <w:rFonts w:asciiTheme="minorEastAsia" w:hAnsiTheme="minorEastAsia" w:eastAsiaTheme="minorEastAsia" w:cstheme="minorEastAsia"/>
          <w:b/>
          <w:bCs/>
          <w:color w:val="auto"/>
          <w:sz w:val="28"/>
          <w:szCs w:val="28"/>
        </w:rPr>
      </w:pPr>
    </w:p>
    <w:p>
      <w:pPr>
        <w:pStyle w:val="32"/>
        <w:adjustRightInd w:val="0"/>
        <w:snapToGrid w:val="0"/>
        <w:spacing w:line="360" w:lineRule="auto"/>
        <w:jc w:val="center"/>
        <w:outlineLvl w:val="0"/>
        <w:rPr>
          <w:rFonts w:asciiTheme="minorEastAsia" w:hAnsiTheme="minorEastAsia" w:eastAsiaTheme="minorEastAsia" w:cstheme="minorEastAsia"/>
          <w:b/>
          <w:bCs/>
          <w:color w:val="auto"/>
          <w:sz w:val="28"/>
          <w:szCs w:val="28"/>
        </w:rPr>
      </w:pPr>
    </w:p>
    <w:p>
      <w:pPr>
        <w:pStyle w:val="32"/>
        <w:adjustRightInd w:val="0"/>
        <w:snapToGrid w:val="0"/>
        <w:spacing w:line="360" w:lineRule="auto"/>
        <w:jc w:val="center"/>
        <w:outlineLvl w:val="0"/>
        <w:rPr>
          <w:rFonts w:asciiTheme="minorEastAsia" w:hAnsiTheme="minorEastAsia" w:eastAsiaTheme="minorEastAsia" w:cstheme="minorEastAsia"/>
          <w:b/>
          <w:bCs/>
          <w:color w:val="auto"/>
          <w:sz w:val="28"/>
          <w:szCs w:val="28"/>
        </w:rPr>
      </w:pPr>
    </w:p>
    <w:p>
      <w:pPr>
        <w:pStyle w:val="32"/>
        <w:adjustRightInd w:val="0"/>
        <w:snapToGrid w:val="0"/>
        <w:spacing w:line="360" w:lineRule="auto"/>
        <w:jc w:val="center"/>
        <w:outlineLvl w:val="0"/>
        <w:rPr>
          <w:rFonts w:asciiTheme="minorEastAsia" w:hAnsiTheme="minorEastAsia" w:eastAsiaTheme="minorEastAsia" w:cstheme="minorEastAsia"/>
          <w:b/>
          <w:bCs/>
          <w:color w:val="auto"/>
          <w:sz w:val="28"/>
          <w:szCs w:val="28"/>
        </w:rPr>
      </w:pPr>
    </w:p>
    <w:p>
      <w:pPr>
        <w:pStyle w:val="32"/>
        <w:adjustRightInd w:val="0"/>
        <w:snapToGrid w:val="0"/>
        <w:spacing w:line="360" w:lineRule="auto"/>
        <w:jc w:val="center"/>
        <w:outlineLvl w:val="0"/>
        <w:rPr>
          <w:rFonts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bCs/>
          <w:color w:val="auto"/>
          <w:sz w:val="28"/>
          <w:szCs w:val="28"/>
        </w:rPr>
        <w:t xml:space="preserve">第三章 </w:t>
      </w:r>
      <w:r>
        <w:rPr>
          <w:rFonts w:hint="eastAsia" w:asciiTheme="minorEastAsia" w:hAnsiTheme="minorEastAsia" w:eastAsiaTheme="minorEastAsia" w:cstheme="minorEastAsia"/>
          <w:b/>
          <w:color w:val="auto"/>
          <w:sz w:val="28"/>
          <w:szCs w:val="28"/>
        </w:rPr>
        <w:t>项目采购需求</w:t>
      </w:r>
    </w:p>
    <w:p>
      <w:pPr>
        <w:rPr>
          <w:rFonts w:asciiTheme="minorEastAsia" w:hAnsiTheme="minorEastAsia" w:eastAsiaTheme="minorEastAsia" w:cstheme="minorEastAsia"/>
          <w:color w:val="auto"/>
        </w:rPr>
      </w:pPr>
    </w:p>
    <w:p>
      <w:pPr>
        <w:spacing w:afterLines="50" w:line="360" w:lineRule="auto"/>
        <w:jc w:val="left"/>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一、项目内容</w:t>
      </w:r>
    </w:p>
    <w:p>
      <w:pPr>
        <w:pStyle w:val="447"/>
        <w:spacing w:afterLines="50" w:line="360" w:lineRule="auto"/>
        <w:ind w:firstLine="480"/>
        <w:jc w:val="lef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（一）项目名称：克拉玛依市中心医院1号（汉餐）、2号（清餐）食堂服务外包项目。</w:t>
      </w:r>
    </w:p>
    <w:p>
      <w:pPr>
        <w:pStyle w:val="2"/>
        <w:kinsoku w:val="0"/>
        <w:overflowPunct w:val="0"/>
        <w:spacing w:afterLines="50" w:line="360" w:lineRule="auto"/>
        <w:ind w:firstLine="480" w:firstLineChars="200"/>
        <w:rPr>
          <w:rFonts w:asciiTheme="minorEastAsia" w:hAnsiTheme="minorEastAsia" w:eastAsiaTheme="minorEastAsia" w:cstheme="minorEastAsia"/>
          <w:color w:val="auto"/>
          <w:kern w:val="2"/>
          <w:szCs w:val="24"/>
        </w:rPr>
      </w:pPr>
      <w:r>
        <w:rPr>
          <w:rFonts w:hint="eastAsia" w:asciiTheme="minorEastAsia" w:hAnsiTheme="minorEastAsia" w:eastAsiaTheme="minorEastAsia" w:cstheme="minorEastAsia"/>
          <w:color w:val="auto"/>
          <w:szCs w:val="24"/>
        </w:rPr>
        <w:t>（二）项目范围：</w:t>
      </w:r>
      <w:r>
        <w:rPr>
          <w:rFonts w:hint="eastAsia" w:asciiTheme="minorEastAsia" w:hAnsiTheme="minorEastAsia" w:eastAsiaTheme="minorEastAsia" w:cstheme="minorEastAsia"/>
          <w:color w:val="auto"/>
          <w:kern w:val="2"/>
          <w:szCs w:val="24"/>
        </w:rPr>
        <w:t>本项目为</w:t>
      </w:r>
      <w:r>
        <w:rPr>
          <w:rFonts w:hint="eastAsia" w:asciiTheme="minorEastAsia" w:hAnsiTheme="minorEastAsia" w:eastAsiaTheme="minorEastAsia" w:cstheme="minorEastAsia"/>
          <w:color w:val="auto"/>
          <w:szCs w:val="24"/>
        </w:rPr>
        <w:t>克拉玛依市中心医院1号（汉餐）、2号（清餐）食堂服务外包项目，</w:t>
      </w:r>
      <w:r>
        <w:rPr>
          <w:rFonts w:hint="eastAsia" w:asciiTheme="minorEastAsia" w:hAnsiTheme="minorEastAsia" w:eastAsiaTheme="minorEastAsia" w:cstheme="minorEastAsia"/>
          <w:color w:val="auto"/>
          <w:kern w:val="2"/>
          <w:szCs w:val="24"/>
        </w:rPr>
        <w:t>涉及面积1号食堂410.4平方米（一楼大厅面积181平方米，后堂面积229.4平方米，地下室23平米）及1号平房非职工就餐区102平米；2号食堂</w:t>
      </w:r>
      <w:r>
        <w:rPr>
          <w:rFonts w:hint="eastAsia" w:asciiTheme="minorEastAsia" w:hAnsiTheme="minorEastAsia" w:eastAsiaTheme="minorEastAsia" w:cstheme="minorEastAsia"/>
          <w:color w:val="auto"/>
          <w:szCs w:val="24"/>
        </w:rPr>
        <w:t>490余平米（二楼前厅237平方米，后堂面积194平方米）及2号</w:t>
      </w:r>
      <w:r>
        <w:rPr>
          <w:rFonts w:hint="eastAsia" w:asciiTheme="minorEastAsia" w:hAnsiTheme="minorEastAsia" w:eastAsiaTheme="minorEastAsia" w:cstheme="minorEastAsia"/>
          <w:color w:val="auto"/>
          <w:kern w:val="2"/>
          <w:szCs w:val="24"/>
        </w:rPr>
        <w:t>平房</w:t>
      </w:r>
      <w:r>
        <w:rPr>
          <w:rFonts w:hint="eastAsia" w:asciiTheme="minorEastAsia" w:hAnsiTheme="minorEastAsia" w:eastAsiaTheme="minorEastAsia" w:cstheme="minorEastAsia"/>
          <w:color w:val="auto"/>
          <w:szCs w:val="24"/>
        </w:rPr>
        <w:t>非职工就餐区60平米。</w:t>
      </w:r>
    </w:p>
    <w:p>
      <w:pPr>
        <w:spacing w:afterLines="30" w:line="360" w:lineRule="auto"/>
        <w:ind w:firstLine="480" w:firstLineChars="20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（三）</w:t>
      </w:r>
      <w:r>
        <w:rPr>
          <w:rFonts w:hint="eastAsia" w:asciiTheme="minorEastAsia" w:hAnsiTheme="minorEastAsia" w:eastAsiaTheme="minorEastAsia" w:cstheme="minorEastAsia"/>
          <w:bCs/>
          <w:color w:val="auto"/>
          <w:sz w:val="24"/>
        </w:rPr>
        <w:t>项目经营模式：采用合作承包经营模式，即</w:t>
      </w:r>
      <w:r>
        <w:rPr>
          <w:rFonts w:hint="eastAsia" w:asciiTheme="minorEastAsia" w:hAnsiTheme="minorEastAsia" w:eastAsiaTheme="minorEastAsia" w:cstheme="minorEastAsia"/>
          <w:color w:val="auto"/>
          <w:sz w:val="24"/>
        </w:rPr>
        <w:t>通过招标引进专业餐饮管理公司，由专业餐饮管理公司负责运营管理。医院提供场地及现有设备，不收取场地租金。</w:t>
      </w:r>
      <w:r>
        <w:rPr>
          <w:rFonts w:hint="eastAsia" w:asciiTheme="minorEastAsia" w:hAnsiTheme="minorEastAsia" w:eastAsiaTheme="minorEastAsia" w:cstheme="minorEastAsia"/>
          <w:color w:val="auto"/>
          <w:sz w:val="24"/>
        </w:rPr>
        <w:t>水、电、暖、燃气、设备维护等费用由承包方承担。</w:t>
      </w:r>
    </w:p>
    <w:p>
      <w:pPr>
        <w:spacing w:afterLines="30" w:line="360" w:lineRule="auto"/>
        <w:ind w:firstLine="480" w:firstLineChars="200"/>
        <w:jc w:val="left"/>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（四）项目招标：</w:t>
      </w:r>
    </w:p>
    <w:p>
      <w:pPr>
        <w:spacing w:afterLines="30" w:line="360" w:lineRule="auto"/>
        <w:ind w:firstLine="480" w:firstLineChars="200"/>
        <w:jc w:val="left"/>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总体分为1号（汉餐）、2号（清餐）食堂两个标段 ，独自经营，不可分包。</w:t>
      </w:r>
    </w:p>
    <w:p>
      <w:pPr>
        <w:numPr>
          <w:ilvl w:val="0"/>
          <w:numId w:val="4"/>
        </w:numPr>
        <w:spacing w:afterLines="30" w:line="360" w:lineRule="auto"/>
        <w:ind w:firstLine="480" w:firstLineChars="200"/>
        <w:jc w:val="left"/>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承包年限：三年。</w:t>
      </w:r>
    </w:p>
    <w:p>
      <w:pPr>
        <w:spacing w:afterLines="30" w:line="360" w:lineRule="auto"/>
        <w:ind w:firstLine="480" w:firstLineChars="20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特别说明：本项目职工食堂位于准噶尔路中心医院院区内。2020年底中心医院将迁址康城。届时职工人数将会大幅减少，但食堂仍须继续营业，承包商应承诺持续经营至承包期满。</w:t>
      </w:r>
    </w:p>
    <w:p>
      <w:pPr>
        <w:spacing w:afterLines="30" w:line="360" w:lineRule="auto"/>
        <w:jc w:val="left"/>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color w:val="auto"/>
          <w:sz w:val="24"/>
        </w:rPr>
        <w:t>二、 招标技术要求</w:t>
      </w:r>
    </w:p>
    <w:p>
      <w:pPr>
        <w:spacing w:afterLines="30" w:line="360" w:lineRule="auto"/>
        <w:ind w:firstLine="480" w:firstLineChars="200"/>
        <w:jc w:val="left"/>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（一）经营管理要求：</w:t>
      </w:r>
    </w:p>
    <w:p>
      <w:pPr>
        <w:spacing w:afterLines="30" w:line="360" w:lineRule="auto"/>
        <w:ind w:firstLine="480" w:firstLineChars="20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1.质量要求</w:t>
      </w:r>
    </w:p>
    <w:p>
      <w:pPr>
        <w:spacing w:afterLines="30" w:line="360" w:lineRule="auto"/>
        <w:ind w:firstLine="480" w:firstLineChars="20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1.1 承包人在承包区域内销售的食品、饮料、熟食、冷食等均要符合《中华人民共和国食品安全法》要求标准。</w:t>
      </w:r>
    </w:p>
    <w:p>
      <w:pPr>
        <w:spacing w:afterLines="30" w:line="360" w:lineRule="auto"/>
        <w:ind w:firstLine="480" w:firstLineChars="20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1.2 承包人在承包区域内销售的食品、饮料、熟食、冷食等均要有监督、留样机制。承包人负责承包区域内的饮食安全卫生。招标人严格执行事故责任追究制度，如在承包期内发生食物中毒等重大责任事故，损害就餐员工、患者及家属、社会人员身体健康，影响招标人声誉，承包人必须承担由此造成的一切责任和经济损失，招标人有权无条件终止合同，并收回相关设施、设备保证金。</w:t>
      </w:r>
    </w:p>
    <w:p>
      <w:pPr>
        <w:spacing w:afterLines="30" w:line="360" w:lineRule="auto"/>
        <w:ind w:firstLine="480" w:firstLineChars="20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1.3承包人需遵守院相关管理制度，接受监督与考核。</w:t>
      </w:r>
    </w:p>
    <w:p>
      <w:pPr>
        <w:spacing w:afterLines="30" w:line="360" w:lineRule="auto"/>
        <w:ind w:firstLine="480" w:firstLineChars="20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2.价格要求</w:t>
      </w:r>
    </w:p>
    <w:p>
      <w:pPr>
        <w:spacing w:afterLines="30" w:line="360" w:lineRule="auto"/>
        <w:ind w:firstLine="480" w:firstLineChars="20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承包人在承包区域内销售的食品、熟食、冷食等价格须低于市场均价5%,严格按照投标时承诺的餐饮价格。</w:t>
      </w:r>
    </w:p>
    <w:p>
      <w:pPr>
        <w:spacing w:afterLines="30" w:line="360" w:lineRule="auto"/>
        <w:ind w:firstLine="480" w:firstLineChars="20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3.管理人员、服务人员条件和要求</w:t>
      </w:r>
    </w:p>
    <w:p>
      <w:pPr>
        <w:spacing w:afterLines="30" w:line="360" w:lineRule="auto"/>
        <w:ind w:firstLine="480" w:firstLineChars="20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主管人员需具备三年以上餐饮主管经验； </w:t>
      </w:r>
    </w:p>
    <w:p>
      <w:pPr>
        <w:spacing w:afterLines="30" w:line="360" w:lineRule="auto"/>
        <w:ind w:firstLine="480" w:firstLineChars="20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4.职工餐费收费、结算要求</w:t>
      </w:r>
    </w:p>
    <w:p>
      <w:pPr>
        <w:spacing w:afterLines="30" w:line="360" w:lineRule="auto"/>
        <w:ind w:firstLine="480" w:firstLineChars="20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结算方式需满足医院的要求，按医院职工实际用餐消费金额付款，其所需设备设施的购置由中标单位自行承担。</w:t>
      </w:r>
    </w:p>
    <w:p>
      <w:pPr>
        <w:spacing w:afterLines="30" w:line="360" w:lineRule="auto"/>
        <w:ind w:firstLine="480" w:firstLineChars="20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5.品种及经营时间、送餐要求</w:t>
      </w:r>
    </w:p>
    <w:p>
      <w:pPr>
        <w:spacing w:afterLines="30" w:line="360" w:lineRule="auto"/>
        <w:ind w:firstLine="480" w:firstLineChars="20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5.1承包方需提供对各科室医护人员的就餐及送餐服务，必要时对患者提供送餐服务；保障医院突发事件处置及特殊科室的随时预定送餐服务。</w:t>
      </w:r>
    </w:p>
    <w:p>
      <w:pPr>
        <w:spacing w:afterLines="30" w:line="360" w:lineRule="auto"/>
        <w:ind w:firstLine="480" w:firstLineChars="20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5.2供应时间要求：早餐：8:00-10:30；中餐：12;30-15:30;晚餐：18:30-22:00；以上供应时间均需按时提供免费送餐服务，特殊原因不能按时送餐的情况需提前告知管理方。</w:t>
      </w:r>
    </w:p>
    <w:p>
      <w:pPr>
        <w:spacing w:afterLines="30" w:line="360" w:lineRule="auto"/>
        <w:ind w:firstLine="480" w:firstLineChars="20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5.3经营范围：早餐类、盒饭类、小炒类、面食、熟食、糕点、饮品、零食、特色餐品等。早餐主食种类不低于 3种，午、晚餐菜品种类不低于  6种，菜品每月须调整更新不少于20%。</w:t>
      </w:r>
    </w:p>
    <w:p>
      <w:pPr>
        <w:spacing w:afterLines="30" w:line="360" w:lineRule="auto"/>
        <w:ind w:firstLine="480" w:firstLineChars="20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6.其他要求</w:t>
      </w:r>
    </w:p>
    <w:p>
      <w:pPr>
        <w:spacing w:afterLines="30" w:line="360" w:lineRule="auto"/>
        <w:ind w:firstLine="480" w:firstLineChars="20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6.1 承包人在原材料采购中，要保证从正规渠道购进，并经过有关食品检验检疫部门的正规检验合格，严格执行国家相关法律、法规及招标人提供的相关规定。其中，肉制品的采购必须实行具有合法资质的部门定点采购，并应提供定点采购的采购点的营业执照、经营许可证、卫生许可证、检验检疫合格证等。蔬菜类材料采购必须从正规市场购入并符合国家有关食品安全方面的规定。各种主食材料（米面等）、辅料、调味品及卫生消毒用品、消耗品等必须从正规厂商或正规商场购入，指定品牌和采购渠道必须提供产品的品牌和采购点的营业执照、经营许可证、卫生许可证、检验检疫合格证等材料，保证质量、杜绝使用三无产品、假冒伪劣、过期产品。一经发现承包人在经营过程中违反上述采购规定和承诺，招标人有采用处罚措施和终止合同的权利，并根据具体情况追究相应责任。</w:t>
      </w:r>
    </w:p>
    <w:p>
      <w:pPr>
        <w:spacing w:afterLines="30" w:line="360" w:lineRule="auto"/>
        <w:ind w:firstLine="480" w:firstLineChars="20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6.2 承包人负责教育、培训和管理派驻本项目的管理及餐饮服务人员，管理及餐饮服务人员需严格遵守《中华人民共和国食品安全法》中所涉及法律、法规。如发现有违法乱纪行为，并经查实确属承包人人员所为时，承包人应严肃处理有关人员并承担全部责任。造成招标人损失的，承包人应在招标人要求的时限内承担相应赔偿责任。承包人保证所有上岗的管理及餐饮服务人员均经过岗前技能培训，包括职业道德、工作规范、服务态度、操作技能等，工作期间注意言行举止，不可与招标人职工争执，并维护招标人良好形象。</w:t>
      </w:r>
    </w:p>
    <w:p>
      <w:pPr>
        <w:spacing w:afterLines="30" w:line="360" w:lineRule="auto"/>
        <w:ind w:firstLine="480" w:firstLineChars="20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6.3 承包人负责指派身体健康、无传染病史、素质良好的专业管理及餐饮服务人员，进驻本项目。管理及餐饮服务人员必须持有本人有效的健康证（健康证申领费用自负），并须向招标人提交所有上岗人员名册及身份证明等资料备案。如有人员更换情况，须在一周内通知招标人并提交相关资料。</w:t>
      </w:r>
    </w:p>
    <w:p>
      <w:pPr>
        <w:spacing w:afterLines="30" w:line="360" w:lineRule="auto"/>
        <w:ind w:firstLine="480" w:firstLineChars="20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6.4承包方在承包期间，需提供水电暖气费用、监控及基本设备的维修及更换费用，医院仅提供场地现有设备设施，不收取房屋、设备租金。</w:t>
      </w:r>
    </w:p>
    <w:p>
      <w:pPr>
        <w:spacing w:afterLines="30" w:line="360" w:lineRule="auto"/>
        <w:ind w:firstLine="480" w:firstLineChars="20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6.5承包方需要遵守国家及招标方要求的扶贫政策，按照招标方的要求定点采购贫困地区的农副产品，完成国家精准扶贫工作任务。</w:t>
      </w:r>
    </w:p>
    <w:p>
      <w:pPr>
        <w:spacing w:afterLines="30" w:line="360" w:lineRule="auto"/>
        <w:ind w:firstLine="480" w:firstLineChars="20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6.6近三年内有同类项目案例并提供证明材料。</w:t>
      </w:r>
    </w:p>
    <w:p>
      <w:pPr>
        <w:spacing w:afterLines="30" w:line="360" w:lineRule="auto"/>
        <w:ind w:firstLine="480" w:firstLineChars="20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6.7具有应对重大突发公共卫生事件的团餐供餐经验并提供证明材料。</w:t>
      </w:r>
    </w:p>
    <w:p>
      <w:pPr>
        <w:spacing w:afterLines="30" w:line="360" w:lineRule="auto"/>
        <w:ind w:firstLine="480" w:firstLineChars="20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6.8疫情期间提供过应急餐饮服务并提供证明材料。</w:t>
      </w:r>
    </w:p>
    <w:p>
      <w:pPr>
        <w:spacing w:afterLines="30" w:line="360" w:lineRule="auto"/>
        <w:ind w:firstLine="480" w:firstLineChars="200"/>
        <w:jc w:val="left"/>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（二）服务承诺要求</w:t>
      </w:r>
    </w:p>
    <w:p>
      <w:pPr>
        <w:numPr>
          <w:ilvl w:val="0"/>
          <w:numId w:val="5"/>
        </w:numPr>
        <w:spacing w:afterLines="30" w:line="360" w:lineRule="auto"/>
        <w:ind w:firstLine="480" w:firstLineChars="20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投标人应指定专门的项目负责人与招标人保持联系，随时解决各类问题；</w:t>
      </w:r>
    </w:p>
    <w:p>
      <w:pPr>
        <w:numPr>
          <w:ilvl w:val="0"/>
          <w:numId w:val="5"/>
        </w:numPr>
        <w:spacing w:afterLines="30" w:line="360" w:lineRule="auto"/>
        <w:ind w:firstLine="480" w:firstLineChars="20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投标人须对招标文件中提出的服务内容和各项要求做出明确的承诺，说明是否可以达到相应的标准以及如何达到；</w:t>
      </w:r>
    </w:p>
    <w:p>
      <w:pPr>
        <w:numPr>
          <w:ilvl w:val="0"/>
          <w:numId w:val="5"/>
        </w:numPr>
        <w:spacing w:afterLines="30" w:line="360" w:lineRule="auto"/>
        <w:ind w:firstLine="480" w:firstLineChars="20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服务方案和相关服务承诺应提供食品菜品清单报价。内容明确，范围清楚，真实可行，否则一切后果投标人自负。</w:t>
      </w:r>
    </w:p>
    <w:p>
      <w:pPr>
        <w:spacing w:afterLines="30" w:line="360" w:lineRule="auto"/>
        <w:ind w:firstLine="480" w:firstLineChars="20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bCs/>
          <w:color w:val="auto"/>
          <w:sz w:val="24"/>
        </w:rPr>
        <w:t>（三）优惠服务</w:t>
      </w:r>
    </w:p>
    <w:p>
      <w:pPr>
        <w:numPr>
          <w:ilvl w:val="0"/>
          <w:numId w:val="6"/>
        </w:numPr>
        <w:spacing w:afterLines="30" w:line="360" w:lineRule="auto"/>
        <w:ind w:firstLine="480" w:firstLineChars="20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投标人可根据自身条件，说明可能给予招标人的优惠服务与服务项目相关的内容；</w:t>
      </w:r>
    </w:p>
    <w:p>
      <w:pPr>
        <w:numPr>
          <w:ilvl w:val="0"/>
          <w:numId w:val="6"/>
        </w:numPr>
        <w:spacing w:afterLines="30" w:line="360" w:lineRule="auto"/>
        <w:ind w:firstLine="480" w:firstLineChars="20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投标人需将承包区域内的菜品价格的优惠方式、优惠幅度等优惠措施做详细说明；</w:t>
      </w:r>
    </w:p>
    <w:p>
      <w:pPr>
        <w:numPr>
          <w:ilvl w:val="0"/>
          <w:numId w:val="6"/>
        </w:numPr>
        <w:spacing w:afterLines="30" w:line="360" w:lineRule="auto"/>
        <w:ind w:firstLine="480" w:firstLineChars="20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投标人提供的优惠服务将作为评标的一个因素。</w:t>
      </w:r>
    </w:p>
    <w:p>
      <w:pPr>
        <w:spacing w:afterLines="30" w:line="360" w:lineRule="auto"/>
        <w:ind w:firstLine="480" w:firstLineChars="200"/>
        <w:jc w:val="left"/>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（四）其他服务</w:t>
      </w:r>
    </w:p>
    <w:p>
      <w:pPr>
        <w:spacing w:line="360" w:lineRule="auto"/>
        <w:ind w:firstLine="480" w:firstLineChars="20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除招标人提出的各项服务要求外，投标人可根据业务开展情况，说明可提供的其他特色服务。</w:t>
      </w:r>
    </w:p>
    <w:p>
      <w:pPr>
        <w:spacing w:afterLines="30" w:line="360" w:lineRule="auto"/>
        <w:ind w:firstLine="480" w:firstLineChars="200"/>
        <w:jc w:val="left"/>
        <w:rPr>
          <w:rFonts w:asciiTheme="minorEastAsia" w:hAnsiTheme="minorEastAsia" w:eastAsiaTheme="minorEastAsia" w:cstheme="minorEastAsia"/>
          <w:color w:val="auto"/>
          <w:sz w:val="24"/>
          <w:highlight w:val="yellow"/>
        </w:rPr>
      </w:pPr>
    </w:p>
    <w:p>
      <w:pPr>
        <w:pStyle w:val="3"/>
        <w:spacing w:line="360" w:lineRule="auto"/>
        <w:ind w:left="210" w:leftChars="100"/>
        <w:jc w:val="center"/>
        <w:rPr>
          <w:rFonts w:asciiTheme="minorEastAsia" w:hAnsiTheme="minorEastAsia" w:eastAsiaTheme="minorEastAsia" w:cstheme="minorEastAsia"/>
          <w:bCs w:val="0"/>
          <w:color w:val="auto"/>
          <w:sz w:val="28"/>
          <w:szCs w:val="28"/>
        </w:rPr>
      </w:pPr>
      <w:r>
        <w:rPr>
          <w:rFonts w:hint="eastAsia" w:asciiTheme="minorEastAsia" w:hAnsiTheme="minorEastAsia" w:eastAsiaTheme="minorEastAsia" w:cstheme="minorEastAsia"/>
          <w:bCs w:val="0"/>
          <w:color w:val="auto"/>
          <w:sz w:val="28"/>
          <w:szCs w:val="28"/>
        </w:rPr>
        <w:t>第四章  合同条款(仅供参考)</w:t>
      </w:r>
    </w:p>
    <w:p>
      <w:pPr>
        <w:spacing w:line="360" w:lineRule="auto"/>
        <w:ind w:firstLine="482" w:firstLineChars="200"/>
        <w:jc w:val="left"/>
        <w:outlineLvl w:val="2"/>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sz w:val="24"/>
        </w:rPr>
        <w:t>1、定义</w:t>
      </w:r>
    </w:p>
    <w:p>
      <w:pPr>
        <w:spacing w:line="360" w:lineRule="auto"/>
        <w:ind w:firstLine="480" w:firstLineChars="20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1.1“合同”系指发承包双方共同签署的、合同中载明的发承包双方所达成的协议，包括：中标通知书；合同条款；投标文件及承诺；项目采购需求；招标文件（含补充文件、修改文件）及答疑纪要；双方约定的其他所有文件等构成合同的所有文件的总称。</w:t>
      </w:r>
    </w:p>
    <w:p>
      <w:pPr>
        <w:spacing w:line="360" w:lineRule="auto"/>
        <w:ind w:firstLine="480" w:firstLineChars="20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1.2“发包人”系指克拉玛依市中心医院。</w:t>
      </w:r>
    </w:p>
    <w:p>
      <w:pPr>
        <w:spacing w:line="360" w:lineRule="auto"/>
        <w:ind w:firstLine="480" w:firstLineChars="20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1.3“承包人”系指取得中标资格，提供所需服务的中标人。</w:t>
      </w:r>
    </w:p>
    <w:p>
      <w:pPr>
        <w:spacing w:line="360" w:lineRule="auto"/>
        <w:ind w:firstLine="480" w:firstLineChars="200"/>
        <w:jc w:val="left"/>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color w:val="auto"/>
          <w:sz w:val="24"/>
        </w:rPr>
        <w:t>1.4“服务”系指合同条款、技术规范及标准、项目采购需求、本招标文件规定，成交供应商</w:t>
      </w:r>
      <w:r>
        <w:rPr>
          <w:rFonts w:hint="eastAsia" w:asciiTheme="minorEastAsia" w:hAnsiTheme="minorEastAsia" w:eastAsiaTheme="minorEastAsia" w:cstheme="minorEastAsia"/>
          <w:b/>
          <w:bCs/>
          <w:color w:val="auto"/>
          <w:sz w:val="24"/>
        </w:rPr>
        <w:t>对克拉玛依市中心医院1号（汉餐）、2号（清餐）食堂进行运营管理。</w:t>
      </w:r>
    </w:p>
    <w:p>
      <w:pPr>
        <w:pStyle w:val="32"/>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1.6“技术规范及标准”系指适用于本项目的规范及标准。当新的规范及标准颁布后以新颁布的规范及标准执行。</w:t>
      </w:r>
    </w:p>
    <w:p>
      <w:pPr>
        <w:spacing w:line="360" w:lineRule="auto"/>
        <w:ind w:firstLine="480" w:firstLineChars="20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1.7凡提及的“天、日期、星期、月份和年份”系指公历日历的日历天、日期、星期、月份和年份。</w:t>
      </w:r>
    </w:p>
    <w:p>
      <w:pPr>
        <w:spacing w:line="360" w:lineRule="auto"/>
        <w:ind w:firstLine="482" w:firstLineChars="200"/>
        <w:jc w:val="left"/>
        <w:outlineLvl w:val="2"/>
        <w:rPr>
          <w:rFonts w:asciiTheme="minorEastAsia" w:hAnsiTheme="minorEastAsia" w:eastAsiaTheme="minorEastAsia" w:cstheme="minorEastAsia"/>
          <w:b/>
          <w:color w:val="auto"/>
          <w:sz w:val="24"/>
        </w:rPr>
      </w:pPr>
      <w:bookmarkStart w:id="156" w:name="_Toc246216233"/>
      <w:r>
        <w:rPr>
          <w:rFonts w:hint="eastAsia" w:asciiTheme="minorEastAsia" w:hAnsiTheme="minorEastAsia" w:eastAsiaTheme="minorEastAsia" w:cstheme="minorEastAsia"/>
          <w:b/>
          <w:color w:val="auto"/>
          <w:sz w:val="24"/>
        </w:rPr>
        <w:t>2、适用范围</w:t>
      </w:r>
      <w:bookmarkEnd w:id="156"/>
    </w:p>
    <w:p>
      <w:pPr>
        <w:spacing w:line="360" w:lineRule="auto"/>
        <w:ind w:firstLine="480" w:firstLineChars="20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 本合同条款适用于本次克拉玛依市中心医院1号（汉餐）、2号（清餐）食堂服务外包项目。</w:t>
      </w:r>
    </w:p>
    <w:p>
      <w:pPr>
        <w:spacing w:line="360" w:lineRule="auto"/>
        <w:ind w:firstLine="482" w:firstLineChars="200"/>
        <w:jc w:val="left"/>
        <w:outlineLvl w:val="2"/>
        <w:rPr>
          <w:rFonts w:asciiTheme="minorEastAsia" w:hAnsiTheme="minorEastAsia" w:eastAsiaTheme="minorEastAsia" w:cstheme="minorEastAsia"/>
          <w:b/>
          <w:color w:val="auto"/>
          <w:sz w:val="24"/>
        </w:rPr>
      </w:pPr>
      <w:bookmarkStart w:id="157" w:name="_Toc258681731"/>
      <w:r>
        <w:rPr>
          <w:rFonts w:hint="eastAsia" w:asciiTheme="minorEastAsia" w:hAnsiTheme="minorEastAsia" w:eastAsiaTheme="minorEastAsia" w:cstheme="minorEastAsia"/>
          <w:b/>
          <w:color w:val="auto"/>
          <w:sz w:val="24"/>
        </w:rPr>
        <w:t>3、</w:t>
      </w:r>
      <w:bookmarkEnd w:id="157"/>
      <w:r>
        <w:rPr>
          <w:rFonts w:hint="eastAsia" w:asciiTheme="minorEastAsia" w:hAnsiTheme="minorEastAsia" w:eastAsiaTheme="minorEastAsia" w:cstheme="minorEastAsia"/>
          <w:b/>
          <w:color w:val="auto"/>
          <w:sz w:val="24"/>
        </w:rPr>
        <w:t>技术资料</w:t>
      </w:r>
    </w:p>
    <w:p>
      <w:pPr>
        <w:spacing w:line="360" w:lineRule="auto"/>
        <w:ind w:firstLine="480" w:firstLineChars="200"/>
        <w:jc w:val="left"/>
        <w:rPr>
          <w:rFonts w:asciiTheme="minorEastAsia" w:hAnsiTheme="minorEastAsia" w:eastAsiaTheme="minorEastAsia" w:cstheme="minorEastAsia"/>
          <w:color w:val="auto"/>
        </w:rPr>
      </w:pPr>
      <w:bookmarkStart w:id="158" w:name="_Toc258681733"/>
      <w:r>
        <w:rPr>
          <w:rFonts w:hint="eastAsia" w:asciiTheme="minorEastAsia" w:hAnsiTheme="minorEastAsia" w:eastAsiaTheme="minorEastAsia" w:cstheme="minorEastAsia"/>
          <w:color w:val="auto"/>
          <w:sz w:val="24"/>
        </w:rPr>
        <w:t>3.1承包人应准备与服务相符的技术资料。如本条款所述资料有不完整或丢失，承包人应在收到发包人通知后3日内免费另寄（送）。</w:t>
      </w:r>
    </w:p>
    <w:bookmarkEnd w:id="158"/>
    <w:p>
      <w:pPr>
        <w:spacing w:line="360" w:lineRule="auto"/>
        <w:ind w:firstLine="480"/>
        <w:outlineLvl w:val="2"/>
        <w:rPr>
          <w:rFonts w:asciiTheme="minorEastAsia" w:hAnsiTheme="minorEastAsia" w:eastAsiaTheme="minorEastAsia" w:cstheme="minorEastAsia"/>
          <w:b/>
          <w:color w:val="auto"/>
          <w:sz w:val="24"/>
        </w:rPr>
      </w:pPr>
      <w:bookmarkStart w:id="159" w:name="_Toc260246981"/>
      <w:bookmarkStart w:id="160" w:name="_Toc260247219"/>
      <w:bookmarkStart w:id="161" w:name="_Toc258681754"/>
      <w:bookmarkStart w:id="162" w:name="_Toc243904847"/>
      <w:bookmarkStart w:id="163" w:name="_Toc243905150"/>
      <w:r>
        <w:rPr>
          <w:rFonts w:hint="eastAsia" w:asciiTheme="minorEastAsia" w:hAnsiTheme="minorEastAsia" w:eastAsiaTheme="minorEastAsia" w:cstheme="minorEastAsia"/>
          <w:b/>
          <w:color w:val="auto"/>
          <w:sz w:val="24"/>
        </w:rPr>
        <w:t>4、承包人人员</w:t>
      </w:r>
      <w:bookmarkEnd w:id="159"/>
      <w:bookmarkEnd w:id="160"/>
    </w:p>
    <w:p>
      <w:pP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4.1承包人应委派有经验的人员进行服务。承包人应对服务质量负责，使其符合有关标准的要求。</w:t>
      </w:r>
    </w:p>
    <w:p>
      <w:pP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4.2如果发包人认为承包人派遣的执行本项目的有关人员不称职，将有权要求承包人更换，承包人对于发包人的此类要求应予以满足。</w:t>
      </w:r>
    </w:p>
    <w:p>
      <w:pPr>
        <w:spacing w:line="360" w:lineRule="auto"/>
        <w:ind w:firstLine="480"/>
        <w:outlineLvl w:val="2"/>
        <w:rPr>
          <w:rFonts w:asciiTheme="minorEastAsia" w:hAnsiTheme="minorEastAsia" w:eastAsiaTheme="minorEastAsia" w:cstheme="minorEastAsia"/>
          <w:b/>
          <w:color w:val="auto"/>
          <w:sz w:val="24"/>
        </w:rPr>
      </w:pPr>
      <w:bookmarkStart w:id="164" w:name="_Toc258681751"/>
      <w:r>
        <w:rPr>
          <w:rFonts w:hint="eastAsia" w:asciiTheme="minorEastAsia" w:hAnsiTheme="minorEastAsia" w:eastAsiaTheme="minorEastAsia" w:cstheme="minorEastAsia"/>
          <w:b/>
          <w:color w:val="auto"/>
          <w:sz w:val="24"/>
        </w:rPr>
        <w:t>5、违约责任</w:t>
      </w:r>
      <w:bookmarkEnd w:id="164"/>
    </w:p>
    <w:p>
      <w:pPr>
        <w:spacing w:line="360" w:lineRule="auto"/>
        <w:ind w:firstLine="482"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b/>
          <w:color w:val="auto"/>
          <w:kern w:val="0"/>
          <w:sz w:val="24"/>
        </w:rPr>
        <w:t>5.1若承包人未按本项目采购需求承担相关工作，由此造成的责任和损失由承包人自行承担。</w:t>
      </w:r>
    </w:p>
    <w:bookmarkEnd w:id="161"/>
    <w:bookmarkEnd w:id="162"/>
    <w:bookmarkEnd w:id="163"/>
    <w:p>
      <w:pPr>
        <w:spacing w:line="360" w:lineRule="auto"/>
        <w:ind w:firstLine="482" w:firstLineChars="200"/>
        <w:outlineLvl w:val="2"/>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6、不可抗力</w:t>
      </w:r>
    </w:p>
    <w:p>
      <w:pPr>
        <w:spacing w:line="360" w:lineRule="auto"/>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6.1发承包双方任一方由于受不可抗力事件的影响而不能履行合同时，履行合同的期限应予以延长，其延长的期限应相当于事件所影响的时间。不可抗力事件系指发承包双方在缔结合同时所不能预见的，并且它的发生及其后果是无法避免和无法克服的事件，诸如战争、严重火灾、洪水、台风以及其他双方商定的事件。但不包括违约或疏忽。</w:t>
      </w:r>
    </w:p>
    <w:p>
      <w:pP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6.2在不可抗力事件发生后，受不可抗力影响的一方应尽快以书面形式（如电报、传真或电传）将不可抗力的情况和原因通知对方，并于事件发生后14天内将有关当局出具的证明文件用特快专递或挂号信寄给对方审阅确认。除对方书面另行要求外，受不可抗力影响的一方应尽实际可能继续履行合同义务，并积极寻求采取合理的方案履行未受不可抗力影响的其他合同事项。</w:t>
      </w:r>
    </w:p>
    <w:p>
      <w:pP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6.3如果不可抗力事件的影响持续45天以上，双方应通过友好协商在合理的时间内达成进一步履行合同的协议。</w:t>
      </w:r>
    </w:p>
    <w:p>
      <w:pP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6.4如果因不可抗力而导致合同实施延误或不能履行合同义务的，受不可抗力影响的一方不应承担违约责任。</w:t>
      </w:r>
    </w:p>
    <w:p>
      <w:pPr>
        <w:spacing w:line="360" w:lineRule="auto"/>
        <w:ind w:firstLine="482" w:firstLineChars="200"/>
        <w:outlineLvl w:val="2"/>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7、争端的解决</w:t>
      </w:r>
    </w:p>
    <w:p>
      <w:pP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7.1发承包双方应通过友好协商，解决在执行本合同过程中所发生的或与本合同有关的一切争端。当事人不愿和解、调解或者和解、调解不成，向项目所在地人民法院提出诉讼。</w:t>
      </w:r>
    </w:p>
    <w:p>
      <w:pP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7.2在双方之间的争议尚未解决之前，如发包人以书面形式坚持要求承包人按其意见行事，则承包人应按发包人的意见执行，但由此产生的一切不良后果和责任均应有承包人承担。但承包人不能因此而故意采取可能导致不良后果的行为。</w:t>
      </w:r>
    </w:p>
    <w:p>
      <w:pPr>
        <w:spacing w:line="360" w:lineRule="auto"/>
        <w:ind w:firstLine="482" w:firstLineChars="200"/>
        <w:outlineLvl w:val="2"/>
        <w:rPr>
          <w:rFonts w:asciiTheme="minorEastAsia" w:hAnsiTheme="minorEastAsia" w:eastAsiaTheme="minorEastAsia" w:cstheme="minorEastAsia"/>
          <w:b/>
          <w:color w:val="auto"/>
          <w:sz w:val="24"/>
        </w:rPr>
      </w:pPr>
      <w:bookmarkStart w:id="165" w:name="_Toc258681755"/>
      <w:r>
        <w:rPr>
          <w:rFonts w:hint="eastAsia" w:asciiTheme="minorEastAsia" w:hAnsiTheme="minorEastAsia" w:eastAsiaTheme="minorEastAsia" w:cstheme="minorEastAsia"/>
          <w:b/>
          <w:color w:val="auto"/>
          <w:sz w:val="24"/>
        </w:rPr>
        <w:t>8、违约终止合同</w:t>
      </w:r>
      <w:bookmarkEnd w:id="165"/>
    </w:p>
    <w:p>
      <w:pP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8.1在发包人对承包人违约而采取的任何补救措施不受影响的情况下，发包人可在下列情况下向承包人发出书面通知书，提出终止部分或全部合同：</w:t>
      </w:r>
    </w:p>
    <w:p>
      <w:pP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(1)承包人未能在合同规定的限期或发包人同意延长的限期内提供服务。</w:t>
      </w:r>
    </w:p>
    <w:p>
      <w:pP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(2)承包人未能履行合同规定的其他任何义务。</w:t>
      </w:r>
    </w:p>
    <w:p>
      <w:pP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8.2如果发包人根据上述第8.1条的规定，终止了部分或全部合同，承包人应按本合同第5.1条的规定承担的违约责任。同时，承包人仍应继续执行合同中未终止的部分。</w:t>
      </w:r>
    </w:p>
    <w:p>
      <w:pP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8.3在终止合同后，发包人有权按下面方式对承包人进行处置；</w:t>
      </w:r>
    </w:p>
    <w:p>
      <w:pPr>
        <w:spacing w:line="360" w:lineRule="auto"/>
        <w:ind w:firstLine="240" w:firstLineChars="1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(1)承包人退场，并向发包人赔偿因承包人违约而造成的损失。</w:t>
      </w:r>
    </w:p>
    <w:p>
      <w:pPr>
        <w:spacing w:line="360" w:lineRule="auto"/>
        <w:ind w:firstLine="482" w:firstLineChars="200"/>
        <w:outlineLvl w:val="2"/>
        <w:rPr>
          <w:rFonts w:asciiTheme="minorEastAsia" w:hAnsiTheme="minorEastAsia" w:eastAsiaTheme="minorEastAsia" w:cstheme="minorEastAsia"/>
          <w:b/>
          <w:color w:val="auto"/>
          <w:sz w:val="24"/>
        </w:rPr>
      </w:pPr>
      <w:bookmarkStart w:id="166" w:name="_Toc258681758"/>
      <w:r>
        <w:rPr>
          <w:rFonts w:hint="eastAsia" w:asciiTheme="minorEastAsia" w:hAnsiTheme="minorEastAsia" w:eastAsiaTheme="minorEastAsia" w:cstheme="minorEastAsia"/>
          <w:b/>
          <w:color w:val="auto"/>
          <w:sz w:val="24"/>
        </w:rPr>
        <w:t>10、合同修改</w:t>
      </w:r>
      <w:bookmarkEnd w:id="166"/>
    </w:p>
    <w:p>
      <w:pPr>
        <w:spacing w:line="360" w:lineRule="auto"/>
        <w:ind w:firstLine="436" w:firstLineChars="182"/>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10.1欲对合同条款作出任何改动，均须由发承包双方签署书面的合同修改书。</w:t>
      </w:r>
    </w:p>
    <w:p>
      <w:pPr>
        <w:spacing w:line="360" w:lineRule="auto"/>
        <w:ind w:left="479" w:leftChars="228"/>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10.2 承包人的书面承诺被发包人接受后视作合同附件，与合同具有同等法律效力</w:t>
      </w:r>
      <w:bookmarkStart w:id="167" w:name="_Toc258681759"/>
      <w:r>
        <w:rPr>
          <w:rFonts w:hint="eastAsia" w:asciiTheme="minorEastAsia" w:hAnsiTheme="minorEastAsia" w:eastAsiaTheme="minorEastAsia" w:cstheme="minorEastAsia"/>
          <w:color w:val="auto"/>
          <w:sz w:val="24"/>
        </w:rPr>
        <w:t>。</w:t>
      </w:r>
    </w:p>
    <w:p>
      <w:pPr>
        <w:spacing w:line="360" w:lineRule="auto"/>
        <w:ind w:left="479" w:leftChars="228"/>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b/>
          <w:color w:val="auto"/>
          <w:sz w:val="24"/>
        </w:rPr>
        <w:t>11、转让和分包</w:t>
      </w:r>
      <w:bookmarkEnd w:id="167"/>
    </w:p>
    <w:p>
      <w:pPr>
        <w:spacing w:line="360" w:lineRule="auto"/>
        <w:ind w:firstLine="480" w:firstLineChars="200"/>
        <w:outlineLvl w:val="2"/>
        <w:rPr>
          <w:rFonts w:asciiTheme="minorEastAsia" w:hAnsiTheme="minorEastAsia" w:eastAsiaTheme="minorEastAsia" w:cstheme="minorEastAsia"/>
          <w:color w:val="auto"/>
          <w:sz w:val="24"/>
        </w:rPr>
      </w:pPr>
      <w:bookmarkStart w:id="168" w:name="_Toc258681760"/>
      <w:r>
        <w:rPr>
          <w:rFonts w:hint="eastAsia" w:asciiTheme="minorEastAsia" w:hAnsiTheme="minorEastAsia" w:eastAsiaTheme="minorEastAsia" w:cstheme="minorEastAsia"/>
          <w:color w:val="auto"/>
          <w:sz w:val="24"/>
        </w:rPr>
        <w:t>11.1本项目不允许以任何形式的转让和分包。</w:t>
      </w:r>
    </w:p>
    <w:bookmarkEnd w:id="168"/>
    <w:p>
      <w:pPr>
        <w:spacing w:line="360" w:lineRule="auto"/>
        <w:ind w:firstLine="482" w:firstLineChars="200"/>
        <w:outlineLvl w:val="2"/>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12、适用法律</w:t>
      </w:r>
    </w:p>
    <w:p>
      <w:pP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12.1本合同的适用法律为中华人民共和国的现行法律和地方法规。</w:t>
      </w:r>
    </w:p>
    <w:p>
      <w:pPr>
        <w:spacing w:line="360" w:lineRule="auto"/>
        <w:ind w:firstLine="482" w:firstLineChars="200"/>
        <w:outlineLvl w:val="2"/>
        <w:rPr>
          <w:rFonts w:asciiTheme="minorEastAsia" w:hAnsiTheme="minorEastAsia" w:eastAsiaTheme="minorEastAsia" w:cstheme="minorEastAsia"/>
          <w:b/>
          <w:color w:val="auto"/>
          <w:sz w:val="24"/>
        </w:rPr>
      </w:pPr>
      <w:bookmarkStart w:id="169" w:name="_Toc258681761"/>
      <w:bookmarkStart w:id="170" w:name="_Toc243904848"/>
      <w:bookmarkStart w:id="171" w:name="_Toc243905151"/>
      <w:r>
        <w:rPr>
          <w:rFonts w:hint="eastAsia" w:asciiTheme="minorEastAsia" w:hAnsiTheme="minorEastAsia" w:eastAsiaTheme="minorEastAsia" w:cstheme="minorEastAsia"/>
          <w:b/>
          <w:color w:val="auto"/>
          <w:sz w:val="24"/>
        </w:rPr>
        <w:t>13、适用语言和计量单位</w:t>
      </w:r>
      <w:bookmarkEnd w:id="169"/>
      <w:bookmarkEnd w:id="170"/>
      <w:bookmarkEnd w:id="171"/>
    </w:p>
    <w:p>
      <w:pP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13.1本合同的适用语言为中文，所有与本合同有关的来往函件、通知及其他文件均应使用中文。</w:t>
      </w:r>
    </w:p>
    <w:p>
      <w:pPr>
        <w:spacing w:line="360" w:lineRule="auto"/>
        <w:ind w:firstLine="120" w:firstLineChars="5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13.2承包人可以提交用其他语言(原文)打印的资料，但必须翻译成中文，当原文和译文(中文)之间存有差异和/或矛盾时，以中文为准。</w:t>
      </w:r>
    </w:p>
    <w:p>
      <w:pP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13.3除“项目采购需求”另有规定外，计量单位应使用国家标准规定的法定计量单位。</w:t>
      </w:r>
    </w:p>
    <w:p>
      <w:pPr>
        <w:spacing w:line="360" w:lineRule="auto"/>
        <w:ind w:firstLine="482" w:firstLineChars="200"/>
        <w:outlineLvl w:val="2"/>
        <w:rPr>
          <w:rFonts w:asciiTheme="minorEastAsia" w:hAnsiTheme="minorEastAsia" w:eastAsiaTheme="minorEastAsia" w:cstheme="minorEastAsia"/>
          <w:b/>
          <w:color w:val="auto"/>
          <w:sz w:val="24"/>
        </w:rPr>
      </w:pPr>
      <w:bookmarkStart w:id="172" w:name="_Toc258681763"/>
      <w:r>
        <w:rPr>
          <w:rFonts w:hint="eastAsia" w:asciiTheme="minorEastAsia" w:hAnsiTheme="minorEastAsia" w:eastAsiaTheme="minorEastAsia" w:cstheme="minorEastAsia"/>
          <w:b/>
          <w:color w:val="auto"/>
          <w:sz w:val="24"/>
        </w:rPr>
        <w:t>14、通知</w:t>
      </w:r>
      <w:bookmarkEnd w:id="172"/>
    </w:p>
    <w:p>
      <w:pP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14.1本合同一方给另一方的通知均应以书面或电报、电传或传真的形式发送，而另一方应以书面形式确认并送到对方明确的地址。</w:t>
      </w:r>
    </w:p>
    <w:p>
      <w:pP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14.2通知以送到日期或通知书的生效日期为生效日期，两者中以晚的一个日期为准。</w:t>
      </w:r>
    </w:p>
    <w:p>
      <w:pPr>
        <w:spacing w:line="360" w:lineRule="auto"/>
        <w:ind w:firstLine="482" w:firstLineChars="200"/>
        <w:outlineLvl w:val="2"/>
        <w:rPr>
          <w:rFonts w:asciiTheme="minorEastAsia" w:hAnsiTheme="minorEastAsia" w:eastAsiaTheme="minorEastAsia" w:cstheme="minorEastAsia"/>
          <w:b/>
          <w:color w:val="auto"/>
          <w:sz w:val="24"/>
        </w:rPr>
      </w:pPr>
      <w:bookmarkStart w:id="173" w:name="_Toc258681764"/>
      <w:r>
        <w:rPr>
          <w:rFonts w:hint="eastAsia" w:asciiTheme="minorEastAsia" w:hAnsiTheme="minorEastAsia" w:eastAsiaTheme="minorEastAsia" w:cstheme="minorEastAsia"/>
          <w:b/>
          <w:color w:val="auto"/>
          <w:sz w:val="24"/>
        </w:rPr>
        <w:t>15、合同文件及资料的使用</w:t>
      </w:r>
      <w:bookmarkEnd w:id="173"/>
    </w:p>
    <w:p>
      <w:pPr>
        <w:spacing w:line="360" w:lineRule="auto"/>
        <w:ind w:firstLine="48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rPr>
        <w:t>15.1除了承包人执行合同人员外，在未经发包人同意的情况下，承包人不得将合同、合同中规定、规格、计划、或承包人为上述内容向发包人提供的资料透露给任何人。承包人须在对外保密的前提下，对其工作人员提供有关情况，所提供情况仅限于执行合同必不可少的范围内。</w:t>
      </w:r>
    </w:p>
    <w:p>
      <w:pPr>
        <w:spacing w:line="360" w:lineRule="auto"/>
        <w:ind w:firstLine="48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rPr>
        <w:t>15.2除非执行合同需要，在事先未得到发包人书面同意的情况下，承包人不得使用第19.1款所列的任何文件和资料。</w:t>
      </w:r>
    </w:p>
    <w:p>
      <w:pP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15.3除合同本身以外列明的所有资料始终为发包人财产，若发包人要求，承包人应于其合同义务履行完毕后将这些资料（包括所有副本）退还发包人。</w:t>
      </w:r>
    </w:p>
    <w:p>
      <w:pPr>
        <w:spacing w:line="360" w:lineRule="auto"/>
        <w:ind w:firstLine="482" w:firstLineChars="200"/>
        <w:outlineLvl w:val="2"/>
        <w:rPr>
          <w:rFonts w:asciiTheme="minorEastAsia" w:hAnsiTheme="minorEastAsia" w:eastAsiaTheme="minorEastAsia" w:cstheme="minorEastAsia"/>
          <w:b/>
          <w:color w:val="auto"/>
          <w:sz w:val="24"/>
        </w:rPr>
      </w:pPr>
      <w:bookmarkStart w:id="174" w:name="_Toc258681765"/>
      <w:r>
        <w:rPr>
          <w:rFonts w:hint="eastAsia" w:asciiTheme="minorEastAsia" w:hAnsiTheme="minorEastAsia" w:eastAsiaTheme="minorEastAsia" w:cstheme="minorEastAsia"/>
          <w:b/>
          <w:color w:val="auto"/>
          <w:sz w:val="24"/>
        </w:rPr>
        <w:t>16、合同生效及其它</w:t>
      </w:r>
      <w:bookmarkEnd w:id="174"/>
    </w:p>
    <w:p>
      <w:pP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16.1合同正本一式贰份，发承包双方各执壹份；副本一式陆份，以满足发承包双方及相关备案部门的需求。本合同经双方法定代表人或其授权的委托代理人签署并加盖法人公章后生效。</w:t>
      </w:r>
    </w:p>
    <w:p>
      <w:pPr>
        <w:spacing w:line="360" w:lineRule="auto"/>
        <w:ind w:firstLine="480" w:firstLineChars="200"/>
        <w:rPr>
          <w:rFonts w:asciiTheme="minorEastAsia" w:hAnsiTheme="minorEastAsia" w:eastAsiaTheme="minorEastAsia" w:cstheme="minorEastAsia"/>
          <w:color w:val="auto"/>
          <w:sz w:val="24"/>
        </w:rPr>
      </w:pPr>
    </w:p>
    <w:p>
      <w:pPr>
        <w:pStyle w:val="17"/>
        <w:spacing w:line="360" w:lineRule="auto"/>
        <w:ind w:firstLine="0"/>
        <w:rPr>
          <w:rFonts w:asciiTheme="minorEastAsia" w:hAnsiTheme="minorEastAsia" w:eastAsiaTheme="minorEastAsia" w:cstheme="minorEastAsia"/>
          <w:color w:val="auto"/>
          <w:sz w:val="24"/>
          <w:szCs w:val="24"/>
        </w:rPr>
      </w:pPr>
    </w:p>
    <w:p>
      <w:pPr>
        <w:pStyle w:val="17"/>
        <w:spacing w:line="360" w:lineRule="auto"/>
        <w:ind w:firstLine="0"/>
        <w:rPr>
          <w:rFonts w:asciiTheme="minorEastAsia" w:hAnsiTheme="minorEastAsia" w:eastAsiaTheme="minorEastAsia" w:cstheme="minorEastAsia"/>
          <w:color w:val="auto"/>
          <w:sz w:val="24"/>
          <w:szCs w:val="24"/>
        </w:rPr>
      </w:pPr>
    </w:p>
    <w:p>
      <w:pPr>
        <w:pStyle w:val="3"/>
        <w:spacing w:before="0" w:after="0" w:line="360" w:lineRule="auto"/>
        <w:jc w:val="center"/>
        <w:rPr>
          <w:rFonts w:asciiTheme="minorEastAsia" w:hAnsiTheme="minorEastAsia" w:eastAsiaTheme="minorEastAsia" w:cstheme="minorEastAsia"/>
          <w:bCs w:val="0"/>
          <w:color w:val="auto"/>
          <w:sz w:val="28"/>
          <w:szCs w:val="28"/>
        </w:rPr>
      </w:pPr>
      <w:r>
        <w:rPr>
          <w:rFonts w:hint="eastAsia" w:asciiTheme="minorEastAsia" w:hAnsiTheme="minorEastAsia" w:eastAsiaTheme="minorEastAsia" w:cstheme="minorEastAsia"/>
          <w:bCs w:val="0"/>
          <w:color w:val="auto"/>
          <w:sz w:val="28"/>
          <w:szCs w:val="28"/>
        </w:rPr>
        <w:t>第五章  投标文件格式</w:t>
      </w:r>
    </w:p>
    <w:p>
      <w:pPr>
        <w:spacing w:line="360" w:lineRule="auto"/>
        <w:jc w:val="left"/>
        <w:rPr>
          <w:rFonts w:asciiTheme="minorEastAsia" w:hAnsiTheme="minorEastAsia" w:eastAsiaTheme="minorEastAsia" w:cstheme="minorEastAsia"/>
          <w:color w:val="auto"/>
          <w:sz w:val="24"/>
        </w:rPr>
      </w:pPr>
    </w:p>
    <w:p>
      <w:pPr>
        <w:pStyle w:val="4"/>
        <w:spacing w:before="0" w:after="0"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投标文件封面</w:t>
      </w:r>
    </w:p>
    <w:p>
      <w:pP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格式1   法定代表人资格证明书</w:t>
      </w:r>
    </w:p>
    <w:p>
      <w:pP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格式2   法定代表人授权委托书</w:t>
      </w:r>
    </w:p>
    <w:p>
      <w:pPr>
        <w:spacing w:line="360" w:lineRule="auto"/>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格式3   投标人基本情况表</w:t>
      </w:r>
    </w:p>
    <w:p>
      <w:pPr>
        <w:spacing w:line="360" w:lineRule="auto"/>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格式4   近三年（自2017年1月1日至今）同类项目业绩表</w:t>
      </w:r>
    </w:p>
    <w:p>
      <w:pPr>
        <w:spacing w:line="360" w:lineRule="auto"/>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 xml:space="preserve">格式5   </w:t>
      </w:r>
      <w:r>
        <w:rPr>
          <w:rFonts w:hint="eastAsia" w:asciiTheme="minorEastAsia" w:hAnsiTheme="minorEastAsia" w:eastAsiaTheme="minorEastAsia" w:cstheme="minorEastAsia"/>
          <w:color w:val="auto"/>
          <w:sz w:val="24"/>
        </w:rPr>
        <w:t>诚信声明</w:t>
      </w:r>
    </w:p>
    <w:p>
      <w:pP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格式6   </w:t>
      </w:r>
      <w:r>
        <w:rPr>
          <w:rFonts w:hint="eastAsia" w:asciiTheme="minorEastAsia" w:hAnsiTheme="minorEastAsia" w:eastAsiaTheme="minorEastAsia" w:cstheme="minorEastAsia"/>
          <w:bCs/>
          <w:color w:val="auto"/>
          <w:sz w:val="24"/>
        </w:rPr>
        <w:t>资格性/符合性自查表</w:t>
      </w:r>
    </w:p>
    <w:p>
      <w:pP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格式7   投标函</w:t>
      </w:r>
    </w:p>
    <w:p>
      <w:pP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bCs/>
          <w:color w:val="auto"/>
          <w:sz w:val="24"/>
        </w:rPr>
        <w:t xml:space="preserve">格式8   </w:t>
      </w:r>
      <w:r>
        <w:rPr>
          <w:rFonts w:hint="eastAsia" w:asciiTheme="minorEastAsia" w:hAnsiTheme="minorEastAsia" w:eastAsiaTheme="minorEastAsia" w:cstheme="minorEastAsia"/>
          <w:color w:val="auto"/>
          <w:sz w:val="24"/>
        </w:rPr>
        <w:t>商务条款偏离表</w:t>
      </w:r>
    </w:p>
    <w:p>
      <w:pPr>
        <w:spacing w:line="360" w:lineRule="auto"/>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 xml:space="preserve">格式9   </w:t>
      </w:r>
      <w:r>
        <w:rPr>
          <w:rFonts w:hint="eastAsia" w:asciiTheme="minorEastAsia" w:hAnsiTheme="minorEastAsia" w:eastAsiaTheme="minorEastAsia" w:cstheme="minorEastAsia"/>
          <w:color w:val="auto"/>
          <w:sz w:val="24"/>
        </w:rPr>
        <w:t>中小企业声明函</w:t>
      </w:r>
    </w:p>
    <w:p>
      <w:pP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格式10  </w:t>
      </w:r>
      <w:r>
        <w:rPr>
          <w:rFonts w:hint="eastAsia" w:asciiTheme="minorEastAsia" w:hAnsiTheme="minorEastAsia" w:eastAsiaTheme="minorEastAsia" w:cstheme="minorEastAsia"/>
          <w:bCs/>
          <w:color w:val="auto"/>
          <w:sz w:val="24"/>
        </w:rPr>
        <w:t>技术条款偏离表</w:t>
      </w:r>
    </w:p>
    <w:p>
      <w:pPr>
        <w:spacing w:line="360" w:lineRule="auto"/>
        <w:jc w:val="center"/>
        <w:rPr>
          <w:rFonts w:asciiTheme="minorEastAsia" w:hAnsiTheme="minorEastAsia" w:eastAsiaTheme="minorEastAsia" w:cstheme="minorEastAsia"/>
          <w:b/>
          <w:color w:val="auto"/>
          <w:sz w:val="48"/>
          <w:szCs w:val="48"/>
        </w:rPr>
      </w:pPr>
    </w:p>
    <w:p>
      <w:pPr>
        <w:spacing w:line="360" w:lineRule="auto"/>
        <w:jc w:val="center"/>
        <w:rPr>
          <w:rFonts w:asciiTheme="minorEastAsia" w:hAnsiTheme="minorEastAsia" w:eastAsiaTheme="minorEastAsia" w:cstheme="minorEastAsia"/>
          <w:b/>
          <w:color w:val="auto"/>
          <w:sz w:val="48"/>
          <w:szCs w:val="48"/>
        </w:rPr>
      </w:pPr>
    </w:p>
    <w:p>
      <w:pPr>
        <w:spacing w:line="360" w:lineRule="auto"/>
        <w:jc w:val="center"/>
        <w:rPr>
          <w:rFonts w:asciiTheme="minorEastAsia" w:hAnsiTheme="minorEastAsia" w:eastAsiaTheme="minorEastAsia" w:cstheme="minorEastAsia"/>
          <w:b/>
          <w:color w:val="auto"/>
          <w:sz w:val="48"/>
          <w:szCs w:val="48"/>
        </w:rPr>
      </w:pPr>
    </w:p>
    <w:p>
      <w:pPr>
        <w:spacing w:line="360" w:lineRule="auto"/>
        <w:jc w:val="center"/>
        <w:rPr>
          <w:rFonts w:asciiTheme="minorEastAsia" w:hAnsiTheme="minorEastAsia" w:eastAsiaTheme="minorEastAsia" w:cstheme="minorEastAsia"/>
          <w:b/>
          <w:color w:val="auto"/>
          <w:sz w:val="48"/>
          <w:szCs w:val="48"/>
        </w:rPr>
      </w:pPr>
    </w:p>
    <w:p>
      <w:pPr>
        <w:spacing w:line="360" w:lineRule="auto"/>
        <w:jc w:val="center"/>
        <w:rPr>
          <w:rFonts w:asciiTheme="minorEastAsia" w:hAnsiTheme="minorEastAsia" w:eastAsiaTheme="minorEastAsia" w:cstheme="minorEastAsia"/>
          <w:b/>
          <w:color w:val="auto"/>
          <w:sz w:val="48"/>
          <w:szCs w:val="48"/>
        </w:rPr>
      </w:pPr>
    </w:p>
    <w:p>
      <w:pPr>
        <w:spacing w:line="360" w:lineRule="auto"/>
        <w:jc w:val="center"/>
        <w:rPr>
          <w:rFonts w:asciiTheme="minorEastAsia" w:hAnsiTheme="minorEastAsia" w:eastAsiaTheme="minorEastAsia" w:cstheme="minorEastAsia"/>
          <w:b/>
          <w:color w:val="auto"/>
          <w:sz w:val="48"/>
          <w:szCs w:val="48"/>
        </w:rPr>
      </w:pPr>
    </w:p>
    <w:p>
      <w:pPr>
        <w:spacing w:line="360" w:lineRule="auto"/>
        <w:jc w:val="center"/>
        <w:rPr>
          <w:rFonts w:asciiTheme="minorEastAsia" w:hAnsiTheme="minorEastAsia" w:eastAsiaTheme="minorEastAsia" w:cstheme="minorEastAsia"/>
          <w:b/>
          <w:color w:val="auto"/>
          <w:sz w:val="48"/>
          <w:szCs w:val="48"/>
        </w:rPr>
      </w:pPr>
    </w:p>
    <w:p>
      <w:pPr>
        <w:spacing w:line="360" w:lineRule="auto"/>
        <w:jc w:val="center"/>
        <w:rPr>
          <w:rFonts w:asciiTheme="minorEastAsia" w:hAnsiTheme="minorEastAsia" w:eastAsiaTheme="minorEastAsia" w:cstheme="minorEastAsia"/>
          <w:b/>
          <w:color w:val="auto"/>
          <w:sz w:val="48"/>
          <w:szCs w:val="48"/>
        </w:rPr>
      </w:pPr>
    </w:p>
    <w:p>
      <w:pPr>
        <w:spacing w:line="360" w:lineRule="auto"/>
        <w:jc w:val="center"/>
        <w:rPr>
          <w:rFonts w:asciiTheme="minorEastAsia" w:hAnsiTheme="minorEastAsia" w:eastAsiaTheme="minorEastAsia" w:cstheme="minorEastAsia"/>
          <w:b/>
          <w:color w:val="auto"/>
          <w:sz w:val="44"/>
          <w:szCs w:val="44"/>
        </w:rPr>
      </w:pPr>
    </w:p>
    <w:p>
      <w:pPr>
        <w:spacing w:line="360" w:lineRule="auto"/>
        <w:jc w:val="center"/>
        <w:rPr>
          <w:rFonts w:asciiTheme="minorEastAsia" w:hAnsiTheme="minorEastAsia" w:eastAsiaTheme="minorEastAsia" w:cstheme="minorEastAsia"/>
          <w:b/>
          <w:color w:val="auto"/>
          <w:sz w:val="44"/>
          <w:szCs w:val="44"/>
        </w:rPr>
      </w:pPr>
    </w:p>
    <w:p>
      <w:pPr>
        <w:spacing w:line="360" w:lineRule="auto"/>
        <w:jc w:val="center"/>
        <w:rPr>
          <w:rFonts w:asciiTheme="minorEastAsia" w:hAnsiTheme="minorEastAsia" w:eastAsiaTheme="minorEastAsia" w:cstheme="minorEastAsia"/>
          <w:b/>
          <w:color w:val="auto"/>
          <w:sz w:val="52"/>
          <w:szCs w:val="52"/>
          <w:u w:val="single"/>
        </w:rPr>
      </w:pPr>
      <w:r>
        <w:rPr>
          <w:rFonts w:hint="eastAsia" w:asciiTheme="minorEastAsia" w:hAnsiTheme="minorEastAsia" w:eastAsiaTheme="minorEastAsia" w:cstheme="minorEastAsia"/>
          <w:b/>
          <w:color w:val="auto"/>
          <w:sz w:val="52"/>
          <w:szCs w:val="52"/>
        </w:rPr>
        <w:t>克拉玛依市中心医院1号（汉餐）、2号（清餐）食堂服务外包项目（标项</w:t>
      </w:r>
      <w:r>
        <w:rPr>
          <w:rFonts w:hint="eastAsia" w:asciiTheme="minorEastAsia" w:hAnsiTheme="minorEastAsia" w:eastAsiaTheme="minorEastAsia" w:cstheme="minorEastAsia"/>
          <w:b/>
          <w:color w:val="auto"/>
          <w:sz w:val="52"/>
          <w:szCs w:val="52"/>
          <w:u w:val="single"/>
        </w:rPr>
        <w:t xml:space="preserve">   </w:t>
      </w:r>
      <w:r>
        <w:rPr>
          <w:rFonts w:hint="eastAsia" w:asciiTheme="minorEastAsia" w:hAnsiTheme="minorEastAsia" w:eastAsiaTheme="minorEastAsia" w:cstheme="minorEastAsia"/>
          <w:b/>
          <w:color w:val="auto"/>
          <w:sz w:val="52"/>
          <w:szCs w:val="52"/>
        </w:rPr>
        <w:t>）</w:t>
      </w:r>
    </w:p>
    <w:p>
      <w:pPr>
        <w:spacing w:line="360" w:lineRule="auto"/>
        <w:rPr>
          <w:rFonts w:asciiTheme="minorEastAsia" w:hAnsiTheme="minorEastAsia" w:eastAsiaTheme="minorEastAsia" w:cstheme="minorEastAsia"/>
          <w:b/>
          <w:color w:val="auto"/>
          <w:sz w:val="32"/>
          <w:szCs w:val="32"/>
        </w:rPr>
      </w:pPr>
    </w:p>
    <w:p>
      <w:pPr>
        <w:spacing w:line="360" w:lineRule="auto"/>
        <w:jc w:val="center"/>
        <w:rPr>
          <w:rFonts w:asciiTheme="minorEastAsia" w:hAnsiTheme="minorEastAsia" w:eastAsiaTheme="minorEastAsia" w:cstheme="minorEastAsia"/>
          <w:b/>
          <w:color w:val="auto"/>
          <w:sz w:val="72"/>
          <w:szCs w:val="72"/>
        </w:rPr>
      </w:pPr>
    </w:p>
    <w:p>
      <w:pPr>
        <w:spacing w:line="360" w:lineRule="auto"/>
        <w:jc w:val="center"/>
        <w:rPr>
          <w:rFonts w:asciiTheme="minorEastAsia" w:hAnsiTheme="minorEastAsia" w:eastAsiaTheme="minorEastAsia" w:cstheme="minorEastAsia"/>
          <w:b/>
          <w:color w:val="auto"/>
          <w:sz w:val="72"/>
          <w:szCs w:val="72"/>
        </w:rPr>
      </w:pPr>
      <w:r>
        <w:rPr>
          <w:rFonts w:hint="eastAsia" w:asciiTheme="minorEastAsia" w:hAnsiTheme="minorEastAsia" w:eastAsiaTheme="minorEastAsia" w:cstheme="minorEastAsia"/>
          <w:b/>
          <w:color w:val="auto"/>
          <w:sz w:val="72"/>
          <w:szCs w:val="72"/>
        </w:rPr>
        <w:t>投  标  文  件</w:t>
      </w:r>
    </w:p>
    <w:p>
      <w:pPr>
        <w:spacing w:line="360" w:lineRule="auto"/>
        <w:jc w:val="center"/>
        <w:rPr>
          <w:rFonts w:asciiTheme="minorEastAsia" w:hAnsiTheme="minorEastAsia" w:eastAsiaTheme="minorEastAsia" w:cstheme="minorEastAsia"/>
          <w:b/>
          <w:color w:val="auto"/>
          <w:sz w:val="30"/>
        </w:rPr>
      </w:pPr>
      <w:r>
        <w:rPr>
          <w:rFonts w:hint="eastAsia" w:asciiTheme="minorEastAsia" w:hAnsiTheme="minorEastAsia" w:eastAsiaTheme="minorEastAsia" w:cstheme="minorEastAsia"/>
          <w:b/>
          <w:color w:val="auto"/>
          <w:sz w:val="30"/>
        </w:rPr>
        <w:t>招标文件编号：KSZXYY（ZC）2020-10</w:t>
      </w:r>
    </w:p>
    <w:p>
      <w:pPr>
        <w:spacing w:line="360" w:lineRule="auto"/>
        <w:rPr>
          <w:rFonts w:asciiTheme="minorEastAsia" w:hAnsiTheme="minorEastAsia" w:eastAsiaTheme="minorEastAsia" w:cstheme="minorEastAsia"/>
          <w:b/>
          <w:color w:val="auto"/>
          <w:sz w:val="32"/>
          <w:szCs w:val="32"/>
        </w:rPr>
      </w:pPr>
    </w:p>
    <w:p>
      <w:pPr>
        <w:spacing w:line="360" w:lineRule="auto"/>
        <w:rPr>
          <w:rFonts w:asciiTheme="minorEastAsia" w:hAnsiTheme="minorEastAsia" w:eastAsiaTheme="minorEastAsia" w:cstheme="minorEastAsia"/>
          <w:b/>
          <w:color w:val="auto"/>
          <w:sz w:val="32"/>
          <w:szCs w:val="32"/>
        </w:rPr>
      </w:pPr>
    </w:p>
    <w:p>
      <w:pPr>
        <w:spacing w:line="360" w:lineRule="auto"/>
        <w:rPr>
          <w:rFonts w:asciiTheme="minorEastAsia" w:hAnsiTheme="minorEastAsia" w:eastAsiaTheme="minorEastAsia" w:cstheme="minorEastAsia"/>
          <w:b/>
          <w:color w:val="auto"/>
          <w:sz w:val="32"/>
          <w:szCs w:val="32"/>
        </w:rPr>
      </w:pPr>
    </w:p>
    <w:p>
      <w:pPr>
        <w:spacing w:line="360" w:lineRule="auto"/>
        <w:ind w:firstLine="602"/>
        <w:rPr>
          <w:rFonts w:asciiTheme="minorEastAsia" w:hAnsiTheme="minorEastAsia" w:eastAsiaTheme="minorEastAsia" w:cstheme="minorEastAsia"/>
          <w:b/>
          <w:color w:val="auto"/>
          <w:sz w:val="30"/>
          <w:szCs w:val="30"/>
        </w:rPr>
      </w:pPr>
      <w:r>
        <w:rPr>
          <w:rFonts w:hint="eastAsia" w:asciiTheme="minorEastAsia" w:hAnsiTheme="minorEastAsia" w:eastAsiaTheme="minorEastAsia" w:cstheme="minorEastAsia"/>
          <w:b/>
          <w:color w:val="auto"/>
          <w:sz w:val="30"/>
          <w:szCs w:val="30"/>
        </w:rPr>
        <w:t>投标人： （单位名称）盖章</w:t>
      </w:r>
    </w:p>
    <w:p>
      <w:pPr>
        <w:spacing w:line="360" w:lineRule="auto"/>
        <w:rPr>
          <w:rFonts w:asciiTheme="minorEastAsia" w:hAnsiTheme="minorEastAsia" w:eastAsiaTheme="minorEastAsia" w:cstheme="minorEastAsia"/>
          <w:b/>
          <w:color w:val="auto"/>
          <w:sz w:val="30"/>
          <w:szCs w:val="30"/>
        </w:rPr>
      </w:pPr>
    </w:p>
    <w:p>
      <w:pPr>
        <w:spacing w:line="360" w:lineRule="auto"/>
        <w:ind w:firstLine="602"/>
        <w:rPr>
          <w:rFonts w:asciiTheme="minorEastAsia" w:hAnsiTheme="minorEastAsia" w:eastAsiaTheme="minorEastAsia" w:cstheme="minorEastAsia"/>
          <w:b/>
          <w:color w:val="auto"/>
          <w:sz w:val="30"/>
          <w:szCs w:val="30"/>
        </w:rPr>
      </w:pPr>
      <w:r>
        <w:rPr>
          <w:rFonts w:hint="eastAsia" w:asciiTheme="minorEastAsia" w:hAnsiTheme="minorEastAsia" w:eastAsiaTheme="minorEastAsia" w:cstheme="minorEastAsia"/>
          <w:b/>
          <w:color w:val="auto"/>
          <w:sz w:val="30"/>
          <w:szCs w:val="30"/>
        </w:rPr>
        <w:t>单位地址：</w:t>
      </w:r>
    </w:p>
    <w:p>
      <w:pPr>
        <w:spacing w:line="360" w:lineRule="auto"/>
        <w:rPr>
          <w:rFonts w:asciiTheme="minorEastAsia" w:hAnsiTheme="minorEastAsia" w:eastAsiaTheme="minorEastAsia" w:cstheme="minorEastAsia"/>
          <w:b/>
          <w:color w:val="auto"/>
          <w:sz w:val="30"/>
          <w:szCs w:val="30"/>
        </w:rPr>
      </w:pPr>
    </w:p>
    <w:p>
      <w:pPr>
        <w:pStyle w:val="32"/>
        <w:spacing w:line="360" w:lineRule="auto"/>
        <w:ind w:firstLine="596" w:firstLineChars="198"/>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b/>
          <w:color w:val="auto"/>
          <w:sz w:val="30"/>
          <w:szCs w:val="30"/>
        </w:rPr>
        <w:t>联系人：                   联系电话：</w:t>
      </w:r>
    </w:p>
    <w:p>
      <w:pPr>
        <w:spacing w:line="360" w:lineRule="auto"/>
        <w:rPr>
          <w:rFonts w:asciiTheme="minorEastAsia" w:hAnsiTheme="minorEastAsia" w:eastAsiaTheme="minorEastAsia" w:cstheme="minorEastAsia"/>
          <w:b/>
          <w:color w:val="auto"/>
          <w:sz w:val="24"/>
        </w:rPr>
      </w:pPr>
    </w:p>
    <w:p>
      <w:pPr>
        <w:pStyle w:val="4"/>
        <w:jc w:val="center"/>
        <w:rPr>
          <w:rFonts w:asciiTheme="minorEastAsia" w:hAnsiTheme="minorEastAsia" w:eastAsiaTheme="minorEastAsia" w:cstheme="minorEastAsia"/>
          <w:bCs w:val="0"/>
          <w:color w:val="auto"/>
          <w:sz w:val="24"/>
        </w:rPr>
      </w:pPr>
      <w:r>
        <w:rPr>
          <w:rFonts w:hint="eastAsia" w:asciiTheme="minorEastAsia" w:hAnsiTheme="minorEastAsia" w:eastAsiaTheme="minorEastAsia" w:cstheme="minorEastAsia"/>
          <w:bCs w:val="0"/>
          <w:color w:val="auto"/>
          <w:sz w:val="24"/>
        </w:rPr>
        <w:t>格式1  法定代表人资格证明书</w:t>
      </w:r>
    </w:p>
    <w:p>
      <w:pPr>
        <w:tabs>
          <w:tab w:val="left" w:pos="360"/>
          <w:tab w:val="left" w:pos="1800"/>
        </w:tabs>
        <w:spacing w:line="360" w:lineRule="auto"/>
        <w:ind w:left="540"/>
        <w:rPr>
          <w:rFonts w:asciiTheme="minorEastAsia" w:hAnsiTheme="minorEastAsia" w:eastAsiaTheme="minorEastAsia" w:cstheme="minorEastAsia"/>
          <w:bCs/>
          <w:color w:val="auto"/>
          <w:sz w:val="24"/>
        </w:rPr>
      </w:pPr>
    </w:p>
    <w:p>
      <w:pPr>
        <w:tabs>
          <w:tab w:val="left" w:pos="360"/>
          <w:tab w:val="left" w:pos="1800"/>
        </w:tabs>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单位名称：</w:t>
      </w:r>
    </w:p>
    <w:p>
      <w:pPr>
        <w:tabs>
          <w:tab w:val="left" w:pos="360"/>
          <w:tab w:val="left" w:pos="1800"/>
        </w:tabs>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地址：</w:t>
      </w:r>
    </w:p>
    <w:p>
      <w:pPr>
        <w:tabs>
          <w:tab w:val="left" w:pos="360"/>
          <w:tab w:val="left" w:pos="720"/>
          <w:tab w:val="left" w:pos="900"/>
          <w:tab w:val="left" w:pos="1800"/>
        </w:tabs>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姓名：        性别：       年龄：         职务： </w:t>
      </w:r>
    </w:p>
    <w:p>
      <w:pPr>
        <w:tabs>
          <w:tab w:val="left" w:pos="360"/>
          <w:tab w:val="left" w:pos="1800"/>
        </w:tabs>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系</w:t>
      </w:r>
      <w:r>
        <w:rPr>
          <w:rFonts w:hint="eastAsia" w:asciiTheme="minorEastAsia" w:hAnsiTheme="minorEastAsia" w:eastAsiaTheme="minorEastAsia" w:cstheme="minorEastAsia"/>
          <w:color w:val="auto"/>
          <w:sz w:val="24"/>
          <w:u w:val="single"/>
        </w:rPr>
        <w:t xml:space="preserve">   （单位）   </w:t>
      </w:r>
      <w:r>
        <w:rPr>
          <w:rFonts w:hint="eastAsia" w:asciiTheme="minorEastAsia" w:hAnsiTheme="minorEastAsia" w:eastAsiaTheme="minorEastAsia" w:cstheme="minorEastAsia"/>
          <w:color w:val="auto"/>
          <w:sz w:val="24"/>
        </w:rPr>
        <w:t>的法定代表人。为的项目，签署本项目的投标文件、进行合同谈判、签署合同和处理与之有关的一切事务。</w:t>
      </w:r>
    </w:p>
    <w:p>
      <w:pPr>
        <w:tabs>
          <w:tab w:val="left" w:pos="360"/>
          <w:tab w:val="left" w:pos="1800"/>
        </w:tabs>
        <w:spacing w:line="360" w:lineRule="auto"/>
        <w:rPr>
          <w:rFonts w:asciiTheme="minorEastAsia" w:hAnsiTheme="minorEastAsia" w:eastAsiaTheme="minorEastAsia" w:cstheme="minorEastAsia"/>
          <w:color w:val="auto"/>
          <w:sz w:val="24"/>
        </w:rPr>
      </w:pPr>
    </w:p>
    <w:p>
      <w:pPr>
        <w:tabs>
          <w:tab w:val="left" w:pos="360"/>
          <w:tab w:val="left" w:pos="1800"/>
        </w:tabs>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特此证明。</w:t>
      </w:r>
    </w:p>
    <w:p>
      <w:pPr>
        <w:tabs>
          <w:tab w:val="left" w:pos="360"/>
          <w:tab w:val="left" w:pos="1800"/>
        </w:tabs>
        <w:spacing w:line="360" w:lineRule="auto"/>
        <w:ind w:left="45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投标人：（盖章）</w:t>
      </w:r>
    </w:p>
    <w:p>
      <w:pPr>
        <w:tabs>
          <w:tab w:val="left" w:pos="360"/>
          <w:tab w:val="left" w:pos="1800"/>
        </w:tabs>
        <w:spacing w:line="360" w:lineRule="auto"/>
        <w:ind w:left="45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日期：    年   月   日</w:t>
      </w:r>
    </w:p>
    <w:p>
      <w:pPr>
        <w:tabs>
          <w:tab w:val="left" w:pos="360"/>
          <w:tab w:val="left" w:pos="1800"/>
        </w:tabs>
        <w:spacing w:line="360" w:lineRule="auto"/>
        <w:ind w:firstLine="6000" w:firstLineChars="2500"/>
        <w:rPr>
          <w:rFonts w:asciiTheme="minorEastAsia" w:hAnsiTheme="minorEastAsia" w:eastAsiaTheme="minorEastAsia" w:cstheme="minorEastAsia"/>
          <w:bCs/>
          <w:color w:val="auto"/>
          <w:sz w:val="24"/>
        </w:rPr>
      </w:pPr>
    </w:p>
    <w:tbl>
      <w:tblPr>
        <w:tblStyle w:val="58"/>
        <w:tblW w:w="695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6" w:hRule="atLeast"/>
          <w:jc w:val="center"/>
        </w:trPr>
        <w:tc>
          <w:tcPr>
            <w:tcW w:w="6952" w:type="dxa"/>
          </w:tcPr>
          <w:p>
            <w:pPr>
              <w:tabs>
                <w:tab w:val="left" w:pos="360"/>
                <w:tab w:val="left" w:pos="1800"/>
              </w:tabs>
              <w:spacing w:line="480" w:lineRule="auto"/>
              <w:jc w:val="center"/>
              <w:rPr>
                <w:rFonts w:asciiTheme="minorEastAsia" w:hAnsiTheme="minorEastAsia" w:eastAsiaTheme="minorEastAsia" w:cstheme="minorEastAsia"/>
                <w:color w:val="auto"/>
                <w:sz w:val="24"/>
              </w:rPr>
            </w:pPr>
          </w:p>
          <w:p>
            <w:pPr>
              <w:tabs>
                <w:tab w:val="left" w:pos="360"/>
                <w:tab w:val="left" w:pos="1800"/>
              </w:tabs>
              <w:spacing w:line="480" w:lineRule="auto"/>
              <w:jc w:val="center"/>
              <w:rPr>
                <w:rFonts w:asciiTheme="minorEastAsia" w:hAnsiTheme="minorEastAsia" w:eastAsiaTheme="minorEastAsia" w:cstheme="minorEastAsia"/>
                <w:color w:val="auto"/>
                <w:sz w:val="24"/>
              </w:rPr>
            </w:pPr>
          </w:p>
          <w:p>
            <w:pPr>
              <w:tabs>
                <w:tab w:val="left" w:pos="360"/>
                <w:tab w:val="left" w:pos="1800"/>
              </w:tabs>
              <w:spacing w:line="48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法定代表人身份证复印件或扫描件（正、反两面）</w:t>
            </w:r>
          </w:p>
        </w:tc>
      </w:tr>
    </w:tbl>
    <w:p>
      <w:pPr>
        <w:tabs>
          <w:tab w:val="left" w:pos="360"/>
          <w:tab w:val="left" w:pos="1800"/>
        </w:tabs>
        <w:spacing w:line="480" w:lineRule="exact"/>
        <w:jc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注：法定代表人身份证复印件或扫描件应反映出证件有效期等所载内容。</w:t>
      </w:r>
    </w:p>
    <w:p>
      <w:pPr>
        <w:tabs>
          <w:tab w:val="left" w:pos="360"/>
          <w:tab w:val="left" w:pos="1800"/>
        </w:tabs>
        <w:spacing w:line="480" w:lineRule="exact"/>
        <w:ind w:left="1980" w:firstLine="1080"/>
        <w:rPr>
          <w:rFonts w:asciiTheme="minorEastAsia" w:hAnsiTheme="minorEastAsia" w:eastAsiaTheme="minorEastAsia" w:cstheme="minorEastAsia"/>
          <w:bCs/>
          <w:color w:val="auto"/>
          <w:sz w:val="24"/>
        </w:rPr>
      </w:pPr>
    </w:p>
    <w:p>
      <w:pPr>
        <w:tabs>
          <w:tab w:val="left" w:pos="360"/>
          <w:tab w:val="left" w:pos="1800"/>
        </w:tabs>
        <w:spacing w:line="360" w:lineRule="auto"/>
        <w:rPr>
          <w:rFonts w:asciiTheme="minorEastAsia" w:hAnsiTheme="minorEastAsia" w:eastAsiaTheme="minorEastAsia" w:cstheme="minorEastAsia"/>
          <w:bCs/>
          <w:color w:val="auto"/>
          <w:sz w:val="24"/>
        </w:rPr>
      </w:pPr>
    </w:p>
    <w:p>
      <w:pPr>
        <w:tabs>
          <w:tab w:val="left" w:pos="360"/>
          <w:tab w:val="left" w:pos="1800"/>
        </w:tabs>
        <w:spacing w:line="360" w:lineRule="auto"/>
        <w:rPr>
          <w:rFonts w:asciiTheme="minorEastAsia" w:hAnsiTheme="minorEastAsia" w:eastAsiaTheme="minorEastAsia" w:cstheme="minorEastAsia"/>
          <w:bCs/>
          <w:color w:val="auto"/>
          <w:sz w:val="24"/>
        </w:rPr>
      </w:pPr>
    </w:p>
    <w:p>
      <w:pPr>
        <w:tabs>
          <w:tab w:val="left" w:pos="360"/>
          <w:tab w:val="left" w:pos="1800"/>
        </w:tabs>
        <w:spacing w:line="360" w:lineRule="auto"/>
        <w:rPr>
          <w:rFonts w:asciiTheme="minorEastAsia" w:hAnsiTheme="minorEastAsia" w:eastAsiaTheme="minorEastAsia" w:cstheme="minorEastAsia"/>
          <w:bCs/>
          <w:color w:val="auto"/>
          <w:sz w:val="24"/>
        </w:rPr>
      </w:pPr>
    </w:p>
    <w:p>
      <w:pPr>
        <w:pStyle w:val="4"/>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格式2  法定代表人授权委托书</w:t>
      </w:r>
    </w:p>
    <w:p>
      <w:pPr>
        <w:tabs>
          <w:tab w:val="left" w:pos="360"/>
          <w:tab w:val="left" w:pos="1800"/>
        </w:tabs>
        <w:spacing w:line="360" w:lineRule="auto"/>
        <w:jc w:val="center"/>
        <w:rPr>
          <w:rFonts w:asciiTheme="minorEastAsia" w:hAnsiTheme="minorEastAsia" w:eastAsiaTheme="minorEastAsia" w:cstheme="minorEastAsia"/>
          <w:b/>
          <w:bCs/>
          <w:color w:val="auto"/>
          <w:sz w:val="24"/>
        </w:rPr>
      </w:pPr>
    </w:p>
    <w:p>
      <w:pPr>
        <w:tabs>
          <w:tab w:val="left" w:pos="360"/>
          <w:tab w:val="left" w:pos="1800"/>
        </w:tabs>
        <w:spacing w:line="480" w:lineRule="exact"/>
        <w:ind w:firstLine="480" w:firstLineChars="200"/>
        <w:rPr>
          <w:rFonts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本授权委托书声明：我</w:t>
      </w:r>
      <w:r>
        <w:rPr>
          <w:rFonts w:hint="eastAsia" w:asciiTheme="minorEastAsia" w:hAnsiTheme="minorEastAsia" w:eastAsiaTheme="minorEastAsia" w:cstheme="minorEastAsia"/>
          <w:color w:val="auto"/>
          <w:sz w:val="24"/>
          <w:u w:val="single"/>
        </w:rPr>
        <w:t xml:space="preserve">（姓名）     系（投标人名称）              </w:t>
      </w:r>
      <w:r>
        <w:rPr>
          <w:rFonts w:hint="eastAsia" w:asciiTheme="minorEastAsia" w:hAnsiTheme="minorEastAsia" w:eastAsiaTheme="minorEastAsia" w:cstheme="minorEastAsia"/>
          <w:color w:val="auto"/>
          <w:sz w:val="24"/>
        </w:rPr>
        <w:t>的法定代表人，现授权委托</w:t>
      </w:r>
      <w:r>
        <w:rPr>
          <w:rFonts w:hint="eastAsia" w:asciiTheme="minorEastAsia" w:hAnsiTheme="minorEastAsia" w:eastAsiaTheme="minorEastAsia" w:cstheme="minorEastAsia"/>
          <w:color w:val="auto"/>
          <w:sz w:val="24"/>
          <w:u w:val="single"/>
        </w:rPr>
        <w:t xml:space="preserve">（单位名称）    </w:t>
      </w:r>
      <w:r>
        <w:rPr>
          <w:rFonts w:hint="eastAsia" w:asciiTheme="minorEastAsia" w:hAnsiTheme="minorEastAsia" w:eastAsiaTheme="minorEastAsia" w:cstheme="minorEastAsia"/>
          <w:color w:val="auto"/>
          <w:sz w:val="24"/>
        </w:rPr>
        <w:t>的</w:t>
      </w:r>
      <w:r>
        <w:rPr>
          <w:rFonts w:hint="eastAsia" w:asciiTheme="minorEastAsia" w:hAnsiTheme="minorEastAsia" w:eastAsiaTheme="minorEastAsia" w:cstheme="minorEastAsia"/>
          <w:color w:val="auto"/>
          <w:sz w:val="24"/>
          <w:u w:val="single"/>
        </w:rPr>
        <w:t xml:space="preserve">（姓名）     </w:t>
      </w:r>
      <w:r>
        <w:rPr>
          <w:rFonts w:hint="eastAsia" w:asciiTheme="minorEastAsia" w:hAnsiTheme="minorEastAsia" w:eastAsiaTheme="minorEastAsia" w:cstheme="minorEastAsia"/>
          <w:color w:val="auto"/>
          <w:sz w:val="24"/>
        </w:rPr>
        <w:t>，其身份证号为，为我公司代理人，以本公司的名义参加</w:t>
      </w:r>
      <w:r>
        <w:rPr>
          <w:rFonts w:hint="eastAsia" w:asciiTheme="minorEastAsia" w:hAnsiTheme="minorEastAsia" w:eastAsiaTheme="minorEastAsia" w:cstheme="minorEastAsia"/>
          <w:color w:val="auto"/>
          <w:sz w:val="24"/>
          <w:u w:val="single"/>
        </w:rPr>
        <w:t xml:space="preserve">（招标人）            （采购项目名称）               </w:t>
      </w:r>
      <w:r>
        <w:rPr>
          <w:rFonts w:hint="eastAsia" w:asciiTheme="minorEastAsia" w:hAnsiTheme="minorEastAsia" w:eastAsiaTheme="minorEastAsia" w:cstheme="minorEastAsia"/>
          <w:color w:val="auto"/>
          <w:sz w:val="24"/>
        </w:rPr>
        <w:t>项目的投标活动。</w:t>
      </w:r>
    </w:p>
    <w:p>
      <w:pPr>
        <w:tabs>
          <w:tab w:val="left" w:pos="360"/>
          <w:tab w:val="left" w:pos="1800"/>
        </w:tabs>
        <w:spacing w:line="48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代理人在开标、评标、合同谈判过程中所签署的一切文件和处理与之有关的一切事务，我均予以承认。</w:t>
      </w:r>
    </w:p>
    <w:p>
      <w:pPr>
        <w:tabs>
          <w:tab w:val="left" w:pos="360"/>
          <w:tab w:val="left" w:pos="1800"/>
        </w:tabs>
        <w:spacing w:line="480" w:lineRule="exact"/>
        <w:ind w:firstLine="480" w:firstLineChars="200"/>
        <w:rPr>
          <w:rFonts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本授权委托书期限自年月日起至年月日止。</w:t>
      </w:r>
    </w:p>
    <w:p>
      <w:pPr>
        <w:tabs>
          <w:tab w:val="left" w:pos="360"/>
          <w:tab w:val="left" w:pos="1800"/>
        </w:tabs>
        <w:spacing w:line="48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委托代理人无转委权。特此委托。</w:t>
      </w:r>
    </w:p>
    <w:p>
      <w:pPr>
        <w:tabs>
          <w:tab w:val="left" w:pos="360"/>
          <w:tab w:val="left" w:pos="1800"/>
        </w:tabs>
        <w:spacing w:line="48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委托代理人：            性别：           年龄：</w:t>
      </w:r>
    </w:p>
    <w:p>
      <w:pPr>
        <w:tabs>
          <w:tab w:val="left" w:pos="360"/>
          <w:tab w:val="left" w:pos="1800"/>
        </w:tabs>
        <w:spacing w:line="48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单位：                  部门：           职务：</w:t>
      </w:r>
    </w:p>
    <w:p>
      <w:pPr>
        <w:tabs>
          <w:tab w:val="left" w:pos="360"/>
          <w:tab w:val="left" w:pos="1800"/>
        </w:tabs>
        <w:spacing w:line="480" w:lineRule="exact"/>
        <w:ind w:firstLine="36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投标人：（盖章）</w:t>
      </w:r>
    </w:p>
    <w:p>
      <w:pPr>
        <w:tabs>
          <w:tab w:val="left" w:pos="360"/>
          <w:tab w:val="left" w:pos="1800"/>
        </w:tabs>
        <w:spacing w:line="480" w:lineRule="exact"/>
        <w:ind w:firstLine="36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法定代表人：（签字或盖章）</w:t>
      </w:r>
    </w:p>
    <w:p>
      <w:pPr>
        <w:tabs>
          <w:tab w:val="left" w:pos="360"/>
          <w:tab w:val="left" w:pos="1800"/>
        </w:tabs>
        <w:spacing w:line="480" w:lineRule="exact"/>
        <w:ind w:firstLine="36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委托代理人：（签字或盖章）</w:t>
      </w:r>
    </w:p>
    <w:p>
      <w:pPr>
        <w:tabs>
          <w:tab w:val="left" w:pos="360"/>
          <w:tab w:val="left" w:pos="1800"/>
        </w:tabs>
        <w:spacing w:line="480" w:lineRule="exact"/>
        <w:ind w:firstLine="36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日期：      年     月     日</w:t>
      </w:r>
    </w:p>
    <w:p>
      <w:pPr>
        <w:tabs>
          <w:tab w:val="left" w:pos="360"/>
          <w:tab w:val="left" w:pos="1800"/>
        </w:tabs>
        <w:spacing w:line="480" w:lineRule="exact"/>
        <w:ind w:firstLine="3600"/>
        <w:rPr>
          <w:rFonts w:asciiTheme="minorEastAsia" w:hAnsiTheme="minorEastAsia" w:eastAsiaTheme="minorEastAsia" w:cstheme="minorEastAsia"/>
          <w:color w:val="auto"/>
          <w:sz w:val="24"/>
        </w:rPr>
      </w:pPr>
    </w:p>
    <w:tbl>
      <w:tblPr>
        <w:tblStyle w:val="58"/>
        <w:tblW w:w="695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9" w:hRule="atLeast"/>
          <w:jc w:val="center"/>
        </w:trPr>
        <w:tc>
          <w:tcPr>
            <w:tcW w:w="6952" w:type="dxa"/>
          </w:tcPr>
          <w:p>
            <w:pPr>
              <w:tabs>
                <w:tab w:val="left" w:pos="360"/>
                <w:tab w:val="left" w:pos="1800"/>
              </w:tabs>
              <w:spacing w:line="480" w:lineRule="auto"/>
              <w:jc w:val="center"/>
              <w:rPr>
                <w:rFonts w:asciiTheme="minorEastAsia" w:hAnsiTheme="minorEastAsia" w:eastAsiaTheme="minorEastAsia" w:cstheme="minorEastAsia"/>
                <w:color w:val="auto"/>
                <w:sz w:val="24"/>
              </w:rPr>
            </w:pPr>
          </w:p>
          <w:p>
            <w:pPr>
              <w:tabs>
                <w:tab w:val="left" w:pos="360"/>
                <w:tab w:val="left" w:pos="1800"/>
              </w:tabs>
              <w:spacing w:line="480" w:lineRule="auto"/>
              <w:jc w:val="center"/>
              <w:rPr>
                <w:rFonts w:asciiTheme="minorEastAsia" w:hAnsiTheme="minorEastAsia" w:eastAsiaTheme="minorEastAsia" w:cstheme="minorEastAsia"/>
                <w:color w:val="auto"/>
                <w:sz w:val="24"/>
              </w:rPr>
            </w:pPr>
          </w:p>
          <w:p>
            <w:pPr>
              <w:tabs>
                <w:tab w:val="left" w:pos="360"/>
                <w:tab w:val="left" w:pos="1800"/>
              </w:tabs>
              <w:spacing w:line="48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委托代理人身份证复印件或扫描件（正、反两面）</w:t>
            </w:r>
          </w:p>
        </w:tc>
      </w:tr>
    </w:tbl>
    <w:p>
      <w:pPr>
        <w:tabs>
          <w:tab w:val="left" w:pos="360"/>
          <w:tab w:val="left" w:pos="1800"/>
        </w:tabs>
        <w:spacing w:line="480" w:lineRule="exact"/>
        <w:ind w:firstLine="482" w:firstLineChars="200"/>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注：委托代理人身份证复印件或扫描件应反映出证件有效期等所载内容，</w:t>
      </w:r>
      <w:r>
        <w:rPr>
          <w:rFonts w:hint="eastAsia" w:asciiTheme="minorEastAsia" w:hAnsiTheme="minorEastAsia" w:eastAsiaTheme="minorEastAsia" w:cstheme="minorEastAsia"/>
          <w:b/>
          <w:color w:val="auto"/>
          <w:sz w:val="24"/>
        </w:rPr>
        <w:t>作为本</w:t>
      </w:r>
      <w:r>
        <w:rPr>
          <w:rFonts w:hint="eastAsia" w:asciiTheme="minorEastAsia" w:hAnsiTheme="minorEastAsia" w:eastAsiaTheme="minorEastAsia" w:cstheme="minorEastAsia"/>
          <w:b/>
          <w:bCs/>
          <w:color w:val="auto"/>
          <w:sz w:val="24"/>
        </w:rPr>
        <w:t>法定代表人授权书的附件。</w:t>
      </w:r>
    </w:p>
    <w:p>
      <w:pPr>
        <w:spacing w:line="360" w:lineRule="auto"/>
        <w:ind w:firstLine="573"/>
        <w:jc w:val="center"/>
        <w:rPr>
          <w:rFonts w:asciiTheme="minorEastAsia" w:hAnsiTheme="minorEastAsia" w:eastAsiaTheme="minorEastAsia" w:cstheme="minorEastAsia"/>
          <w:b/>
          <w:bCs/>
          <w:color w:val="auto"/>
          <w:sz w:val="24"/>
        </w:rPr>
      </w:pPr>
    </w:p>
    <w:p>
      <w:pPr>
        <w:pStyle w:val="32"/>
        <w:spacing w:line="360" w:lineRule="auto"/>
        <w:ind w:right="840"/>
        <w:jc w:val="center"/>
        <w:outlineLvl w:val="1"/>
        <w:rPr>
          <w:rFonts w:asciiTheme="minorEastAsia" w:hAnsiTheme="minorEastAsia" w:eastAsiaTheme="minorEastAsia" w:cstheme="minorEastAsia"/>
          <w:b/>
          <w:bCs/>
          <w:color w:val="auto"/>
          <w:sz w:val="24"/>
          <w:szCs w:val="24"/>
        </w:rPr>
      </w:pPr>
    </w:p>
    <w:p>
      <w:pPr>
        <w:pStyle w:val="32"/>
        <w:spacing w:line="360" w:lineRule="auto"/>
        <w:ind w:right="840"/>
        <w:jc w:val="center"/>
        <w:outlineLvl w:val="1"/>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格式3   投标人基本情况表</w:t>
      </w:r>
    </w:p>
    <w:tbl>
      <w:tblPr>
        <w:tblStyle w:val="58"/>
        <w:tblW w:w="9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2"/>
        <w:gridCol w:w="233"/>
        <w:gridCol w:w="1207"/>
        <w:gridCol w:w="1615"/>
        <w:gridCol w:w="1615"/>
        <w:gridCol w:w="1652"/>
        <w:gridCol w:w="1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802" w:type="dxa"/>
            <w:vAlign w:val="center"/>
          </w:tcPr>
          <w:p>
            <w:pPr>
              <w:spacing w:line="460" w:lineRule="exact"/>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投标人名称</w:t>
            </w:r>
          </w:p>
        </w:tc>
        <w:tc>
          <w:tcPr>
            <w:tcW w:w="7998" w:type="dxa"/>
            <w:gridSpan w:val="6"/>
            <w:vAlign w:val="center"/>
          </w:tcPr>
          <w:p>
            <w:pPr>
              <w:spacing w:line="460" w:lineRule="exact"/>
              <w:rPr>
                <w:rFonts w:asciiTheme="minorEastAsia" w:hAnsiTheme="minorEastAsia" w:eastAsiaTheme="minorEastAsia" w:cstheme="minorEastAsia"/>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802" w:type="dxa"/>
            <w:vAlign w:val="center"/>
          </w:tcPr>
          <w:p>
            <w:pPr>
              <w:spacing w:line="460" w:lineRule="exact"/>
              <w:ind w:firstLine="210" w:firstLineChars="1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地 址</w:t>
            </w:r>
          </w:p>
        </w:tc>
        <w:tc>
          <w:tcPr>
            <w:tcW w:w="7998" w:type="dxa"/>
            <w:gridSpan w:val="6"/>
            <w:vAlign w:val="center"/>
          </w:tcPr>
          <w:p>
            <w:pPr>
              <w:spacing w:line="460" w:lineRule="exact"/>
              <w:rPr>
                <w:rFonts w:asciiTheme="minorEastAsia" w:hAnsiTheme="minorEastAsia" w:eastAsiaTheme="minorEastAsia" w:cstheme="minorEastAsia"/>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2" w:type="dxa"/>
            <w:vAlign w:val="center"/>
          </w:tcPr>
          <w:p>
            <w:pPr>
              <w:spacing w:line="460" w:lineRule="exact"/>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主管部门</w:t>
            </w:r>
          </w:p>
        </w:tc>
        <w:tc>
          <w:tcPr>
            <w:tcW w:w="1440" w:type="dxa"/>
            <w:gridSpan w:val="2"/>
            <w:vAlign w:val="center"/>
          </w:tcPr>
          <w:p>
            <w:pPr>
              <w:spacing w:line="460" w:lineRule="exact"/>
              <w:rPr>
                <w:rFonts w:asciiTheme="minorEastAsia" w:hAnsiTheme="minorEastAsia" w:eastAsiaTheme="minorEastAsia" w:cstheme="minorEastAsia"/>
                <w:bCs/>
                <w:color w:val="auto"/>
                <w:szCs w:val="21"/>
              </w:rPr>
            </w:pPr>
          </w:p>
        </w:tc>
        <w:tc>
          <w:tcPr>
            <w:tcW w:w="1615" w:type="dxa"/>
            <w:vAlign w:val="center"/>
          </w:tcPr>
          <w:p>
            <w:pPr>
              <w:spacing w:line="460" w:lineRule="exact"/>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法定代表人</w:t>
            </w:r>
          </w:p>
        </w:tc>
        <w:tc>
          <w:tcPr>
            <w:tcW w:w="1615" w:type="dxa"/>
            <w:vAlign w:val="center"/>
          </w:tcPr>
          <w:p>
            <w:pPr>
              <w:spacing w:line="460" w:lineRule="exact"/>
              <w:rPr>
                <w:rFonts w:asciiTheme="minorEastAsia" w:hAnsiTheme="minorEastAsia" w:eastAsiaTheme="minorEastAsia" w:cstheme="minorEastAsia"/>
                <w:bCs/>
                <w:color w:val="auto"/>
                <w:szCs w:val="21"/>
              </w:rPr>
            </w:pPr>
          </w:p>
        </w:tc>
        <w:tc>
          <w:tcPr>
            <w:tcW w:w="1652" w:type="dxa"/>
            <w:vAlign w:val="center"/>
          </w:tcPr>
          <w:p>
            <w:pPr>
              <w:spacing w:line="460" w:lineRule="exact"/>
              <w:ind w:firstLine="210" w:firstLineChars="1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职 务</w:t>
            </w:r>
          </w:p>
        </w:tc>
        <w:tc>
          <w:tcPr>
            <w:tcW w:w="1676" w:type="dxa"/>
          </w:tcPr>
          <w:p>
            <w:pPr>
              <w:spacing w:line="460" w:lineRule="exact"/>
              <w:rPr>
                <w:rFonts w:asciiTheme="minorEastAsia" w:hAnsiTheme="minorEastAsia" w:eastAsiaTheme="minorEastAsia" w:cstheme="minorEastAsia"/>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802" w:type="dxa"/>
            <w:vAlign w:val="center"/>
          </w:tcPr>
          <w:p>
            <w:pPr>
              <w:spacing w:line="460" w:lineRule="exact"/>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注册时间</w:t>
            </w:r>
          </w:p>
        </w:tc>
        <w:tc>
          <w:tcPr>
            <w:tcW w:w="3055" w:type="dxa"/>
            <w:gridSpan w:val="3"/>
          </w:tcPr>
          <w:p>
            <w:pPr>
              <w:spacing w:line="460" w:lineRule="exact"/>
              <w:rPr>
                <w:rFonts w:asciiTheme="minorEastAsia" w:hAnsiTheme="minorEastAsia" w:eastAsiaTheme="minorEastAsia" w:cstheme="minorEastAsia"/>
                <w:bCs/>
                <w:color w:val="auto"/>
                <w:szCs w:val="21"/>
              </w:rPr>
            </w:pPr>
          </w:p>
        </w:tc>
        <w:tc>
          <w:tcPr>
            <w:tcW w:w="1615" w:type="dxa"/>
          </w:tcPr>
          <w:p>
            <w:pPr>
              <w:spacing w:line="460" w:lineRule="exact"/>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经济类型</w:t>
            </w:r>
          </w:p>
        </w:tc>
        <w:tc>
          <w:tcPr>
            <w:tcW w:w="3328" w:type="dxa"/>
            <w:gridSpan w:val="2"/>
          </w:tcPr>
          <w:p>
            <w:pPr>
              <w:spacing w:line="460" w:lineRule="exact"/>
              <w:rPr>
                <w:rFonts w:asciiTheme="minorEastAsia" w:hAnsiTheme="minorEastAsia" w:eastAsiaTheme="minorEastAsia" w:cstheme="minorEastAsia"/>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857" w:type="dxa"/>
            <w:gridSpan w:val="4"/>
            <w:vAlign w:val="center"/>
          </w:tcPr>
          <w:p>
            <w:pPr>
              <w:spacing w:line="460" w:lineRule="exact"/>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营业执照号</w:t>
            </w:r>
          </w:p>
        </w:tc>
        <w:tc>
          <w:tcPr>
            <w:tcW w:w="4943" w:type="dxa"/>
            <w:gridSpan w:val="3"/>
            <w:vAlign w:val="center"/>
          </w:tcPr>
          <w:p>
            <w:pPr>
              <w:spacing w:line="460" w:lineRule="exact"/>
              <w:rPr>
                <w:rFonts w:asciiTheme="minorEastAsia" w:hAnsiTheme="minorEastAsia" w:eastAsiaTheme="minorEastAsia" w:cstheme="minorEastAsia"/>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5" w:hRule="atLeast"/>
        </w:trPr>
        <w:tc>
          <w:tcPr>
            <w:tcW w:w="4857" w:type="dxa"/>
            <w:gridSpan w:val="4"/>
            <w:vAlign w:val="center"/>
          </w:tcPr>
          <w:p>
            <w:pPr>
              <w:spacing w:line="460" w:lineRule="exact"/>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近三年内（2017年至2019年）有经营活动中有无重大违法纪录</w:t>
            </w:r>
          </w:p>
        </w:tc>
        <w:tc>
          <w:tcPr>
            <w:tcW w:w="4943" w:type="dxa"/>
            <w:gridSpan w:val="3"/>
            <w:vAlign w:val="center"/>
          </w:tcPr>
          <w:p>
            <w:pPr>
              <w:spacing w:line="460" w:lineRule="exact"/>
              <w:rPr>
                <w:rFonts w:asciiTheme="minorEastAsia" w:hAnsiTheme="minorEastAsia" w:eastAsiaTheme="minorEastAsia" w:cstheme="minorEastAsia"/>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trPr>
        <w:tc>
          <w:tcPr>
            <w:tcW w:w="2035" w:type="dxa"/>
            <w:gridSpan w:val="2"/>
            <w:vAlign w:val="center"/>
          </w:tcPr>
          <w:p>
            <w:pPr>
              <w:spacing w:line="460" w:lineRule="exact"/>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是否依法缴纳税收</w:t>
            </w:r>
          </w:p>
        </w:tc>
        <w:tc>
          <w:tcPr>
            <w:tcW w:w="2822" w:type="dxa"/>
            <w:gridSpan w:val="2"/>
          </w:tcPr>
          <w:p>
            <w:pPr>
              <w:spacing w:line="460" w:lineRule="exact"/>
              <w:rPr>
                <w:rFonts w:asciiTheme="minorEastAsia" w:hAnsiTheme="minorEastAsia" w:eastAsiaTheme="minorEastAsia" w:cstheme="minorEastAsia"/>
                <w:bCs/>
                <w:color w:val="auto"/>
                <w:szCs w:val="21"/>
              </w:rPr>
            </w:pPr>
          </w:p>
        </w:tc>
        <w:tc>
          <w:tcPr>
            <w:tcW w:w="1615" w:type="dxa"/>
          </w:tcPr>
          <w:p>
            <w:pPr>
              <w:spacing w:line="460" w:lineRule="exact"/>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是否依法缴纳社会保障资金</w:t>
            </w:r>
          </w:p>
        </w:tc>
        <w:tc>
          <w:tcPr>
            <w:tcW w:w="3328" w:type="dxa"/>
            <w:gridSpan w:val="2"/>
          </w:tcPr>
          <w:p>
            <w:pPr>
              <w:spacing w:line="460" w:lineRule="exact"/>
              <w:rPr>
                <w:rFonts w:asciiTheme="minorEastAsia" w:hAnsiTheme="minorEastAsia" w:eastAsiaTheme="minorEastAsia" w:cstheme="minorEastAsia"/>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35" w:type="dxa"/>
            <w:gridSpan w:val="2"/>
            <w:vMerge w:val="restart"/>
          </w:tcPr>
          <w:p>
            <w:pPr>
              <w:spacing w:line="460" w:lineRule="exact"/>
              <w:jc w:val="center"/>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单</w:t>
            </w:r>
          </w:p>
          <w:p>
            <w:pPr>
              <w:spacing w:line="460" w:lineRule="exact"/>
              <w:jc w:val="center"/>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位</w:t>
            </w:r>
          </w:p>
          <w:p>
            <w:pPr>
              <w:spacing w:line="460" w:lineRule="exact"/>
              <w:jc w:val="center"/>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概</w:t>
            </w:r>
          </w:p>
          <w:p>
            <w:pPr>
              <w:spacing w:line="460" w:lineRule="exact"/>
              <w:jc w:val="center"/>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况</w:t>
            </w:r>
          </w:p>
        </w:tc>
        <w:tc>
          <w:tcPr>
            <w:tcW w:w="1207" w:type="dxa"/>
            <w:vAlign w:val="center"/>
          </w:tcPr>
          <w:p>
            <w:pPr>
              <w:spacing w:line="460" w:lineRule="exact"/>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注册资本</w:t>
            </w:r>
          </w:p>
        </w:tc>
        <w:tc>
          <w:tcPr>
            <w:tcW w:w="1615" w:type="dxa"/>
          </w:tcPr>
          <w:p>
            <w:pPr>
              <w:spacing w:line="460" w:lineRule="exact"/>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 xml:space="preserve">     万元</w:t>
            </w:r>
          </w:p>
        </w:tc>
        <w:tc>
          <w:tcPr>
            <w:tcW w:w="1615" w:type="dxa"/>
          </w:tcPr>
          <w:p>
            <w:pPr>
              <w:spacing w:line="460" w:lineRule="exact"/>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占地面积</w:t>
            </w:r>
          </w:p>
        </w:tc>
        <w:tc>
          <w:tcPr>
            <w:tcW w:w="3328" w:type="dxa"/>
            <w:gridSpan w:val="2"/>
          </w:tcPr>
          <w:p>
            <w:pPr>
              <w:spacing w:line="460" w:lineRule="exact"/>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 xml:space="preserve">               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35" w:type="dxa"/>
            <w:gridSpan w:val="2"/>
            <w:vMerge w:val="continue"/>
          </w:tcPr>
          <w:p>
            <w:pPr>
              <w:spacing w:line="460" w:lineRule="exact"/>
              <w:rPr>
                <w:rFonts w:asciiTheme="minorEastAsia" w:hAnsiTheme="minorEastAsia" w:eastAsiaTheme="minorEastAsia" w:cstheme="minorEastAsia"/>
                <w:bCs/>
                <w:color w:val="auto"/>
                <w:szCs w:val="21"/>
              </w:rPr>
            </w:pPr>
          </w:p>
        </w:tc>
        <w:tc>
          <w:tcPr>
            <w:tcW w:w="1207" w:type="dxa"/>
            <w:vAlign w:val="center"/>
          </w:tcPr>
          <w:p>
            <w:pPr>
              <w:spacing w:line="460" w:lineRule="exact"/>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职工总数</w:t>
            </w:r>
          </w:p>
        </w:tc>
        <w:tc>
          <w:tcPr>
            <w:tcW w:w="1615" w:type="dxa"/>
          </w:tcPr>
          <w:p>
            <w:pPr>
              <w:spacing w:line="460" w:lineRule="exact"/>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 xml:space="preserve">       人</w:t>
            </w:r>
          </w:p>
        </w:tc>
        <w:tc>
          <w:tcPr>
            <w:tcW w:w="1615" w:type="dxa"/>
          </w:tcPr>
          <w:p>
            <w:pPr>
              <w:spacing w:line="460" w:lineRule="exact"/>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建筑面积</w:t>
            </w:r>
          </w:p>
        </w:tc>
        <w:tc>
          <w:tcPr>
            <w:tcW w:w="3328" w:type="dxa"/>
            <w:gridSpan w:val="2"/>
          </w:tcPr>
          <w:p>
            <w:pPr>
              <w:spacing w:line="460" w:lineRule="exact"/>
              <w:ind w:firstLine="1575" w:firstLineChars="75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35" w:type="dxa"/>
            <w:gridSpan w:val="2"/>
            <w:vMerge w:val="continue"/>
          </w:tcPr>
          <w:p>
            <w:pPr>
              <w:spacing w:line="460" w:lineRule="exact"/>
              <w:rPr>
                <w:rFonts w:asciiTheme="minorEastAsia" w:hAnsiTheme="minorEastAsia" w:eastAsiaTheme="minorEastAsia" w:cstheme="minorEastAsia"/>
                <w:bCs/>
                <w:color w:val="auto"/>
                <w:szCs w:val="21"/>
              </w:rPr>
            </w:pPr>
          </w:p>
        </w:tc>
        <w:tc>
          <w:tcPr>
            <w:tcW w:w="1207" w:type="dxa"/>
            <w:vMerge w:val="restart"/>
            <w:vAlign w:val="center"/>
          </w:tcPr>
          <w:p>
            <w:pPr>
              <w:spacing w:line="460" w:lineRule="exact"/>
              <w:ind w:firstLine="210" w:firstLineChars="1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资产</w:t>
            </w:r>
          </w:p>
          <w:p>
            <w:pPr>
              <w:spacing w:line="460" w:lineRule="exact"/>
              <w:ind w:firstLine="210" w:firstLineChars="1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情况</w:t>
            </w:r>
          </w:p>
        </w:tc>
        <w:tc>
          <w:tcPr>
            <w:tcW w:w="3230" w:type="dxa"/>
            <w:gridSpan w:val="2"/>
            <w:vAlign w:val="center"/>
          </w:tcPr>
          <w:p>
            <w:pPr>
              <w:spacing w:line="460" w:lineRule="exact"/>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净资产：        万元</w:t>
            </w:r>
          </w:p>
        </w:tc>
        <w:tc>
          <w:tcPr>
            <w:tcW w:w="3328" w:type="dxa"/>
            <w:gridSpan w:val="2"/>
            <w:vMerge w:val="restart"/>
          </w:tcPr>
          <w:p>
            <w:pPr>
              <w:spacing w:line="460" w:lineRule="exact"/>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固定资产原值 ：      万元</w:t>
            </w:r>
          </w:p>
          <w:p>
            <w:pPr>
              <w:spacing w:line="460" w:lineRule="exact"/>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35" w:type="dxa"/>
            <w:gridSpan w:val="2"/>
            <w:vMerge w:val="continue"/>
          </w:tcPr>
          <w:p>
            <w:pPr>
              <w:spacing w:line="460" w:lineRule="exact"/>
              <w:rPr>
                <w:rFonts w:asciiTheme="minorEastAsia" w:hAnsiTheme="minorEastAsia" w:eastAsiaTheme="minorEastAsia" w:cstheme="minorEastAsia"/>
                <w:bCs/>
                <w:color w:val="auto"/>
                <w:szCs w:val="21"/>
              </w:rPr>
            </w:pPr>
          </w:p>
        </w:tc>
        <w:tc>
          <w:tcPr>
            <w:tcW w:w="1207" w:type="dxa"/>
            <w:vMerge w:val="continue"/>
          </w:tcPr>
          <w:p>
            <w:pPr>
              <w:spacing w:line="460" w:lineRule="exact"/>
              <w:rPr>
                <w:rFonts w:asciiTheme="minorEastAsia" w:hAnsiTheme="minorEastAsia" w:eastAsiaTheme="minorEastAsia" w:cstheme="minorEastAsia"/>
                <w:bCs/>
                <w:color w:val="auto"/>
                <w:szCs w:val="21"/>
              </w:rPr>
            </w:pPr>
          </w:p>
        </w:tc>
        <w:tc>
          <w:tcPr>
            <w:tcW w:w="3230" w:type="dxa"/>
            <w:gridSpan w:val="2"/>
            <w:vAlign w:val="center"/>
          </w:tcPr>
          <w:p>
            <w:pPr>
              <w:spacing w:line="460" w:lineRule="exact"/>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负 债：         万元</w:t>
            </w:r>
          </w:p>
        </w:tc>
        <w:tc>
          <w:tcPr>
            <w:tcW w:w="3328" w:type="dxa"/>
            <w:gridSpan w:val="2"/>
            <w:vMerge w:val="continue"/>
          </w:tcPr>
          <w:p>
            <w:pPr>
              <w:spacing w:line="460" w:lineRule="exact"/>
              <w:rPr>
                <w:rFonts w:asciiTheme="minorEastAsia" w:hAnsiTheme="minorEastAsia" w:eastAsiaTheme="minorEastAsia" w:cstheme="minorEastAsia"/>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trPr>
        <w:tc>
          <w:tcPr>
            <w:tcW w:w="2035" w:type="dxa"/>
            <w:gridSpan w:val="2"/>
            <w:vMerge w:val="restart"/>
            <w:vAlign w:val="center"/>
          </w:tcPr>
          <w:p>
            <w:pPr>
              <w:spacing w:line="460" w:lineRule="exact"/>
              <w:ind w:firstLine="105" w:firstLineChars="5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财务状况</w:t>
            </w:r>
          </w:p>
          <w:p>
            <w:pPr>
              <w:spacing w:line="460" w:lineRule="exact"/>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（最近三年2017年至2019年）</w:t>
            </w:r>
          </w:p>
        </w:tc>
        <w:tc>
          <w:tcPr>
            <w:tcW w:w="1207" w:type="dxa"/>
          </w:tcPr>
          <w:p>
            <w:pPr>
              <w:spacing w:line="460" w:lineRule="exact"/>
              <w:jc w:val="center"/>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年份</w:t>
            </w:r>
          </w:p>
        </w:tc>
        <w:tc>
          <w:tcPr>
            <w:tcW w:w="1615" w:type="dxa"/>
            <w:vAlign w:val="center"/>
          </w:tcPr>
          <w:p>
            <w:pPr>
              <w:spacing w:line="460" w:lineRule="exact"/>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主营收入</w:t>
            </w:r>
          </w:p>
          <w:p>
            <w:pPr>
              <w:spacing w:line="460" w:lineRule="exact"/>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（万元）</w:t>
            </w:r>
          </w:p>
        </w:tc>
        <w:tc>
          <w:tcPr>
            <w:tcW w:w="1615" w:type="dxa"/>
            <w:vAlign w:val="center"/>
          </w:tcPr>
          <w:p>
            <w:pPr>
              <w:spacing w:line="460" w:lineRule="exact"/>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收入总额</w:t>
            </w:r>
          </w:p>
          <w:p>
            <w:pPr>
              <w:spacing w:line="460" w:lineRule="exact"/>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（万元）</w:t>
            </w:r>
          </w:p>
        </w:tc>
        <w:tc>
          <w:tcPr>
            <w:tcW w:w="1652" w:type="dxa"/>
            <w:vAlign w:val="center"/>
          </w:tcPr>
          <w:p>
            <w:pPr>
              <w:spacing w:line="460" w:lineRule="exact"/>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利润总额</w:t>
            </w:r>
          </w:p>
          <w:p>
            <w:pPr>
              <w:spacing w:line="460" w:lineRule="exact"/>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（万元）</w:t>
            </w:r>
          </w:p>
        </w:tc>
        <w:tc>
          <w:tcPr>
            <w:tcW w:w="1676" w:type="dxa"/>
            <w:vAlign w:val="center"/>
          </w:tcPr>
          <w:p>
            <w:pPr>
              <w:spacing w:line="460" w:lineRule="exact"/>
              <w:ind w:firstLine="210" w:firstLineChars="1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净利润</w:t>
            </w:r>
          </w:p>
          <w:p>
            <w:pPr>
              <w:spacing w:line="460" w:lineRule="exact"/>
              <w:ind w:firstLine="210" w:firstLineChars="1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35" w:type="dxa"/>
            <w:gridSpan w:val="2"/>
            <w:vMerge w:val="continue"/>
            <w:vAlign w:val="center"/>
          </w:tcPr>
          <w:p>
            <w:pPr>
              <w:spacing w:line="460" w:lineRule="exact"/>
              <w:rPr>
                <w:rFonts w:asciiTheme="minorEastAsia" w:hAnsiTheme="minorEastAsia" w:eastAsiaTheme="minorEastAsia" w:cstheme="minorEastAsia"/>
                <w:bCs/>
                <w:color w:val="auto"/>
                <w:szCs w:val="21"/>
              </w:rPr>
            </w:pPr>
          </w:p>
        </w:tc>
        <w:tc>
          <w:tcPr>
            <w:tcW w:w="1207" w:type="dxa"/>
            <w:vAlign w:val="center"/>
          </w:tcPr>
          <w:p>
            <w:pPr>
              <w:spacing w:line="460" w:lineRule="exact"/>
              <w:rPr>
                <w:rFonts w:asciiTheme="minorEastAsia" w:hAnsiTheme="minorEastAsia" w:eastAsiaTheme="minorEastAsia" w:cstheme="minorEastAsia"/>
                <w:bCs/>
                <w:color w:val="auto"/>
                <w:szCs w:val="21"/>
              </w:rPr>
            </w:pPr>
          </w:p>
        </w:tc>
        <w:tc>
          <w:tcPr>
            <w:tcW w:w="1615" w:type="dxa"/>
            <w:vAlign w:val="center"/>
          </w:tcPr>
          <w:p>
            <w:pPr>
              <w:spacing w:line="460" w:lineRule="exact"/>
              <w:rPr>
                <w:rFonts w:asciiTheme="minorEastAsia" w:hAnsiTheme="minorEastAsia" w:eastAsiaTheme="minorEastAsia" w:cstheme="minorEastAsia"/>
                <w:bCs/>
                <w:color w:val="auto"/>
                <w:szCs w:val="21"/>
              </w:rPr>
            </w:pPr>
          </w:p>
        </w:tc>
        <w:tc>
          <w:tcPr>
            <w:tcW w:w="1615" w:type="dxa"/>
            <w:vAlign w:val="center"/>
          </w:tcPr>
          <w:p>
            <w:pPr>
              <w:spacing w:line="460" w:lineRule="exact"/>
              <w:rPr>
                <w:rFonts w:asciiTheme="minorEastAsia" w:hAnsiTheme="minorEastAsia" w:eastAsiaTheme="minorEastAsia" w:cstheme="minorEastAsia"/>
                <w:bCs/>
                <w:color w:val="auto"/>
                <w:szCs w:val="21"/>
              </w:rPr>
            </w:pPr>
          </w:p>
        </w:tc>
        <w:tc>
          <w:tcPr>
            <w:tcW w:w="1652" w:type="dxa"/>
            <w:vAlign w:val="center"/>
          </w:tcPr>
          <w:p>
            <w:pPr>
              <w:spacing w:line="460" w:lineRule="exact"/>
              <w:rPr>
                <w:rFonts w:asciiTheme="minorEastAsia" w:hAnsiTheme="minorEastAsia" w:eastAsiaTheme="minorEastAsia" w:cstheme="minorEastAsia"/>
                <w:bCs/>
                <w:color w:val="auto"/>
                <w:szCs w:val="21"/>
              </w:rPr>
            </w:pPr>
          </w:p>
        </w:tc>
        <w:tc>
          <w:tcPr>
            <w:tcW w:w="1676" w:type="dxa"/>
            <w:vAlign w:val="center"/>
          </w:tcPr>
          <w:p>
            <w:pPr>
              <w:spacing w:line="460" w:lineRule="exact"/>
              <w:rPr>
                <w:rFonts w:asciiTheme="minorEastAsia" w:hAnsiTheme="minorEastAsia" w:eastAsiaTheme="minorEastAsia" w:cstheme="minorEastAsia"/>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35" w:type="dxa"/>
            <w:gridSpan w:val="2"/>
            <w:vMerge w:val="continue"/>
            <w:vAlign w:val="center"/>
          </w:tcPr>
          <w:p>
            <w:pPr>
              <w:spacing w:line="460" w:lineRule="exact"/>
              <w:rPr>
                <w:rFonts w:asciiTheme="minorEastAsia" w:hAnsiTheme="minorEastAsia" w:eastAsiaTheme="minorEastAsia" w:cstheme="minorEastAsia"/>
                <w:bCs/>
                <w:color w:val="auto"/>
                <w:szCs w:val="21"/>
              </w:rPr>
            </w:pPr>
          </w:p>
        </w:tc>
        <w:tc>
          <w:tcPr>
            <w:tcW w:w="1207" w:type="dxa"/>
            <w:vAlign w:val="center"/>
          </w:tcPr>
          <w:p>
            <w:pPr>
              <w:spacing w:line="460" w:lineRule="exact"/>
              <w:rPr>
                <w:rFonts w:asciiTheme="minorEastAsia" w:hAnsiTheme="minorEastAsia" w:eastAsiaTheme="minorEastAsia" w:cstheme="minorEastAsia"/>
                <w:bCs/>
                <w:color w:val="auto"/>
                <w:szCs w:val="21"/>
              </w:rPr>
            </w:pPr>
          </w:p>
        </w:tc>
        <w:tc>
          <w:tcPr>
            <w:tcW w:w="1615" w:type="dxa"/>
            <w:vAlign w:val="center"/>
          </w:tcPr>
          <w:p>
            <w:pPr>
              <w:spacing w:line="460" w:lineRule="exact"/>
              <w:rPr>
                <w:rFonts w:asciiTheme="minorEastAsia" w:hAnsiTheme="minorEastAsia" w:eastAsiaTheme="minorEastAsia" w:cstheme="minorEastAsia"/>
                <w:bCs/>
                <w:color w:val="auto"/>
                <w:szCs w:val="21"/>
              </w:rPr>
            </w:pPr>
          </w:p>
        </w:tc>
        <w:tc>
          <w:tcPr>
            <w:tcW w:w="1615" w:type="dxa"/>
            <w:vAlign w:val="center"/>
          </w:tcPr>
          <w:p>
            <w:pPr>
              <w:spacing w:line="460" w:lineRule="exact"/>
              <w:rPr>
                <w:rFonts w:asciiTheme="minorEastAsia" w:hAnsiTheme="minorEastAsia" w:eastAsiaTheme="minorEastAsia" w:cstheme="minorEastAsia"/>
                <w:bCs/>
                <w:color w:val="auto"/>
                <w:szCs w:val="21"/>
              </w:rPr>
            </w:pPr>
          </w:p>
        </w:tc>
        <w:tc>
          <w:tcPr>
            <w:tcW w:w="1652" w:type="dxa"/>
            <w:vAlign w:val="center"/>
          </w:tcPr>
          <w:p>
            <w:pPr>
              <w:spacing w:line="460" w:lineRule="exact"/>
              <w:rPr>
                <w:rFonts w:asciiTheme="minorEastAsia" w:hAnsiTheme="minorEastAsia" w:eastAsiaTheme="minorEastAsia" w:cstheme="minorEastAsia"/>
                <w:bCs/>
                <w:color w:val="auto"/>
                <w:szCs w:val="21"/>
              </w:rPr>
            </w:pPr>
          </w:p>
        </w:tc>
        <w:tc>
          <w:tcPr>
            <w:tcW w:w="1676" w:type="dxa"/>
            <w:vAlign w:val="center"/>
          </w:tcPr>
          <w:p>
            <w:pPr>
              <w:spacing w:line="460" w:lineRule="exact"/>
              <w:rPr>
                <w:rFonts w:asciiTheme="minorEastAsia" w:hAnsiTheme="minorEastAsia" w:eastAsiaTheme="minorEastAsia" w:cstheme="minorEastAsia"/>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35" w:type="dxa"/>
            <w:gridSpan w:val="2"/>
            <w:vMerge w:val="continue"/>
          </w:tcPr>
          <w:p>
            <w:pPr>
              <w:spacing w:line="460" w:lineRule="exact"/>
              <w:rPr>
                <w:rFonts w:asciiTheme="minorEastAsia" w:hAnsiTheme="minorEastAsia" w:eastAsiaTheme="minorEastAsia" w:cstheme="minorEastAsia"/>
                <w:bCs/>
                <w:color w:val="auto"/>
                <w:szCs w:val="21"/>
              </w:rPr>
            </w:pPr>
          </w:p>
        </w:tc>
        <w:tc>
          <w:tcPr>
            <w:tcW w:w="1207" w:type="dxa"/>
            <w:vAlign w:val="center"/>
          </w:tcPr>
          <w:p>
            <w:pPr>
              <w:spacing w:line="460" w:lineRule="exact"/>
              <w:rPr>
                <w:rFonts w:asciiTheme="minorEastAsia" w:hAnsiTheme="minorEastAsia" w:eastAsiaTheme="minorEastAsia" w:cstheme="minorEastAsia"/>
                <w:bCs/>
                <w:color w:val="auto"/>
                <w:szCs w:val="21"/>
              </w:rPr>
            </w:pPr>
          </w:p>
        </w:tc>
        <w:tc>
          <w:tcPr>
            <w:tcW w:w="1615" w:type="dxa"/>
          </w:tcPr>
          <w:p>
            <w:pPr>
              <w:spacing w:line="460" w:lineRule="exact"/>
              <w:rPr>
                <w:rFonts w:asciiTheme="minorEastAsia" w:hAnsiTheme="minorEastAsia" w:eastAsiaTheme="minorEastAsia" w:cstheme="minorEastAsia"/>
                <w:bCs/>
                <w:color w:val="auto"/>
                <w:szCs w:val="21"/>
              </w:rPr>
            </w:pPr>
          </w:p>
        </w:tc>
        <w:tc>
          <w:tcPr>
            <w:tcW w:w="1615" w:type="dxa"/>
          </w:tcPr>
          <w:p>
            <w:pPr>
              <w:spacing w:line="460" w:lineRule="exact"/>
              <w:rPr>
                <w:rFonts w:asciiTheme="minorEastAsia" w:hAnsiTheme="minorEastAsia" w:eastAsiaTheme="minorEastAsia" w:cstheme="minorEastAsia"/>
                <w:bCs/>
                <w:color w:val="auto"/>
                <w:szCs w:val="21"/>
              </w:rPr>
            </w:pPr>
          </w:p>
        </w:tc>
        <w:tc>
          <w:tcPr>
            <w:tcW w:w="1652" w:type="dxa"/>
          </w:tcPr>
          <w:p>
            <w:pPr>
              <w:spacing w:line="460" w:lineRule="exact"/>
              <w:rPr>
                <w:rFonts w:asciiTheme="minorEastAsia" w:hAnsiTheme="minorEastAsia" w:eastAsiaTheme="minorEastAsia" w:cstheme="minorEastAsia"/>
                <w:bCs/>
                <w:color w:val="auto"/>
                <w:szCs w:val="21"/>
              </w:rPr>
            </w:pPr>
          </w:p>
        </w:tc>
        <w:tc>
          <w:tcPr>
            <w:tcW w:w="1676" w:type="dxa"/>
          </w:tcPr>
          <w:p>
            <w:pPr>
              <w:spacing w:line="460" w:lineRule="exact"/>
              <w:rPr>
                <w:rFonts w:asciiTheme="minorEastAsia" w:hAnsiTheme="minorEastAsia" w:eastAsiaTheme="minorEastAsia" w:cstheme="minorEastAsia"/>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35" w:type="dxa"/>
            <w:gridSpan w:val="2"/>
          </w:tcPr>
          <w:p>
            <w:pPr>
              <w:spacing w:line="460" w:lineRule="exact"/>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经营范围</w:t>
            </w:r>
          </w:p>
        </w:tc>
        <w:tc>
          <w:tcPr>
            <w:tcW w:w="7765" w:type="dxa"/>
            <w:gridSpan w:val="5"/>
            <w:vAlign w:val="center"/>
          </w:tcPr>
          <w:p>
            <w:pPr>
              <w:spacing w:line="460" w:lineRule="exact"/>
              <w:rPr>
                <w:rFonts w:asciiTheme="minorEastAsia" w:hAnsiTheme="minorEastAsia" w:eastAsiaTheme="minorEastAsia" w:cstheme="minorEastAsia"/>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35" w:type="dxa"/>
            <w:gridSpan w:val="2"/>
          </w:tcPr>
          <w:p>
            <w:pPr>
              <w:spacing w:line="460" w:lineRule="exact"/>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 xml:space="preserve">备注 </w:t>
            </w:r>
          </w:p>
        </w:tc>
        <w:tc>
          <w:tcPr>
            <w:tcW w:w="7765" w:type="dxa"/>
            <w:gridSpan w:val="5"/>
            <w:vAlign w:val="center"/>
          </w:tcPr>
          <w:p>
            <w:pPr>
              <w:spacing w:line="460" w:lineRule="exact"/>
              <w:rPr>
                <w:rFonts w:asciiTheme="minorEastAsia" w:hAnsiTheme="minorEastAsia" w:eastAsiaTheme="minorEastAsia" w:cstheme="minorEastAsia"/>
                <w:bCs/>
                <w:color w:val="auto"/>
                <w:szCs w:val="21"/>
              </w:rPr>
            </w:pPr>
          </w:p>
        </w:tc>
      </w:tr>
    </w:tbl>
    <w:p>
      <w:pPr>
        <w:spacing w:line="460" w:lineRule="exact"/>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我们保证上述声明中的资料和数据是真实的、正确的，我们同意如贵方要求，可以出示相关证明文件。</w:t>
      </w:r>
    </w:p>
    <w:p>
      <w:pPr>
        <w:spacing w:line="460" w:lineRule="exact"/>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 xml:space="preserve">投标人（盖章）：         </w:t>
      </w:r>
    </w:p>
    <w:p>
      <w:pPr>
        <w:spacing w:line="460" w:lineRule="exact"/>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法定代表人或委托代理人（签字或盖章）：</w:t>
      </w:r>
    </w:p>
    <w:p>
      <w:pPr>
        <w:spacing w:line="460" w:lineRule="exact"/>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电话号和传真号：</w:t>
      </w:r>
    </w:p>
    <w:p>
      <w:pPr>
        <w:spacing w:line="460" w:lineRule="exact"/>
        <w:jc w:val="right"/>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日期</w:t>
      </w:r>
      <w:r>
        <w:rPr>
          <w:rFonts w:hint="eastAsia" w:asciiTheme="minorEastAsia" w:hAnsiTheme="minorEastAsia" w:eastAsiaTheme="minorEastAsia" w:cstheme="minorEastAsia"/>
          <w:bCs/>
          <w:color w:val="auto"/>
          <w:szCs w:val="21"/>
          <w:u w:val="single"/>
        </w:rPr>
        <w:t xml:space="preserve">：    </w:t>
      </w:r>
      <w:r>
        <w:rPr>
          <w:rFonts w:hint="eastAsia" w:asciiTheme="minorEastAsia" w:hAnsiTheme="minorEastAsia" w:eastAsiaTheme="minorEastAsia" w:cstheme="minorEastAsia"/>
          <w:bCs/>
          <w:color w:val="auto"/>
          <w:szCs w:val="21"/>
        </w:rPr>
        <w:t>年月日</w:t>
      </w:r>
    </w:p>
    <w:p>
      <w:pPr>
        <w:pStyle w:val="4"/>
        <w:jc w:val="cente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4"/>
          <w:szCs w:val="24"/>
        </w:rPr>
        <w:t>格式4  近三年（自2017年1月1日至今）同类项目业绩表</w:t>
      </w:r>
    </w:p>
    <w:tbl>
      <w:tblPr>
        <w:tblStyle w:val="58"/>
        <w:tblW w:w="98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0"/>
        <w:gridCol w:w="2245"/>
        <w:gridCol w:w="2245"/>
        <w:gridCol w:w="2245"/>
        <w:gridCol w:w="224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0" w:type="dxa"/>
            <w:vAlign w:val="center"/>
          </w:tcPr>
          <w:p>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序号</w:t>
            </w:r>
          </w:p>
        </w:tc>
        <w:tc>
          <w:tcPr>
            <w:tcW w:w="2245" w:type="dxa"/>
            <w:vAlign w:val="center"/>
          </w:tcPr>
          <w:p>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项目名称</w:t>
            </w:r>
          </w:p>
        </w:tc>
        <w:tc>
          <w:tcPr>
            <w:tcW w:w="2245" w:type="dxa"/>
          </w:tcPr>
          <w:p>
            <w:pPr>
              <w:spacing w:line="52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投资额</w:t>
            </w:r>
          </w:p>
        </w:tc>
        <w:tc>
          <w:tcPr>
            <w:tcW w:w="2245" w:type="dxa"/>
          </w:tcPr>
          <w:p>
            <w:pPr>
              <w:spacing w:line="52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项目描述</w:t>
            </w:r>
          </w:p>
        </w:tc>
        <w:tc>
          <w:tcPr>
            <w:tcW w:w="2245" w:type="dxa"/>
          </w:tcPr>
          <w:p>
            <w:pPr>
              <w:spacing w:line="52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项目质量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0" w:type="dxa"/>
            <w:vAlign w:val="center"/>
          </w:tcPr>
          <w:p>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w:t>
            </w:r>
          </w:p>
        </w:tc>
        <w:tc>
          <w:tcPr>
            <w:tcW w:w="2245" w:type="dxa"/>
            <w:vAlign w:val="center"/>
          </w:tcPr>
          <w:p>
            <w:pPr>
              <w:jc w:val="center"/>
              <w:rPr>
                <w:rFonts w:asciiTheme="minorEastAsia" w:hAnsiTheme="minorEastAsia" w:eastAsiaTheme="minorEastAsia" w:cstheme="minorEastAsia"/>
                <w:color w:val="auto"/>
                <w:sz w:val="24"/>
              </w:rPr>
            </w:pPr>
          </w:p>
        </w:tc>
        <w:tc>
          <w:tcPr>
            <w:tcW w:w="2245" w:type="dxa"/>
          </w:tcPr>
          <w:p>
            <w:pPr>
              <w:spacing w:line="520" w:lineRule="exact"/>
              <w:jc w:val="center"/>
              <w:rPr>
                <w:rFonts w:asciiTheme="minorEastAsia" w:hAnsiTheme="minorEastAsia" w:eastAsiaTheme="minorEastAsia" w:cstheme="minorEastAsia"/>
                <w:color w:val="auto"/>
                <w:sz w:val="24"/>
              </w:rPr>
            </w:pPr>
          </w:p>
        </w:tc>
        <w:tc>
          <w:tcPr>
            <w:tcW w:w="2245" w:type="dxa"/>
          </w:tcPr>
          <w:p>
            <w:pPr>
              <w:spacing w:line="520" w:lineRule="exact"/>
              <w:jc w:val="center"/>
              <w:rPr>
                <w:rFonts w:asciiTheme="minorEastAsia" w:hAnsiTheme="minorEastAsia" w:eastAsiaTheme="minorEastAsia" w:cstheme="minorEastAsia"/>
                <w:color w:val="auto"/>
                <w:sz w:val="24"/>
              </w:rPr>
            </w:pPr>
          </w:p>
        </w:tc>
        <w:tc>
          <w:tcPr>
            <w:tcW w:w="2245" w:type="dxa"/>
          </w:tcPr>
          <w:p>
            <w:pPr>
              <w:spacing w:line="520" w:lineRule="exact"/>
              <w:jc w:val="center"/>
              <w:rPr>
                <w:rFonts w:asciiTheme="minorEastAsia" w:hAnsiTheme="minorEastAsia" w:eastAsiaTheme="minorEastAsia" w:cstheme="minorEastAsia"/>
                <w:color w:val="auto"/>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0" w:type="dxa"/>
            <w:vAlign w:val="center"/>
          </w:tcPr>
          <w:p>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w:t>
            </w:r>
          </w:p>
        </w:tc>
        <w:tc>
          <w:tcPr>
            <w:tcW w:w="2245" w:type="dxa"/>
            <w:vAlign w:val="center"/>
          </w:tcPr>
          <w:p>
            <w:pPr>
              <w:jc w:val="center"/>
              <w:rPr>
                <w:rFonts w:asciiTheme="minorEastAsia" w:hAnsiTheme="minorEastAsia" w:eastAsiaTheme="minorEastAsia" w:cstheme="minorEastAsia"/>
                <w:color w:val="auto"/>
                <w:sz w:val="24"/>
              </w:rPr>
            </w:pPr>
          </w:p>
        </w:tc>
        <w:tc>
          <w:tcPr>
            <w:tcW w:w="2245" w:type="dxa"/>
          </w:tcPr>
          <w:p>
            <w:pPr>
              <w:spacing w:line="520" w:lineRule="exact"/>
              <w:jc w:val="center"/>
              <w:rPr>
                <w:rFonts w:asciiTheme="minorEastAsia" w:hAnsiTheme="minorEastAsia" w:eastAsiaTheme="minorEastAsia" w:cstheme="minorEastAsia"/>
                <w:color w:val="auto"/>
                <w:sz w:val="24"/>
              </w:rPr>
            </w:pPr>
          </w:p>
        </w:tc>
        <w:tc>
          <w:tcPr>
            <w:tcW w:w="2245" w:type="dxa"/>
          </w:tcPr>
          <w:p>
            <w:pPr>
              <w:spacing w:line="520" w:lineRule="exact"/>
              <w:jc w:val="center"/>
              <w:rPr>
                <w:rFonts w:asciiTheme="minorEastAsia" w:hAnsiTheme="minorEastAsia" w:eastAsiaTheme="minorEastAsia" w:cstheme="minorEastAsia"/>
                <w:color w:val="auto"/>
                <w:sz w:val="24"/>
              </w:rPr>
            </w:pPr>
          </w:p>
        </w:tc>
        <w:tc>
          <w:tcPr>
            <w:tcW w:w="2245" w:type="dxa"/>
          </w:tcPr>
          <w:p>
            <w:pPr>
              <w:spacing w:line="520" w:lineRule="exact"/>
              <w:jc w:val="center"/>
              <w:rPr>
                <w:rFonts w:asciiTheme="minorEastAsia" w:hAnsiTheme="minorEastAsia" w:eastAsiaTheme="minorEastAsia" w:cstheme="minorEastAsia"/>
                <w:color w:val="auto"/>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0" w:type="dxa"/>
            <w:vAlign w:val="center"/>
          </w:tcPr>
          <w:p>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w:t>
            </w:r>
          </w:p>
        </w:tc>
        <w:tc>
          <w:tcPr>
            <w:tcW w:w="2245" w:type="dxa"/>
            <w:vAlign w:val="center"/>
          </w:tcPr>
          <w:p>
            <w:pPr>
              <w:jc w:val="center"/>
              <w:rPr>
                <w:rFonts w:asciiTheme="minorEastAsia" w:hAnsiTheme="minorEastAsia" w:eastAsiaTheme="minorEastAsia" w:cstheme="minorEastAsia"/>
                <w:color w:val="auto"/>
                <w:sz w:val="24"/>
              </w:rPr>
            </w:pPr>
          </w:p>
        </w:tc>
        <w:tc>
          <w:tcPr>
            <w:tcW w:w="2245" w:type="dxa"/>
          </w:tcPr>
          <w:p>
            <w:pPr>
              <w:spacing w:line="520" w:lineRule="exact"/>
              <w:jc w:val="center"/>
              <w:rPr>
                <w:rFonts w:asciiTheme="minorEastAsia" w:hAnsiTheme="minorEastAsia" w:eastAsiaTheme="minorEastAsia" w:cstheme="minorEastAsia"/>
                <w:color w:val="auto"/>
                <w:sz w:val="24"/>
              </w:rPr>
            </w:pPr>
          </w:p>
        </w:tc>
        <w:tc>
          <w:tcPr>
            <w:tcW w:w="2245" w:type="dxa"/>
          </w:tcPr>
          <w:p>
            <w:pPr>
              <w:spacing w:line="520" w:lineRule="exact"/>
              <w:jc w:val="center"/>
              <w:rPr>
                <w:rFonts w:asciiTheme="minorEastAsia" w:hAnsiTheme="minorEastAsia" w:eastAsiaTheme="minorEastAsia" w:cstheme="minorEastAsia"/>
                <w:color w:val="auto"/>
                <w:sz w:val="24"/>
              </w:rPr>
            </w:pPr>
          </w:p>
        </w:tc>
        <w:tc>
          <w:tcPr>
            <w:tcW w:w="2245" w:type="dxa"/>
          </w:tcPr>
          <w:p>
            <w:pPr>
              <w:spacing w:line="520" w:lineRule="exact"/>
              <w:jc w:val="center"/>
              <w:rPr>
                <w:rFonts w:asciiTheme="minorEastAsia" w:hAnsiTheme="minorEastAsia" w:eastAsiaTheme="minorEastAsia" w:cstheme="minorEastAsia"/>
                <w:color w:val="auto"/>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0" w:type="dxa"/>
            <w:vAlign w:val="center"/>
          </w:tcPr>
          <w:p>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w:t>
            </w:r>
          </w:p>
        </w:tc>
        <w:tc>
          <w:tcPr>
            <w:tcW w:w="2245" w:type="dxa"/>
            <w:vAlign w:val="center"/>
          </w:tcPr>
          <w:p>
            <w:pPr>
              <w:jc w:val="center"/>
              <w:rPr>
                <w:rFonts w:asciiTheme="minorEastAsia" w:hAnsiTheme="minorEastAsia" w:eastAsiaTheme="minorEastAsia" w:cstheme="minorEastAsia"/>
                <w:color w:val="auto"/>
                <w:sz w:val="24"/>
              </w:rPr>
            </w:pPr>
          </w:p>
        </w:tc>
        <w:tc>
          <w:tcPr>
            <w:tcW w:w="2245" w:type="dxa"/>
          </w:tcPr>
          <w:p>
            <w:pPr>
              <w:spacing w:line="520" w:lineRule="exact"/>
              <w:jc w:val="center"/>
              <w:rPr>
                <w:rFonts w:asciiTheme="minorEastAsia" w:hAnsiTheme="minorEastAsia" w:eastAsiaTheme="minorEastAsia" w:cstheme="minorEastAsia"/>
                <w:color w:val="auto"/>
                <w:sz w:val="24"/>
              </w:rPr>
            </w:pPr>
          </w:p>
        </w:tc>
        <w:tc>
          <w:tcPr>
            <w:tcW w:w="2245" w:type="dxa"/>
          </w:tcPr>
          <w:p>
            <w:pPr>
              <w:spacing w:line="520" w:lineRule="exact"/>
              <w:jc w:val="center"/>
              <w:rPr>
                <w:rFonts w:asciiTheme="minorEastAsia" w:hAnsiTheme="minorEastAsia" w:eastAsiaTheme="minorEastAsia" w:cstheme="minorEastAsia"/>
                <w:color w:val="auto"/>
                <w:sz w:val="24"/>
              </w:rPr>
            </w:pPr>
          </w:p>
        </w:tc>
        <w:tc>
          <w:tcPr>
            <w:tcW w:w="2245" w:type="dxa"/>
          </w:tcPr>
          <w:p>
            <w:pPr>
              <w:spacing w:line="520" w:lineRule="exact"/>
              <w:jc w:val="center"/>
              <w:rPr>
                <w:rFonts w:asciiTheme="minorEastAsia" w:hAnsiTheme="minorEastAsia" w:eastAsiaTheme="minorEastAsia" w:cstheme="minorEastAsia"/>
                <w:color w:val="auto"/>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0" w:type="dxa"/>
            <w:vAlign w:val="center"/>
          </w:tcPr>
          <w:p>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w:t>
            </w:r>
          </w:p>
        </w:tc>
        <w:tc>
          <w:tcPr>
            <w:tcW w:w="2245" w:type="dxa"/>
            <w:vAlign w:val="center"/>
          </w:tcPr>
          <w:p>
            <w:pPr>
              <w:jc w:val="center"/>
              <w:rPr>
                <w:rFonts w:asciiTheme="minorEastAsia" w:hAnsiTheme="minorEastAsia" w:eastAsiaTheme="minorEastAsia" w:cstheme="minorEastAsia"/>
                <w:color w:val="auto"/>
                <w:sz w:val="24"/>
              </w:rPr>
            </w:pPr>
          </w:p>
        </w:tc>
        <w:tc>
          <w:tcPr>
            <w:tcW w:w="2245" w:type="dxa"/>
          </w:tcPr>
          <w:p>
            <w:pPr>
              <w:spacing w:line="520" w:lineRule="exact"/>
              <w:jc w:val="center"/>
              <w:rPr>
                <w:rFonts w:asciiTheme="minorEastAsia" w:hAnsiTheme="minorEastAsia" w:eastAsiaTheme="minorEastAsia" w:cstheme="minorEastAsia"/>
                <w:color w:val="auto"/>
                <w:sz w:val="24"/>
              </w:rPr>
            </w:pPr>
          </w:p>
        </w:tc>
        <w:tc>
          <w:tcPr>
            <w:tcW w:w="2245" w:type="dxa"/>
          </w:tcPr>
          <w:p>
            <w:pPr>
              <w:spacing w:line="520" w:lineRule="exact"/>
              <w:jc w:val="center"/>
              <w:rPr>
                <w:rFonts w:asciiTheme="minorEastAsia" w:hAnsiTheme="minorEastAsia" w:eastAsiaTheme="minorEastAsia" w:cstheme="minorEastAsia"/>
                <w:color w:val="auto"/>
                <w:sz w:val="24"/>
              </w:rPr>
            </w:pPr>
          </w:p>
        </w:tc>
        <w:tc>
          <w:tcPr>
            <w:tcW w:w="2245" w:type="dxa"/>
          </w:tcPr>
          <w:p>
            <w:pPr>
              <w:spacing w:line="520" w:lineRule="exact"/>
              <w:jc w:val="center"/>
              <w:rPr>
                <w:rFonts w:asciiTheme="minorEastAsia" w:hAnsiTheme="minorEastAsia" w:eastAsiaTheme="minorEastAsia" w:cstheme="minorEastAsia"/>
                <w:color w:val="auto"/>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0" w:type="dxa"/>
            <w:vAlign w:val="center"/>
          </w:tcPr>
          <w:p>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w:t>
            </w:r>
          </w:p>
        </w:tc>
        <w:tc>
          <w:tcPr>
            <w:tcW w:w="2245" w:type="dxa"/>
            <w:vAlign w:val="center"/>
          </w:tcPr>
          <w:p>
            <w:pPr>
              <w:jc w:val="center"/>
              <w:rPr>
                <w:rFonts w:asciiTheme="minorEastAsia" w:hAnsiTheme="minorEastAsia" w:eastAsiaTheme="minorEastAsia" w:cstheme="minorEastAsia"/>
                <w:color w:val="auto"/>
                <w:sz w:val="24"/>
              </w:rPr>
            </w:pPr>
          </w:p>
        </w:tc>
        <w:tc>
          <w:tcPr>
            <w:tcW w:w="2245" w:type="dxa"/>
          </w:tcPr>
          <w:p>
            <w:pPr>
              <w:spacing w:line="520" w:lineRule="exact"/>
              <w:jc w:val="center"/>
              <w:rPr>
                <w:rFonts w:asciiTheme="minorEastAsia" w:hAnsiTheme="minorEastAsia" w:eastAsiaTheme="minorEastAsia" w:cstheme="minorEastAsia"/>
                <w:color w:val="auto"/>
                <w:sz w:val="24"/>
              </w:rPr>
            </w:pPr>
          </w:p>
        </w:tc>
        <w:tc>
          <w:tcPr>
            <w:tcW w:w="2245" w:type="dxa"/>
          </w:tcPr>
          <w:p>
            <w:pPr>
              <w:spacing w:line="520" w:lineRule="exact"/>
              <w:jc w:val="center"/>
              <w:rPr>
                <w:rFonts w:asciiTheme="minorEastAsia" w:hAnsiTheme="minorEastAsia" w:eastAsiaTheme="minorEastAsia" w:cstheme="minorEastAsia"/>
                <w:color w:val="auto"/>
                <w:sz w:val="24"/>
              </w:rPr>
            </w:pPr>
          </w:p>
        </w:tc>
        <w:tc>
          <w:tcPr>
            <w:tcW w:w="2245" w:type="dxa"/>
          </w:tcPr>
          <w:p>
            <w:pPr>
              <w:spacing w:line="520" w:lineRule="exact"/>
              <w:jc w:val="center"/>
              <w:rPr>
                <w:rFonts w:asciiTheme="minorEastAsia" w:hAnsiTheme="minorEastAsia" w:eastAsiaTheme="minorEastAsia" w:cstheme="minorEastAsia"/>
                <w:color w:val="auto"/>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0" w:type="dxa"/>
            <w:vAlign w:val="center"/>
          </w:tcPr>
          <w:p>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w:t>
            </w:r>
          </w:p>
        </w:tc>
        <w:tc>
          <w:tcPr>
            <w:tcW w:w="2245" w:type="dxa"/>
            <w:vAlign w:val="center"/>
          </w:tcPr>
          <w:p>
            <w:pPr>
              <w:jc w:val="center"/>
              <w:rPr>
                <w:rFonts w:asciiTheme="minorEastAsia" w:hAnsiTheme="minorEastAsia" w:eastAsiaTheme="minorEastAsia" w:cstheme="minorEastAsia"/>
                <w:color w:val="auto"/>
                <w:sz w:val="24"/>
              </w:rPr>
            </w:pPr>
          </w:p>
        </w:tc>
        <w:tc>
          <w:tcPr>
            <w:tcW w:w="2245" w:type="dxa"/>
          </w:tcPr>
          <w:p>
            <w:pPr>
              <w:spacing w:line="520" w:lineRule="exact"/>
              <w:jc w:val="center"/>
              <w:rPr>
                <w:rFonts w:asciiTheme="minorEastAsia" w:hAnsiTheme="minorEastAsia" w:eastAsiaTheme="minorEastAsia" w:cstheme="minorEastAsia"/>
                <w:color w:val="auto"/>
                <w:sz w:val="24"/>
              </w:rPr>
            </w:pPr>
          </w:p>
        </w:tc>
        <w:tc>
          <w:tcPr>
            <w:tcW w:w="2245" w:type="dxa"/>
          </w:tcPr>
          <w:p>
            <w:pPr>
              <w:spacing w:line="520" w:lineRule="exact"/>
              <w:jc w:val="center"/>
              <w:rPr>
                <w:rFonts w:asciiTheme="minorEastAsia" w:hAnsiTheme="minorEastAsia" w:eastAsiaTheme="minorEastAsia" w:cstheme="minorEastAsia"/>
                <w:color w:val="auto"/>
                <w:sz w:val="24"/>
              </w:rPr>
            </w:pPr>
          </w:p>
        </w:tc>
        <w:tc>
          <w:tcPr>
            <w:tcW w:w="2245" w:type="dxa"/>
          </w:tcPr>
          <w:p>
            <w:pPr>
              <w:spacing w:line="520" w:lineRule="exact"/>
              <w:jc w:val="center"/>
              <w:rPr>
                <w:rFonts w:asciiTheme="minorEastAsia" w:hAnsiTheme="minorEastAsia" w:eastAsiaTheme="minorEastAsia" w:cstheme="minorEastAsia"/>
                <w:color w:val="auto"/>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0" w:type="dxa"/>
            <w:vAlign w:val="center"/>
          </w:tcPr>
          <w:p>
            <w:pPr>
              <w:jc w:val="center"/>
              <w:rPr>
                <w:rFonts w:asciiTheme="minorEastAsia" w:hAnsiTheme="minorEastAsia" w:eastAsiaTheme="minorEastAsia" w:cstheme="minorEastAsia"/>
                <w:color w:val="auto"/>
                <w:sz w:val="24"/>
              </w:rPr>
            </w:pPr>
          </w:p>
        </w:tc>
        <w:tc>
          <w:tcPr>
            <w:tcW w:w="2245" w:type="dxa"/>
            <w:vAlign w:val="center"/>
          </w:tcPr>
          <w:p>
            <w:pPr>
              <w:jc w:val="center"/>
              <w:rPr>
                <w:rFonts w:asciiTheme="minorEastAsia" w:hAnsiTheme="minorEastAsia" w:eastAsiaTheme="minorEastAsia" w:cstheme="minorEastAsia"/>
                <w:color w:val="auto"/>
                <w:sz w:val="24"/>
              </w:rPr>
            </w:pPr>
          </w:p>
        </w:tc>
        <w:tc>
          <w:tcPr>
            <w:tcW w:w="2245" w:type="dxa"/>
          </w:tcPr>
          <w:p>
            <w:pPr>
              <w:spacing w:line="520" w:lineRule="exact"/>
              <w:jc w:val="center"/>
              <w:rPr>
                <w:rFonts w:asciiTheme="minorEastAsia" w:hAnsiTheme="minorEastAsia" w:eastAsiaTheme="minorEastAsia" w:cstheme="minorEastAsia"/>
                <w:color w:val="auto"/>
                <w:sz w:val="24"/>
              </w:rPr>
            </w:pPr>
          </w:p>
        </w:tc>
        <w:tc>
          <w:tcPr>
            <w:tcW w:w="2245" w:type="dxa"/>
          </w:tcPr>
          <w:p>
            <w:pPr>
              <w:spacing w:line="520" w:lineRule="exact"/>
              <w:jc w:val="center"/>
              <w:rPr>
                <w:rFonts w:asciiTheme="minorEastAsia" w:hAnsiTheme="minorEastAsia" w:eastAsiaTheme="minorEastAsia" w:cstheme="minorEastAsia"/>
                <w:color w:val="auto"/>
                <w:sz w:val="24"/>
              </w:rPr>
            </w:pPr>
          </w:p>
        </w:tc>
        <w:tc>
          <w:tcPr>
            <w:tcW w:w="2245" w:type="dxa"/>
          </w:tcPr>
          <w:p>
            <w:pPr>
              <w:spacing w:line="520" w:lineRule="exact"/>
              <w:jc w:val="center"/>
              <w:rPr>
                <w:rFonts w:asciiTheme="minorEastAsia" w:hAnsiTheme="minorEastAsia" w:eastAsiaTheme="minorEastAsia" w:cstheme="minorEastAsia"/>
                <w:color w:val="auto"/>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0" w:type="dxa"/>
            <w:vAlign w:val="center"/>
          </w:tcPr>
          <w:p>
            <w:pPr>
              <w:jc w:val="center"/>
              <w:rPr>
                <w:rFonts w:asciiTheme="minorEastAsia" w:hAnsiTheme="minorEastAsia" w:eastAsiaTheme="minorEastAsia" w:cstheme="minorEastAsia"/>
                <w:color w:val="auto"/>
                <w:sz w:val="24"/>
              </w:rPr>
            </w:pPr>
          </w:p>
        </w:tc>
        <w:tc>
          <w:tcPr>
            <w:tcW w:w="2245" w:type="dxa"/>
            <w:vAlign w:val="center"/>
          </w:tcPr>
          <w:p>
            <w:pPr>
              <w:jc w:val="center"/>
              <w:rPr>
                <w:rFonts w:asciiTheme="minorEastAsia" w:hAnsiTheme="minorEastAsia" w:eastAsiaTheme="minorEastAsia" w:cstheme="minorEastAsia"/>
                <w:color w:val="auto"/>
                <w:sz w:val="24"/>
              </w:rPr>
            </w:pPr>
          </w:p>
        </w:tc>
        <w:tc>
          <w:tcPr>
            <w:tcW w:w="2245" w:type="dxa"/>
          </w:tcPr>
          <w:p>
            <w:pPr>
              <w:spacing w:line="520" w:lineRule="exact"/>
              <w:jc w:val="center"/>
              <w:rPr>
                <w:rFonts w:asciiTheme="minorEastAsia" w:hAnsiTheme="minorEastAsia" w:eastAsiaTheme="minorEastAsia" w:cstheme="minorEastAsia"/>
                <w:color w:val="auto"/>
                <w:sz w:val="24"/>
              </w:rPr>
            </w:pPr>
          </w:p>
        </w:tc>
        <w:tc>
          <w:tcPr>
            <w:tcW w:w="2245" w:type="dxa"/>
          </w:tcPr>
          <w:p>
            <w:pPr>
              <w:spacing w:line="520" w:lineRule="exact"/>
              <w:jc w:val="center"/>
              <w:rPr>
                <w:rFonts w:asciiTheme="minorEastAsia" w:hAnsiTheme="minorEastAsia" w:eastAsiaTheme="minorEastAsia" w:cstheme="minorEastAsia"/>
                <w:color w:val="auto"/>
                <w:sz w:val="24"/>
              </w:rPr>
            </w:pPr>
          </w:p>
        </w:tc>
        <w:tc>
          <w:tcPr>
            <w:tcW w:w="2245" w:type="dxa"/>
          </w:tcPr>
          <w:p>
            <w:pPr>
              <w:spacing w:line="520" w:lineRule="exact"/>
              <w:jc w:val="center"/>
              <w:rPr>
                <w:rFonts w:asciiTheme="minorEastAsia" w:hAnsiTheme="minorEastAsia" w:eastAsiaTheme="minorEastAsia" w:cstheme="minorEastAsia"/>
                <w:color w:val="auto"/>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87" w:hRule="atLeast"/>
          <w:jc w:val="center"/>
        </w:trPr>
        <w:tc>
          <w:tcPr>
            <w:tcW w:w="880" w:type="dxa"/>
            <w:vAlign w:val="center"/>
          </w:tcPr>
          <w:p>
            <w:pPr>
              <w:jc w:val="center"/>
              <w:rPr>
                <w:rFonts w:asciiTheme="minorEastAsia" w:hAnsiTheme="minorEastAsia" w:eastAsiaTheme="minorEastAsia" w:cstheme="minorEastAsia"/>
                <w:color w:val="auto"/>
                <w:sz w:val="24"/>
              </w:rPr>
            </w:pPr>
          </w:p>
        </w:tc>
        <w:tc>
          <w:tcPr>
            <w:tcW w:w="2245" w:type="dxa"/>
            <w:vAlign w:val="center"/>
          </w:tcPr>
          <w:p>
            <w:pPr>
              <w:jc w:val="center"/>
              <w:rPr>
                <w:rFonts w:asciiTheme="minorEastAsia" w:hAnsiTheme="minorEastAsia" w:eastAsiaTheme="minorEastAsia" w:cstheme="minorEastAsia"/>
                <w:color w:val="auto"/>
                <w:sz w:val="24"/>
              </w:rPr>
            </w:pPr>
          </w:p>
        </w:tc>
        <w:tc>
          <w:tcPr>
            <w:tcW w:w="2245" w:type="dxa"/>
            <w:vAlign w:val="center"/>
          </w:tcPr>
          <w:p>
            <w:pPr>
              <w:jc w:val="center"/>
              <w:rPr>
                <w:rFonts w:asciiTheme="minorEastAsia" w:hAnsiTheme="minorEastAsia" w:eastAsiaTheme="minorEastAsia" w:cstheme="minorEastAsia"/>
                <w:color w:val="auto"/>
                <w:sz w:val="24"/>
              </w:rPr>
            </w:pPr>
          </w:p>
        </w:tc>
        <w:tc>
          <w:tcPr>
            <w:tcW w:w="2245" w:type="dxa"/>
            <w:vAlign w:val="center"/>
          </w:tcPr>
          <w:p>
            <w:pPr>
              <w:jc w:val="center"/>
              <w:rPr>
                <w:rFonts w:asciiTheme="minorEastAsia" w:hAnsiTheme="minorEastAsia" w:eastAsiaTheme="minorEastAsia" w:cstheme="minorEastAsia"/>
                <w:color w:val="auto"/>
                <w:sz w:val="24"/>
              </w:rPr>
            </w:pPr>
          </w:p>
        </w:tc>
        <w:tc>
          <w:tcPr>
            <w:tcW w:w="2245" w:type="dxa"/>
            <w:vAlign w:val="center"/>
          </w:tcPr>
          <w:p>
            <w:pPr>
              <w:jc w:val="center"/>
              <w:rPr>
                <w:rFonts w:asciiTheme="minorEastAsia" w:hAnsiTheme="minorEastAsia" w:eastAsiaTheme="minorEastAsia" w:cstheme="minorEastAsia"/>
                <w:color w:val="auto"/>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80" w:type="dxa"/>
            <w:vAlign w:val="center"/>
          </w:tcPr>
          <w:p>
            <w:pPr>
              <w:rPr>
                <w:rFonts w:asciiTheme="minorEastAsia" w:hAnsiTheme="minorEastAsia" w:eastAsiaTheme="minorEastAsia" w:cstheme="minorEastAsia"/>
                <w:color w:val="auto"/>
                <w:sz w:val="24"/>
              </w:rPr>
            </w:pPr>
          </w:p>
        </w:tc>
        <w:tc>
          <w:tcPr>
            <w:tcW w:w="2245" w:type="dxa"/>
            <w:vAlign w:val="center"/>
          </w:tcPr>
          <w:p>
            <w:pPr>
              <w:jc w:val="center"/>
              <w:rPr>
                <w:rFonts w:asciiTheme="minorEastAsia" w:hAnsiTheme="minorEastAsia" w:eastAsiaTheme="minorEastAsia" w:cstheme="minorEastAsia"/>
                <w:color w:val="auto"/>
                <w:sz w:val="24"/>
              </w:rPr>
            </w:pPr>
          </w:p>
        </w:tc>
        <w:tc>
          <w:tcPr>
            <w:tcW w:w="2245" w:type="dxa"/>
            <w:vAlign w:val="center"/>
          </w:tcPr>
          <w:p>
            <w:pPr>
              <w:jc w:val="center"/>
              <w:rPr>
                <w:rFonts w:asciiTheme="minorEastAsia" w:hAnsiTheme="minorEastAsia" w:eastAsiaTheme="minorEastAsia" w:cstheme="minorEastAsia"/>
                <w:color w:val="auto"/>
                <w:sz w:val="24"/>
              </w:rPr>
            </w:pPr>
          </w:p>
        </w:tc>
        <w:tc>
          <w:tcPr>
            <w:tcW w:w="2245" w:type="dxa"/>
            <w:vAlign w:val="center"/>
          </w:tcPr>
          <w:p>
            <w:pPr>
              <w:jc w:val="center"/>
              <w:rPr>
                <w:rFonts w:asciiTheme="minorEastAsia" w:hAnsiTheme="minorEastAsia" w:eastAsiaTheme="minorEastAsia" w:cstheme="minorEastAsia"/>
                <w:color w:val="auto"/>
                <w:sz w:val="24"/>
              </w:rPr>
            </w:pPr>
          </w:p>
        </w:tc>
        <w:tc>
          <w:tcPr>
            <w:tcW w:w="2245" w:type="dxa"/>
            <w:vAlign w:val="center"/>
          </w:tcPr>
          <w:p>
            <w:pPr>
              <w:jc w:val="center"/>
              <w:rPr>
                <w:rFonts w:asciiTheme="minorEastAsia" w:hAnsiTheme="minorEastAsia" w:eastAsiaTheme="minorEastAsia" w:cstheme="minorEastAsia"/>
                <w:color w:val="auto"/>
                <w:sz w:val="24"/>
              </w:rPr>
            </w:pPr>
          </w:p>
        </w:tc>
      </w:tr>
    </w:tbl>
    <w:p>
      <w:pPr>
        <w:tabs>
          <w:tab w:val="left" w:pos="555"/>
          <w:tab w:val="left" w:pos="2214"/>
          <w:tab w:val="left" w:pos="3774"/>
          <w:tab w:val="left" w:pos="4854"/>
          <w:tab w:val="left" w:pos="5934"/>
          <w:tab w:val="left" w:pos="7014"/>
          <w:tab w:val="left" w:pos="8214"/>
          <w:tab w:val="left" w:pos="10134"/>
          <w:tab w:val="left" w:pos="11124"/>
        </w:tabs>
        <w:spacing w:line="40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注：投标人（仅限于投标人自身实施的）以上业绩需提供有关书面证明材料复印件（如中标通知书/中标通知书或采购合同）。</w:t>
      </w:r>
    </w:p>
    <w:p>
      <w:pPr>
        <w:spacing w:line="400" w:lineRule="exact"/>
        <w:rPr>
          <w:rFonts w:asciiTheme="minorEastAsia" w:hAnsiTheme="minorEastAsia" w:eastAsiaTheme="minorEastAsia" w:cstheme="minorEastAsia"/>
          <w:color w:val="auto"/>
        </w:rPr>
      </w:pPr>
    </w:p>
    <w:p>
      <w:pPr>
        <w:adjustRightInd w:val="0"/>
        <w:spacing w:line="400" w:lineRule="exact"/>
        <w:ind w:firstLine="480" w:firstLineChars="20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投标人（盖章）：         </w:t>
      </w:r>
    </w:p>
    <w:p>
      <w:pPr>
        <w:adjustRightInd w:val="0"/>
        <w:spacing w:line="400" w:lineRule="exact"/>
        <w:ind w:firstLine="480" w:firstLineChars="200"/>
        <w:jc w:val="left"/>
        <w:rPr>
          <w:rFonts w:asciiTheme="minorEastAsia" w:hAnsiTheme="minorEastAsia" w:eastAsiaTheme="minorEastAsia" w:cstheme="minorEastAsia"/>
          <w:color w:val="auto"/>
          <w:sz w:val="24"/>
        </w:rPr>
      </w:pPr>
    </w:p>
    <w:p>
      <w:pPr>
        <w:spacing w:line="400" w:lineRule="exact"/>
        <w:ind w:right="480" w:firstLine="480" w:firstLineChars="200"/>
        <w:jc w:val="left"/>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color w:val="auto"/>
          <w:sz w:val="24"/>
          <w:szCs w:val="20"/>
        </w:rPr>
        <w:t>法定代表人或委托代理人（签字或盖章）：</w:t>
      </w:r>
    </w:p>
    <w:p>
      <w:pPr>
        <w:spacing w:line="400" w:lineRule="exact"/>
        <w:ind w:right="480" w:firstLine="480" w:firstLineChars="200"/>
        <w:jc w:val="right"/>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Cs/>
          <w:color w:val="auto"/>
          <w:sz w:val="24"/>
        </w:rPr>
        <w:t>年  月  日</w:t>
      </w:r>
    </w:p>
    <w:p>
      <w:pPr>
        <w:tabs>
          <w:tab w:val="left" w:pos="6300"/>
        </w:tabs>
        <w:snapToGrid w:val="0"/>
        <w:spacing w:line="500" w:lineRule="exact"/>
        <w:jc w:val="center"/>
        <w:rPr>
          <w:rFonts w:asciiTheme="minorEastAsia" w:hAnsiTheme="minorEastAsia" w:eastAsiaTheme="minorEastAsia" w:cstheme="minorEastAsia"/>
          <w:b/>
          <w:color w:val="auto"/>
          <w:sz w:val="24"/>
        </w:rPr>
      </w:pPr>
    </w:p>
    <w:p>
      <w:pPr>
        <w:tabs>
          <w:tab w:val="left" w:pos="6300"/>
        </w:tabs>
        <w:snapToGrid w:val="0"/>
        <w:spacing w:line="500" w:lineRule="exact"/>
        <w:jc w:val="center"/>
        <w:rPr>
          <w:rFonts w:asciiTheme="minorEastAsia" w:hAnsiTheme="minorEastAsia" w:eastAsiaTheme="minorEastAsia" w:cstheme="minorEastAsia"/>
          <w:b/>
          <w:color w:val="auto"/>
          <w:sz w:val="24"/>
        </w:rPr>
      </w:pPr>
    </w:p>
    <w:p>
      <w:pPr>
        <w:tabs>
          <w:tab w:val="left" w:pos="6300"/>
        </w:tabs>
        <w:snapToGrid w:val="0"/>
        <w:spacing w:line="500" w:lineRule="exact"/>
        <w:jc w:val="center"/>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格式5   诚信声明</w:t>
      </w:r>
    </w:p>
    <w:p>
      <w:pPr>
        <w:tabs>
          <w:tab w:val="left" w:pos="6300"/>
        </w:tabs>
        <w:snapToGrid w:val="0"/>
        <w:spacing w:line="500" w:lineRule="exact"/>
        <w:ind w:firstLine="570"/>
        <w:rPr>
          <w:rFonts w:asciiTheme="minorEastAsia" w:hAnsiTheme="minorEastAsia" w:eastAsiaTheme="minorEastAsia" w:cstheme="minorEastAsia"/>
          <w:color w:val="auto"/>
          <w:sz w:val="24"/>
        </w:rPr>
      </w:pPr>
    </w:p>
    <w:p>
      <w:pPr>
        <w:tabs>
          <w:tab w:val="left" w:pos="6300"/>
        </w:tabs>
        <w:snapToGrid w:val="0"/>
        <w:spacing w:line="500" w:lineRule="exact"/>
        <w:ind w:firstLine="480" w:firstLineChars="200"/>
        <w:rPr>
          <w:rFonts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 xml:space="preserve">采购项目名称： </w:t>
      </w:r>
    </w:p>
    <w:p>
      <w:pPr>
        <w:tabs>
          <w:tab w:val="left" w:pos="6300"/>
        </w:tabs>
        <w:snapToGrid w:val="0"/>
        <w:spacing w:line="500" w:lineRule="exact"/>
        <w:ind w:firstLine="570"/>
        <w:rPr>
          <w:rFonts w:asciiTheme="minorEastAsia" w:hAnsiTheme="minorEastAsia" w:eastAsiaTheme="minorEastAsia" w:cstheme="minorEastAsia"/>
          <w:color w:val="auto"/>
          <w:sz w:val="24"/>
        </w:rPr>
      </w:pPr>
    </w:p>
    <w:p>
      <w:pPr>
        <w:tabs>
          <w:tab w:val="left" w:pos="6300"/>
        </w:tabs>
        <w:snapToGrid w:val="0"/>
        <w:spacing w:line="50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致：</w:t>
      </w:r>
      <w:r>
        <w:rPr>
          <w:rFonts w:hint="eastAsia" w:asciiTheme="minorEastAsia" w:hAnsiTheme="minorEastAsia" w:eastAsiaTheme="minorEastAsia" w:cstheme="minorEastAsia"/>
          <w:color w:val="auto"/>
          <w:sz w:val="24"/>
          <w:u w:val="single"/>
        </w:rPr>
        <w:t>（招标代理机构名称）</w:t>
      </w:r>
    </w:p>
    <w:p>
      <w:pPr>
        <w:tabs>
          <w:tab w:val="left" w:pos="6300"/>
        </w:tabs>
        <w:snapToGrid w:val="0"/>
        <w:spacing w:line="50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u w:val="single"/>
        </w:rPr>
        <w:t>（投标人名称）</w:t>
      </w:r>
      <w:r>
        <w:rPr>
          <w:rFonts w:hint="eastAsia" w:asciiTheme="minorEastAsia" w:hAnsiTheme="minorEastAsia" w:eastAsiaTheme="minorEastAsia" w:cstheme="minorEastAsia"/>
          <w:color w:val="auto"/>
          <w:sz w:val="24"/>
        </w:rPr>
        <w:t>郑重声明，我公司具有良好的商业信誉和健全的财务会计制度，具有履行合同所必需的设备和专业技术能力，在合同签订前后随时愿意提供相关证明材料；我公司还同时声明参加本项目采购活动前三年内无重大违法活动记录，符合《政府采购法》规定的投标人资格条件。我方对以上声明负全部法律责任。</w:t>
      </w:r>
    </w:p>
    <w:p>
      <w:pPr>
        <w:tabs>
          <w:tab w:val="left" w:pos="6300"/>
        </w:tabs>
        <w:snapToGrid w:val="0"/>
        <w:spacing w:line="50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特此声明。</w:t>
      </w:r>
    </w:p>
    <w:p>
      <w:pPr>
        <w:tabs>
          <w:tab w:val="left" w:pos="6300"/>
        </w:tabs>
        <w:snapToGrid w:val="0"/>
        <w:spacing w:line="500" w:lineRule="exact"/>
        <w:ind w:firstLine="570"/>
        <w:rPr>
          <w:rFonts w:asciiTheme="minorEastAsia" w:hAnsiTheme="minorEastAsia" w:eastAsiaTheme="minorEastAsia" w:cstheme="minorEastAsia"/>
          <w:color w:val="auto"/>
          <w:sz w:val="24"/>
        </w:rPr>
      </w:pPr>
    </w:p>
    <w:p>
      <w:pPr>
        <w:tabs>
          <w:tab w:val="left" w:pos="6300"/>
        </w:tabs>
        <w:snapToGrid w:val="0"/>
        <w:spacing w:line="500" w:lineRule="exact"/>
        <w:ind w:firstLine="570"/>
        <w:rPr>
          <w:rFonts w:asciiTheme="minorEastAsia" w:hAnsiTheme="minorEastAsia" w:eastAsiaTheme="minorEastAsia" w:cstheme="minorEastAsia"/>
          <w:color w:val="auto"/>
          <w:sz w:val="24"/>
        </w:rPr>
      </w:pPr>
    </w:p>
    <w:p>
      <w:pPr>
        <w:tabs>
          <w:tab w:val="left" w:pos="6300"/>
        </w:tabs>
        <w:snapToGrid w:val="0"/>
        <w:spacing w:line="500" w:lineRule="exact"/>
        <w:ind w:firstLine="570"/>
        <w:rPr>
          <w:rFonts w:asciiTheme="minorEastAsia" w:hAnsiTheme="minorEastAsia" w:eastAsiaTheme="minorEastAsia" w:cstheme="minorEastAsia"/>
          <w:color w:val="auto"/>
          <w:sz w:val="24"/>
        </w:rPr>
      </w:pPr>
    </w:p>
    <w:p>
      <w:pPr>
        <w:tabs>
          <w:tab w:val="left" w:pos="6300"/>
        </w:tabs>
        <w:snapToGrid w:val="0"/>
        <w:spacing w:line="500" w:lineRule="exact"/>
        <w:ind w:right="424"/>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（投标人公章）</w:t>
      </w:r>
    </w:p>
    <w:p>
      <w:pPr>
        <w:tabs>
          <w:tab w:val="left" w:pos="6300"/>
        </w:tabs>
        <w:snapToGrid w:val="0"/>
        <w:spacing w:line="500" w:lineRule="exact"/>
        <w:ind w:right="480"/>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年   月   日</w:t>
      </w:r>
    </w:p>
    <w:p>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br w:type="page"/>
      </w:r>
    </w:p>
    <w:p>
      <w:pPr>
        <w:pStyle w:val="4"/>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格式6  资格性/符合性自查表</w:t>
      </w:r>
    </w:p>
    <w:tbl>
      <w:tblPr>
        <w:tblStyle w:val="58"/>
        <w:tblW w:w="9087" w:type="dxa"/>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1391"/>
        <w:gridCol w:w="3437"/>
        <w:gridCol w:w="1964"/>
        <w:gridCol w:w="2295"/>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842" w:hRule="atLeast"/>
        </w:trPr>
        <w:tc>
          <w:tcPr>
            <w:tcW w:w="1391" w:type="dxa"/>
            <w:tcBorders>
              <w:top w:val="outset" w:color="111111" w:sz="6" w:space="0"/>
              <w:left w:val="outset" w:color="111111" w:sz="6" w:space="0"/>
              <w:bottom w:val="outset" w:color="111111" w:sz="6" w:space="0"/>
              <w:right w:val="outset" w:color="111111" w:sz="6" w:space="0"/>
            </w:tcBorders>
            <w:vAlign w:val="center"/>
          </w:tcPr>
          <w:p>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b/>
                <w:bCs/>
                <w:color w:val="auto"/>
                <w:spacing w:val="10"/>
                <w:sz w:val="24"/>
              </w:rPr>
              <w:t>评审内容</w:t>
            </w:r>
          </w:p>
        </w:tc>
        <w:tc>
          <w:tcPr>
            <w:tcW w:w="3437" w:type="dxa"/>
            <w:tcBorders>
              <w:top w:val="outset" w:color="111111" w:sz="6" w:space="0"/>
              <w:left w:val="outset" w:color="111111" w:sz="6" w:space="0"/>
              <w:bottom w:val="outset" w:color="111111" w:sz="6" w:space="0"/>
              <w:right w:val="outset" w:color="111111" w:sz="6" w:space="0"/>
            </w:tcBorders>
            <w:vAlign w:val="center"/>
          </w:tcPr>
          <w:p>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b/>
                <w:bCs/>
                <w:color w:val="auto"/>
                <w:spacing w:val="10"/>
                <w:sz w:val="24"/>
              </w:rPr>
              <w:t>招标文件要求</w:t>
            </w:r>
            <w:r>
              <w:rPr>
                <w:rFonts w:hint="eastAsia" w:asciiTheme="minorEastAsia" w:hAnsiTheme="minorEastAsia" w:eastAsiaTheme="minorEastAsia" w:cstheme="minorEastAsia"/>
                <w:color w:val="auto"/>
              </w:rPr>
              <w:br w:type="textWrapping"/>
            </w:r>
            <w:r>
              <w:rPr>
                <w:rFonts w:hint="eastAsia" w:asciiTheme="minorEastAsia" w:hAnsiTheme="minorEastAsia" w:eastAsiaTheme="minorEastAsia" w:cstheme="minorEastAsia"/>
                <w:color w:val="auto"/>
              </w:rPr>
              <w:t>（详见《资格性和符合性审查表》各项）</w:t>
            </w:r>
          </w:p>
        </w:tc>
        <w:tc>
          <w:tcPr>
            <w:tcW w:w="1964" w:type="dxa"/>
            <w:tcBorders>
              <w:top w:val="outset" w:color="111111" w:sz="6" w:space="0"/>
              <w:left w:val="outset" w:color="111111" w:sz="6" w:space="0"/>
              <w:bottom w:val="outset" w:color="111111" w:sz="6" w:space="0"/>
              <w:right w:val="outset" w:color="111111" w:sz="6" w:space="0"/>
            </w:tcBorders>
            <w:vAlign w:val="center"/>
          </w:tcPr>
          <w:p>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b/>
                <w:bCs/>
                <w:color w:val="auto"/>
                <w:spacing w:val="10"/>
                <w:sz w:val="24"/>
              </w:rPr>
              <w:t>自查结论</w:t>
            </w:r>
          </w:p>
        </w:tc>
        <w:tc>
          <w:tcPr>
            <w:tcW w:w="2295" w:type="dxa"/>
            <w:tcBorders>
              <w:top w:val="outset" w:color="111111" w:sz="6" w:space="0"/>
              <w:left w:val="outset" w:color="111111" w:sz="6" w:space="0"/>
              <w:bottom w:val="outset" w:color="111111" w:sz="6" w:space="0"/>
              <w:right w:val="outset" w:color="111111" w:sz="6" w:space="0"/>
            </w:tcBorders>
            <w:vAlign w:val="center"/>
          </w:tcPr>
          <w:p>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b/>
                <w:bCs/>
                <w:color w:val="auto"/>
                <w:spacing w:val="10"/>
                <w:sz w:val="24"/>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restart"/>
            <w:tcBorders>
              <w:top w:val="outset" w:color="111111" w:sz="6" w:space="0"/>
              <w:left w:val="outset" w:color="111111" w:sz="6" w:space="0"/>
              <w:right w:val="outset" w:color="111111" w:sz="6" w:space="0"/>
            </w:tcBorders>
            <w:vAlign w:val="center"/>
          </w:tcPr>
          <w:p>
            <w:pP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资格性审查</w:t>
            </w:r>
          </w:p>
        </w:tc>
        <w:tc>
          <w:tcPr>
            <w:tcW w:w="3437" w:type="dxa"/>
            <w:tcBorders>
              <w:top w:val="outset" w:color="111111" w:sz="6" w:space="0"/>
              <w:left w:val="outset" w:color="111111" w:sz="6" w:space="0"/>
              <w:bottom w:val="outset" w:color="111111" w:sz="6" w:space="0"/>
              <w:right w:val="outset" w:color="111111" w:sz="6" w:space="0"/>
            </w:tcBorders>
            <w:vAlign w:val="center"/>
          </w:tcPr>
          <w:p>
            <w:pPr>
              <w:rPr>
                <w:rFonts w:asciiTheme="minorEastAsia" w:hAnsiTheme="minorEastAsia" w:eastAsiaTheme="minorEastAsia" w:cstheme="minorEastAsia"/>
                <w:color w:val="auto"/>
              </w:rPr>
            </w:pPr>
          </w:p>
        </w:tc>
        <w:tc>
          <w:tcPr>
            <w:tcW w:w="1964" w:type="dxa"/>
            <w:tcBorders>
              <w:top w:val="outset" w:color="111111" w:sz="6" w:space="0"/>
              <w:left w:val="outset" w:color="111111" w:sz="6" w:space="0"/>
              <w:bottom w:val="outset" w:color="111111" w:sz="6" w:space="0"/>
              <w:right w:val="outset" w:color="111111" w:sz="6" w:space="0"/>
            </w:tcBorders>
            <w:vAlign w:val="center"/>
          </w:tcPr>
          <w:p>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rPr>
              <w:t>□通过 □不通过</w:t>
            </w:r>
          </w:p>
        </w:tc>
        <w:tc>
          <w:tcPr>
            <w:tcW w:w="2295" w:type="dxa"/>
            <w:tcBorders>
              <w:top w:val="outset" w:color="111111" w:sz="6" w:space="0"/>
              <w:left w:val="outset" w:color="111111" w:sz="6" w:space="0"/>
              <w:bottom w:val="outset" w:color="111111" w:sz="6" w:space="0"/>
              <w:right w:val="outset" w:color="111111" w:sz="6" w:space="0"/>
            </w:tcBorders>
            <w:vAlign w:val="center"/>
          </w:tcPr>
          <w:p>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rPr>
              <w:t>见投标文件第（）页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continue"/>
            <w:tcBorders>
              <w:left w:val="outset" w:color="111111" w:sz="6" w:space="0"/>
              <w:right w:val="outset" w:color="111111" w:sz="6" w:space="0"/>
            </w:tcBorders>
            <w:vAlign w:val="center"/>
          </w:tcPr>
          <w:p>
            <w:pPr>
              <w:rPr>
                <w:rFonts w:asciiTheme="minorEastAsia" w:hAnsiTheme="minorEastAsia" w:eastAsiaTheme="minorEastAsia" w:cstheme="minorEastAsia"/>
                <w:color w:val="auto"/>
                <w:sz w:val="24"/>
              </w:rPr>
            </w:pPr>
          </w:p>
        </w:tc>
        <w:tc>
          <w:tcPr>
            <w:tcW w:w="3437" w:type="dxa"/>
            <w:tcBorders>
              <w:top w:val="outset" w:color="111111" w:sz="6" w:space="0"/>
              <w:left w:val="outset" w:color="111111" w:sz="6" w:space="0"/>
              <w:bottom w:val="outset" w:color="111111" w:sz="6" w:space="0"/>
              <w:right w:val="outset" w:color="111111" w:sz="6" w:space="0"/>
            </w:tcBorders>
            <w:vAlign w:val="center"/>
          </w:tcPr>
          <w:p>
            <w:pPr>
              <w:rPr>
                <w:rFonts w:asciiTheme="minorEastAsia" w:hAnsiTheme="minorEastAsia" w:eastAsiaTheme="minorEastAsia" w:cstheme="minorEastAsia"/>
                <w:color w:val="auto"/>
                <w:sz w:val="24"/>
              </w:rPr>
            </w:pPr>
          </w:p>
        </w:tc>
        <w:tc>
          <w:tcPr>
            <w:tcW w:w="1964" w:type="dxa"/>
            <w:tcBorders>
              <w:top w:val="outset" w:color="111111" w:sz="6" w:space="0"/>
              <w:left w:val="outset" w:color="111111" w:sz="6" w:space="0"/>
              <w:bottom w:val="outset" w:color="111111" w:sz="6" w:space="0"/>
              <w:right w:val="outset" w:color="111111" w:sz="6" w:space="0"/>
            </w:tcBorders>
            <w:vAlign w:val="center"/>
          </w:tcPr>
          <w:p>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rPr>
              <w:t>□通过 □不通过</w:t>
            </w:r>
          </w:p>
        </w:tc>
        <w:tc>
          <w:tcPr>
            <w:tcW w:w="2295" w:type="dxa"/>
            <w:tcBorders>
              <w:top w:val="outset" w:color="111111" w:sz="6" w:space="0"/>
              <w:left w:val="outset" w:color="111111" w:sz="6" w:space="0"/>
              <w:bottom w:val="outset" w:color="111111" w:sz="6" w:space="0"/>
              <w:right w:val="outset" w:color="111111" w:sz="6" w:space="0"/>
            </w:tcBorders>
            <w:vAlign w:val="center"/>
          </w:tcPr>
          <w:p>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rPr>
              <w:t>见投标文件第（）页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continue"/>
            <w:tcBorders>
              <w:left w:val="outset" w:color="111111" w:sz="6" w:space="0"/>
              <w:right w:val="outset" w:color="111111" w:sz="6" w:space="0"/>
            </w:tcBorders>
            <w:vAlign w:val="center"/>
          </w:tcPr>
          <w:p>
            <w:pPr>
              <w:rPr>
                <w:rFonts w:asciiTheme="minorEastAsia" w:hAnsiTheme="minorEastAsia" w:eastAsiaTheme="minorEastAsia" w:cstheme="minorEastAsia"/>
                <w:color w:val="auto"/>
                <w:sz w:val="24"/>
              </w:rPr>
            </w:pPr>
          </w:p>
        </w:tc>
        <w:tc>
          <w:tcPr>
            <w:tcW w:w="3437" w:type="dxa"/>
            <w:tcBorders>
              <w:top w:val="outset" w:color="111111" w:sz="6" w:space="0"/>
              <w:left w:val="outset" w:color="111111" w:sz="6" w:space="0"/>
              <w:bottom w:val="outset" w:color="111111" w:sz="6" w:space="0"/>
              <w:right w:val="outset" w:color="111111" w:sz="6" w:space="0"/>
            </w:tcBorders>
            <w:vAlign w:val="center"/>
          </w:tcPr>
          <w:p>
            <w:pPr>
              <w:rPr>
                <w:rFonts w:asciiTheme="minorEastAsia" w:hAnsiTheme="minorEastAsia" w:eastAsiaTheme="minorEastAsia" w:cstheme="minorEastAsia"/>
                <w:color w:val="auto"/>
                <w:sz w:val="24"/>
              </w:rPr>
            </w:pPr>
          </w:p>
        </w:tc>
        <w:tc>
          <w:tcPr>
            <w:tcW w:w="1964" w:type="dxa"/>
            <w:tcBorders>
              <w:top w:val="outset" w:color="111111" w:sz="6" w:space="0"/>
              <w:left w:val="outset" w:color="111111" w:sz="6" w:space="0"/>
              <w:bottom w:val="outset" w:color="111111" w:sz="6" w:space="0"/>
              <w:right w:val="outset" w:color="111111" w:sz="6" w:space="0"/>
            </w:tcBorders>
            <w:vAlign w:val="center"/>
          </w:tcPr>
          <w:p>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rPr>
              <w:t>□通过 □不通过</w:t>
            </w:r>
          </w:p>
        </w:tc>
        <w:tc>
          <w:tcPr>
            <w:tcW w:w="2295" w:type="dxa"/>
            <w:tcBorders>
              <w:top w:val="outset" w:color="111111" w:sz="6" w:space="0"/>
              <w:left w:val="outset" w:color="111111" w:sz="6" w:space="0"/>
              <w:bottom w:val="outset" w:color="111111" w:sz="6" w:space="0"/>
              <w:right w:val="outset" w:color="111111" w:sz="6" w:space="0"/>
            </w:tcBorders>
            <w:vAlign w:val="center"/>
          </w:tcPr>
          <w:p>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rPr>
              <w:t>见投标文件第（）页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restart"/>
            <w:tcBorders>
              <w:top w:val="outset" w:color="111111" w:sz="6" w:space="0"/>
              <w:left w:val="outset" w:color="111111" w:sz="6" w:space="0"/>
              <w:right w:val="outset" w:color="111111" w:sz="6" w:space="0"/>
            </w:tcBorders>
            <w:vAlign w:val="center"/>
          </w:tcPr>
          <w:p>
            <w:pP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符合性审查</w:t>
            </w:r>
          </w:p>
        </w:tc>
        <w:tc>
          <w:tcPr>
            <w:tcW w:w="3437" w:type="dxa"/>
            <w:tcBorders>
              <w:top w:val="outset" w:color="111111" w:sz="6" w:space="0"/>
              <w:left w:val="outset" w:color="111111" w:sz="6" w:space="0"/>
              <w:bottom w:val="outset" w:color="111111" w:sz="6" w:space="0"/>
              <w:right w:val="outset" w:color="111111" w:sz="6" w:space="0"/>
            </w:tcBorders>
            <w:vAlign w:val="center"/>
          </w:tcPr>
          <w:p>
            <w:pPr>
              <w:rPr>
                <w:rFonts w:asciiTheme="minorEastAsia" w:hAnsiTheme="minorEastAsia" w:eastAsiaTheme="minorEastAsia" w:cstheme="minorEastAsia"/>
                <w:color w:val="auto"/>
                <w:sz w:val="24"/>
              </w:rPr>
            </w:pPr>
          </w:p>
        </w:tc>
        <w:tc>
          <w:tcPr>
            <w:tcW w:w="1964" w:type="dxa"/>
            <w:tcBorders>
              <w:top w:val="outset" w:color="111111" w:sz="6" w:space="0"/>
              <w:left w:val="outset" w:color="111111" w:sz="6" w:space="0"/>
              <w:bottom w:val="outset" w:color="111111" w:sz="6" w:space="0"/>
              <w:right w:val="outset" w:color="111111" w:sz="6" w:space="0"/>
            </w:tcBorders>
            <w:vAlign w:val="center"/>
          </w:tcPr>
          <w:p>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rPr>
              <w:t>□通过 □不通过</w:t>
            </w:r>
          </w:p>
        </w:tc>
        <w:tc>
          <w:tcPr>
            <w:tcW w:w="2295" w:type="dxa"/>
            <w:tcBorders>
              <w:top w:val="outset" w:color="111111" w:sz="6" w:space="0"/>
              <w:left w:val="outset" w:color="111111" w:sz="6" w:space="0"/>
              <w:bottom w:val="outset" w:color="111111" w:sz="6" w:space="0"/>
              <w:right w:val="outset" w:color="111111" w:sz="6" w:space="0"/>
            </w:tcBorders>
            <w:vAlign w:val="center"/>
          </w:tcPr>
          <w:p>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rPr>
              <w:t>见投标文件第（）页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continue"/>
            <w:tcBorders>
              <w:left w:val="outset" w:color="111111" w:sz="6" w:space="0"/>
              <w:right w:val="outset" w:color="111111" w:sz="6" w:space="0"/>
            </w:tcBorders>
            <w:vAlign w:val="center"/>
          </w:tcPr>
          <w:p>
            <w:pPr>
              <w:rPr>
                <w:rFonts w:asciiTheme="minorEastAsia" w:hAnsiTheme="minorEastAsia" w:eastAsiaTheme="minorEastAsia" w:cstheme="minorEastAsia"/>
                <w:color w:val="auto"/>
                <w:sz w:val="24"/>
              </w:rPr>
            </w:pPr>
          </w:p>
        </w:tc>
        <w:tc>
          <w:tcPr>
            <w:tcW w:w="3437" w:type="dxa"/>
            <w:tcBorders>
              <w:top w:val="outset" w:color="111111" w:sz="6" w:space="0"/>
              <w:left w:val="outset" w:color="111111" w:sz="6" w:space="0"/>
              <w:bottom w:val="outset" w:color="111111" w:sz="6" w:space="0"/>
              <w:right w:val="outset" w:color="111111" w:sz="6" w:space="0"/>
            </w:tcBorders>
            <w:vAlign w:val="center"/>
          </w:tcPr>
          <w:p>
            <w:pPr>
              <w:rPr>
                <w:rFonts w:asciiTheme="minorEastAsia" w:hAnsiTheme="minorEastAsia" w:eastAsiaTheme="minorEastAsia" w:cstheme="minorEastAsia"/>
                <w:color w:val="auto"/>
                <w:sz w:val="24"/>
              </w:rPr>
            </w:pPr>
          </w:p>
        </w:tc>
        <w:tc>
          <w:tcPr>
            <w:tcW w:w="1964" w:type="dxa"/>
            <w:tcBorders>
              <w:top w:val="outset" w:color="111111" w:sz="6" w:space="0"/>
              <w:left w:val="outset" w:color="111111" w:sz="6" w:space="0"/>
              <w:bottom w:val="outset" w:color="111111" w:sz="6" w:space="0"/>
              <w:right w:val="outset" w:color="111111" w:sz="6" w:space="0"/>
            </w:tcBorders>
            <w:vAlign w:val="center"/>
          </w:tcPr>
          <w:p>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rPr>
              <w:t>□通过 □不通过</w:t>
            </w:r>
          </w:p>
        </w:tc>
        <w:tc>
          <w:tcPr>
            <w:tcW w:w="2295" w:type="dxa"/>
            <w:tcBorders>
              <w:top w:val="outset" w:color="111111" w:sz="6" w:space="0"/>
              <w:left w:val="outset" w:color="111111" w:sz="6" w:space="0"/>
              <w:bottom w:val="outset" w:color="111111" w:sz="6" w:space="0"/>
              <w:right w:val="outset" w:color="111111" w:sz="6" w:space="0"/>
            </w:tcBorders>
            <w:vAlign w:val="center"/>
          </w:tcPr>
          <w:p>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rPr>
              <w:t>见投标文件第（）页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continue"/>
            <w:tcBorders>
              <w:left w:val="outset" w:color="111111" w:sz="6" w:space="0"/>
              <w:right w:val="outset" w:color="111111" w:sz="6" w:space="0"/>
            </w:tcBorders>
            <w:vAlign w:val="center"/>
          </w:tcPr>
          <w:p>
            <w:pPr>
              <w:rPr>
                <w:rFonts w:asciiTheme="minorEastAsia" w:hAnsiTheme="minorEastAsia" w:eastAsiaTheme="minorEastAsia" w:cstheme="minorEastAsia"/>
                <w:color w:val="auto"/>
                <w:sz w:val="24"/>
              </w:rPr>
            </w:pPr>
          </w:p>
        </w:tc>
        <w:tc>
          <w:tcPr>
            <w:tcW w:w="3437" w:type="dxa"/>
            <w:tcBorders>
              <w:top w:val="outset" w:color="111111" w:sz="6" w:space="0"/>
              <w:left w:val="outset" w:color="111111" w:sz="6" w:space="0"/>
              <w:bottom w:val="outset" w:color="111111" w:sz="6" w:space="0"/>
              <w:right w:val="outset" w:color="111111" w:sz="6" w:space="0"/>
            </w:tcBorders>
            <w:vAlign w:val="center"/>
          </w:tcPr>
          <w:p>
            <w:pPr>
              <w:rPr>
                <w:rFonts w:asciiTheme="minorEastAsia" w:hAnsiTheme="minorEastAsia" w:eastAsiaTheme="minorEastAsia" w:cstheme="minorEastAsia"/>
                <w:color w:val="auto"/>
                <w:sz w:val="24"/>
              </w:rPr>
            </w:pPr>
          </w:p>
        </w:tc>
        <w:tc>
          <w:tcPr>
            <w:tcW w:w="1964" w:type="dxa"/>
            <w:tcBorders>
              <w:top w:val="outset" w:color="111111" w:sz="6" w:space="0"/>
              <w:left w:val="outset" w:color="111111" w:sz="6" w:space="0"/>
              <w:bottom w:val="outset" w:color="111111" w:sz="6" w:space="0"/>
              <w:right w:val="outset" w:color="111111" w:sz="6" w:space="0"/>
            </w:tcBorders>
            <w:vAlign w:val="center"/>
          </w:tcPr>
          <w:p>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rPr>
              <w:t>□通过 □不通过</w:t>
            </w:r>
          </w:p>
        </w:tc>
        <w:tc>
          <w:tcPr>
            <w:tcW w:w="2295" w:type="dxa"/>
            <w:tcBorders>
              <w:top w:val="outset" w:color="111111" w:sz="6" w:space="0"/>
              <w:left w:val="outset" w:color="111111" w:sz="6" w:space="0"/>
              <w:bottom w:val="outset" w:color="111111" w:sz="6" w:space="0"/>
              <w:right w:val="outset" w:color="111111" w:sz="6" w:space="0"/>
            </w:tcBorders>
            <w:vAlign w:val="center"/>
          </w:tcPr>
          <w:p>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rPr>
              <w:t>见投标文件第（）页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continue"/>
            <w:tcBorders>
              <w:left w:val="outset" w:color="111111" w:sz="6" w:space="0"/>
              <w:right w:val="outset" w:color="111111" w:sz="6" w:space="0"/>
            </w:tcBorders>
            <w:vAlign w:val="center"/>
          </w:tcPr>
          <w:p>
            <w:pPr>
              <w:rPr>
                <w:rFonts w:asciiTheme="minorEastAsia" w:hAnsiTheme="minorEastAsia" w:eastAsiaTheme="minorEastAsia" w:cstheme="minorEastAsia"/>
                <w:color w:val="auto"/>
                <w:sz w:val="24"/>
              </w:rPr>
            </w:pPr>
          </w:p>
        </w:tc>
        <w:tc>
          <w:tcPr>
            <w:tcW w:w="3437" w:type="dxa"/>
            <w:tcBorders>
              <w:top w:val="outset" w:color="111111" w:sz="6" w:space="0"/>
              <w:left w:val="outset" w:color="111111" w:sz="6" w:space="0"/>
              <w:bottom w:val="outset" w:color="111111" w:sz="6" w:space="0"/>
              <w:right w:val="outset" w:color="111111" w:sz="6" w:space="0"/>
            </w:tcBorders>
            <w:vAlign w:val="center"/>
          </w:tcPr>
          <w:p>
            <w:pPr>
              <w:rPr>
                <w:rFonts w:asciiTheme="minorEastAsia" w:hAnsiTheme="minorEastAsia" w:eastAsiaTheme="minorEastAsia" w:cstheme="minorEastAsia"/>
                <w:color w:val="auto"/>
                <w:sz w:val="24"/>
              </w:rPr>
            </w:pPr>
          </w:p>
        </w:tc>
        <w:tc>
          <w:tcPr>
            <w:tcW w:w="1964" w:type="dxa"/>
            <w:tcBorders>
              <w:top w:val="outset" w:color="111111" w:sz="6" w:space="0"/>
              <w:left w:val="outset" w:color="111111" w:sz="6" w:space="0"/>
              <w:bottom w:val="outset" w:color="111111" w:sz="6" w:space="0"/>
              <w:right w:val="outset" w:color="111111" w:sz="6" w:space="0"/>
            </w:tcBorders>
            <w:vAlign w:val="center"/>
          </w:tcPr>
          <w:p>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rPr>
              <w:t>□通过 □不通过</w:t>
            </w:r>
          </w:p>
        </w:tc>
        <w:tc>
          <w:tcPr>
            <w:tcW w:w="2295" w:type="dxa"/>
            <w:tcBorders>
              <w:top w:val="outset" w:color="111111" w:sz="6" w:space="0"/>
              <w:left w:val="outset" w:color="111111" w:sz="6" w:space="0"/>
              <w:bottom w:val="outset" w:color="111111" w:sz="6" w:space="0"/>
              <w:right w:val="outset" w:color="111111" w:sz="6" w:space="0"/>
            </w:tcBorders>
            <w:vAlign w:val="center"/>
          </w:tcPr>
          <w:p>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rPr>
              <w:t>见投标文件第（）页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continue"/>
            <w:tcBorders>
              <w:left w:val="outset" w:color="111111" w:sz="6" w:space="0"/>
              <w:right w:val="outset" w:color="111111" w:sz="6" w:space="0"/>
            </w:tcBorders>
            <w:vAlign w:val="center"/>
          </w:tcPr>
          <w:p>
            <w:pPr>
              <w:rPr>
                <w:rFonts w:asciiTheme="minorEastAsia" w:hAnsiTheme="minorEastAsia" w:eastAsiaTheme="minorEastAsia" w:cstheme="minorEastAsia"/>
                <w:color w:val="auto"/>
                <w:sz w:val="24"/>
              </w:rPr>
            </w:pPr>
          </w:p>
        </w:tc>
        <w:tc>
          <w:tcPr>
            <w:tcW w:w="3437" w:type="dxa"/>
            <w:tcBorders>
              <w:top w:val="outset" w:color="111111" w:sz="6" w:space="0"/>
              <w:left w:val="outset" w:color="111111" w:sz="6" w:space="0"/>
              <w:bottom w:val="outset" w:color="111111" w:sz="6" w:space="0"/>
              <w:right w:val="outset" w:color="111111" w:sz="6" w:space="0"/>
            </w:tcBorders>
            <w:vAlign w:val="center"/>
          </w:tcPr>
          <w:p>
            <w:pPr>
              <w:rPr>
                <w:rFonts w:asciiTheme="minorEastAsia" w:hAnsiTheme="minorEastAsia" w:eastAsiaTheme="minorEastAsia" w:cstheme="minorEastAsia"/>
                <w:color w:val="auto"/>
                <w:sz w:val="24"/>
              </w:rPr>
            </w:pPr>
          </w:p>
        </w:tc>
        <w:tc>
          <w:tcPr>
            <w:tcW w:w="1964" w:type="dxa"/>
            <w:tcBorders>
              <w:top w:val="outset" w:color="111111" w:sz="6" w:space="0"/>
              <w:left w:val="outset" w:color="111111" w:sz="6" w:space="0"/>
              <w:bottom w:val="outset" w:color="111111" w:sz="6" w:space="0"/>
              <w:right w:val="outset" w:color="111111" w:sz="6" w:space="0"/>
            </w:tcBorders>
            <w:vAlign w:val="center"/>
          </w:tcPr>
          <w:p>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rPr>
              <w:t>□通过 □不通过</w:t>
            </w:r>
          </w:p>
        </w:tc>
        <w:tc>
          <w:tcPr>
            <w:tcW w:w="2295" w:type="dxa"/>
            <w:tcBorders>
              <w:top w:val="outset" w:color="111111" w:sz="6" w:space="0"/>
              <w:left w:val="outset" w:color="111111" w:sz="6" w:space="0"/>
              <w:bottom w:val="outset" w:color="111111" w:sz="6" w:space="0"/>
              <w:right w:val="outset" w:color="111111" w:sz="6" w:space="0"/>
            </w:tcBorders>
            <w:vAlign w:val="center"/>
          </w:tcPr>
          <w:p>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rPr>
              <w:t>见投标文件第（）页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continue"/>
            <w:tcBorders>
              <w:left w:val="outset" w:color="111111" w:sz="6" w:space="0"/>
              <w:right w:val="outset" w:color="111111" w:sz="6" w:space="0"/>
            </w:tcBorders>
            <w:vAlign w:val="center"/>
          </w:tcPr>
          <w:p>
            <w:pPr>
              <w:rPr>
                <w:rFonts w:asciiTheme="minorEastAsia" w:hAnsiTheme="minorEastAsia" w:eastAsiaTheme="minorEastAsia" w:cstheme="minorEastAsia"/>
                <w:color w:val="auto"/>
                <w:sz w:val="24"/>
              </w:rPr>
            </w:pPr>
          </w:p>
        </w:tc>
        <w:tc>
          <w:tcPr>
            <w:tcW w:w="3437" w:type="dxa"/>
            <w:tcBorders>
              <w:top w:val="outset" w:color="111111" w:sz="6" w:space="0"/>
              <w:left w:val="outset" w:color="111111" w:sz="6" w:space="0"/>
              <w:bottom w:val="outset" w:color="111111" w:sz="6" w:space="0"/>
              <w:right w:val="outset" w:color="111111" w:sz="6" w:space="0"/>
            </w:tcBorders>
            <w:vAlign w:val="center"/>
          </w:tcPr>
          <w:p>
            <w:pPr>
              <w:rPr>
                <w:rFonts w:asciiTheme="minorEastAsia" w:hAnsiTheme="minorEastAsia" w:eastAsiaTheme="minorEastAsia" w:cstheme="minorEastAsia"/>
                <w:color w:val="auto"/>
                <w:sz w:val="24"/>
              </w:rPr>
            </w:pPr>
          </w:p>
        </w:tc>
        <w:tc>
          <w:tcPr>
            <w:tcW w:w="1964" w:type="dxa"/>
            <w:tcBorders>
              <w:top w:val="outset" w:color="111111" w:sz="6" w:space="0"/>
              <w:left w:val="outset" w:color="111111" w:sz="6" w:space="0"/>
              <w:bottom w:val="outset" w:color="111111" w:sz="6" w:space="0"/>
              <w:right w:val="outset" w:color="111111" w:sz="6" w:space="0"/>
            </w:tcBorders>
            <w:vAlign w:val="center"/>
          </w:tcPr>
          <w:p>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rPr>
              <w:t>□通过 □不通过</w:t>
            </w:r>
          </w:p>
        </w:tc>
        <w:tc>
          <w:tcPr>
            <w:tcW w:w="2295" w:type="dxa"/>
            <w:tcBorders>
              <w:top w:val="outset" w:color="111111" w:sz="6" w:space="0"/>
              <w:left w:val="outset" w:color="111111" w:sz="6" w:space="0"/>
              <w:bottom w:val="outset" w:color="111111" w:sz="6" w:space="0"/>
              <w:right w:val="outset" w:color="111111" w:sz="6" w:space="0"/>
            </w:tcBorders>
            <w:vAlign w:val="center"/>
          </w:tcPr>
          <w:p>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rPr>
              <w:t>见投标文件第（）页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continue"/>
            <w:tcBorders>
              <w:left w:val="outset" w:color="111111" w:sz="6" w:space="0"/>
              <w:right w:val="outset" w:color="111111" w:sz="6" w:space="0"/>
            </w:tcBorders>
            <w:vAlign w:val="center"/>
          </w:tcPr>
          <w:p>
            <w:pPr>
              <w:rPr>
                <w:rFonts w:asciiTheme="minorEastAsia" w:hAnsiTheme="minorEastAsia" w:eastAsiaTheme="minorEastAsia" w:cstheme="minorEastAsia"/>
                <w:color w:val="auto"/>
                <w:sz w:val="24"/>
              </w:rPr>
            </w:pPr>
          </w:p>
        </w:tc>
        <w:tc>
          <w:tcPr>
            <w:tcW w:w="3437" w:type="dxa"/>
            <w:tcBorders>
              <w:top w:val="outset" w:color="111111" w:sz="6" w:space="0"/>
              <w:left w:val="outset" w:color="111111" w:sz="6" w:space="0"/>
              <w:bottom w:val="outset" w:color="111111" w:sz="6" w:space="0"/>
              <w:right w:val="outset" w:color="111111" w:sz="6" w:space="0"/>
            </w:tcBorders>
            <w:vAlign w:val="center"/>
          </w:tcPr>
          <w:p>
            <w:pPr>
              <w:rPr>
                <w:rFonts w:asciiTheme="minorEastAsia" w:hAnsiTheme="minorEastAsia" w:eastAsiaTheme="minorEastAsia" w:cstheme="minorEastAsia"/>
                <w:color w:val="auto"/>
                <w:sz w:val="24"/>
              </w:rPr>
            </w:pPr>
          </w:p>
        </w:tc>
        <w:tc>
          <w:tcPr>
            <w:tcW w:w="1964" w:type="dxa"/>
            <w:tcBorders>
              <w:top w:val="outset" w:color="111111" w:sz="6" w:space="0"/>
              <w:left w:val="outset" w:color="111111" w:sz="6" w:space="0"/>
              <w:bottom w:val="outset" w:color="111111" w:sz="6" w:space="0"/>
              <w:right w:val="outset" w:color="111111" w:sz="6" w:space="0"/>
            </w:tcBorders>
            <w:vAlign w:val="center"/>
          </w:tcPr>
          <w:p>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rPr>
              <w:t>□通过 □不通过</w:t>
            </w:r>
          </w:p>
        </w:tc>
        <w:tc>
          <w:tcPr>
            <w:tcW w:w="2295" w:type="dxa"/>
            <w:tcBorders>
              <w:top w:val="outset" w:color="111111" w:sz="6" w:space="0"/>
              <w:left w:val="outset" w:color="111111" w:sz="6" w:space="0"/>
              <w:bottom w:val="outset" w:color="111111" w:sz="6" w:space="0"/>
              <w:right w:val="outset" w:color="111111" w:sz="6" w:space="0"/>
            </w:tcBorders>
            <w:vAlign w:val="center"/>
          </w:tcPr>
          <w:p>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rPr>
              <w:t>见投标文件第（）页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continue"/>
            <w:tcBorders>
              <w:left w:val="outset" w:color="111111" w:sz="6" w:space="0"/>
              <w:right w:val="outset" w:color="111111" w:sz="6" w:space="0"/>
            </w:tcBorders>
            <w:vAlign w:val="center"/>
          </w:tcPr>
          <w:p>
            <w:pPr>
              <w:rPr>
                <w:rFonts w:asciiTheme="minorEastAsia" w:hAnsiTheme="minorEastAsia" w:eastAsiaTheme="minorEastAsia" w:cstheme="minorEastAsia"/>
                <w:color w:val="auto"/>
                <w:sz w:val="24"/>
              </w:rPr>
            </w:pPr>
          </w:p>
        </w:tc>
        <w:tc>
          <w:tcPr>
            <w:tcW w:w="3437" w:type="dxa"/>
            <w:tcBorders>
              <w:top w:val="outset" w:color="111111" w:sz="6" w:space="0"/>
              <w:left w:val="outset" w:color="111111" w:sz="6" w:space="0"/>
              <w:bottom w:val="outset" w:color="111111" w:sz="6" w:space="0"/>
              <w:right w:val="outset" w:color="111111" w:sz="6" w:space="0"/>
            </w:tcBorders>
            <w:vAlign w:val="center"/>
          </w:tcPr>
          <w:p>
            <w:pPr>
              <w:rPr>
                <w:rFonts w:asciiTheme="minorEastAsia" w:hAnsiTheme="minorEastAsia" w:eastAsiaTheme="minorEastAsia" w:cstheme="minorEastAsia"/>
                <w:color w:val="auto"/>
                <w:sz w:val="24"/>
              </w:rPr>
            </w:pPr>
          </w:p>
        </w:tc>
        <w:tc>
          <w:tcPr>
            <w:tcW w:w="1964" w:type="dxa"/>
            <w:tcBorders>
              <w:top w:val="outset" w:color="111111" w:sz="6" w:space="0"/>
              <w:left w:val="outset" w:color="111111" w:sz="6" w:space="0"/>
              <w:bottom w:val="outset" w:color="111111" w:sz="6" w:space="0"/>
              <w:right w:val="outset" w:color="111111" w:sz="6" w:space="0"/>
            </w:tcBorders>
            <w:vAlign w:val="center"/>
          </w:tcPr>
          <w:p>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rPr>
              <w:t>□通过 □不通过</w:t>
            </w:r>
          </w:p>
        </w:tc>
        <w:tc>
          <w:tcPr>
            <w:tcW w:w="2295" w:type="dxa"/>
            <w:tcBorders>
              <w:top w:val="outset" w:color="111111" w:sz="6" w:space="0"/>
              <w:left w:val="outset" w:color="111111" w:sz="6" w:space="0"/>
              <w:bottom w:val="outset" w:color="111111" w:sz="6" w:space="0"/>
              <w:right w:val="outset" w:color="111111" w:sz="6" w:space="0"/>
            </w:tcBorders>
            <w:vAlign w:val="center"/>
          </w:tcPr>
          <w:p>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rPr>
              <w:t>见投标文件第（）页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continue"/>
            <w:tcBorders>
              <w:left w:val="outset" w:color="111111" w:sz="6" w:space="0"/>
              <w:right w:val="outset" w:color="111111" w:sz="6" w:space="0"/>
            </w:tcBorders>
            <w:vAlign w:val="center"/>
          </w:tcPr>
          <w:p>
            <w:pPr>
              <w:rPr>
                <w:rFonts w:asciiTheme="minorEastAsia" w:hAnsiTheme="minorEastAsia" w:eastAsiaTheme="minorEastAsia" w:cstheme="minorEastAsia"/>
                <w:color w:val="auto"/>
                <w:sz w:val="24"/>
              </w:rPr>
            </w:pPr>
          </w:p>
        </w:tc>
        <w:tc>
          <w:tcPr>
            <w:tcW w:w="3437" w:type="dxa"/>
            <w:tcBorders>
              <w:top w:val="outset" w:color="111111" w:sz="6" w:space="0"/>
              <w:left w:val="outset" w:color="111111" w:sz="6" w:space="0"/>
              <w:bottom w:val="outset" w:color="111111" w:sz="6" w:space="0"/>
              <w:right w:val="outset" w:color="111111" w:sz="6" w:space="0"/>
            </w:tcBorders>
            <w:vAlign w:val="center"/>
          </w:tcPr>
          <w:p>
            <w:pPr>
              <w:rPr>
                <w:rFonts w:asciiTheme="minorEastAsia" w:hAnsiTheme="minorEastAsia" w:eastAsiaTheme="minorEastAsia" w:cstheme="minorEastAsia"/>
                <w:color w:val="auto"/>
                <w:sz w:val="24"/>
              </w:rPr>
            </w:pPr>
          </w:p>
        </w:tc>
        <w:tc>
          <w:tcPr>
            <w:tcW w:w="1964" w:type="dxa"/>
            <w:tcBorders>
              <w:top w:val="outset" w:color="111111" w:sz="6" w:space="0"/>
              <w:left w:val="outset" w:color="111111" w:sz="6" w:space="0"/>
              <w:bottom w:val="outset" w:color="111111" w:sz="6" w:space="0"/>
              <w:right w:val="outset" w:color="111111" w:sz="6" w:space="0"/>
            </w:tcBorders>
            <w:vAlign w:val="center"/>
          </w:tcPr>
          <w:p>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rPr>
              <w:t>□通过 □不通过</w:t>
            </w:r>
          </w:p>
        </w:tc>
        <w:tc>
          <w:tcPr>
            <w:tcW w:w="2295" w:type="dxa"/>
            <w:tcBorders>
              <w:top w:val="outset" w:color="111111" w:sz="6" w:space="0"/>
              <w:left w:val="outset" w:color="111111" w:sz="6" w:space="0"/>
              <w:bottom w:val="outset" w:color="111111" w:sz="6" w:space="0"/>
              <w:right w:val="outset" w:color="111111" w:sz="6" w:space="0"/>
            </w:tcBorders>
            <w:vAlign w:val="center"/>
          </w:tcPr>
          <w:p>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rPr>
              <w:t>见投标文件第（）页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continue"/>
            <w:tcBorders>
              <w:left w:val="outset" w:color="111111" w:sz="6" w:space="0"/>
              <w:right w:val="outset" w:color="111111" w:sz="6" w:space="0"/>
            </w:tcBorders>
            <w:vAlign w:val="center"/>
          </w:tcPr>
          <w:p>
            <w:pPr>
              <w:rPr>
                <w:rFonts w:asciiTheme="minorEastAsia" w:hAnsiTheme="minorEastAsia" w:eastAsiaTheme="minorEastAsia" w:cstheme="minorEastAsia"/>
                <w:color w:val="auto"/>
                <w:sz w:val="24"/>
              </w:rPr>
            </w:pPr>
          </w:p>
        </w:tc>
        <w:tc>
          <w:tcPr>
            <w:tcW w:w="3437" w:type="dxa"/>
            <w:tcBorders>
              <w:top w:val="outset" w:color="111111" w:sz="6" w:space="0"/>
              <w:left w:val="outset" w:color="111111" w:sz="6" w:space="0"/>
              <w:bottom w:val="outset" w:color="111111" w:sz="6" w:space="0"/>
              <w:right w:val="outset" w:color="111111" w:sz="6" w:space="0"/>
            </w:tcBorders>
            <w:vAlign w:val="center"/>
          </w:tcPr>
          <w:p>
            <w:pPr>
              <w:rPr>
                <w:rFonts w:asciiTheme="minorEastAsia" w:hAnsiTheme="minorEastAsia" w:eastAsiaTheme="minorEastAsia" w:cstheme="minorEastAsia"/>
                <w:color w:val="auto"/>
              </w:rPr>
            </w:pPr>
          </w:p>
        </w:tc>
        <w:tc>
          <w:tcPr>
            <w:tcW w:w="1964" w:type="dxa"/>
            <w:tcBorders>
              <w:top w:val="outset" w:color="111111" w:sz="6" w:space="0"/>
              <w:left w:val="outset" w:color="111111" w:sz="6" w:space="0"/>
              <w:bottom w:val="outset" w:color="111111" w:sz="6" w:space="0"/>
              <w:right w:val="outset" w:color="111111" w:sz="6" w:space="0"/>
            </w:tcBorders>
            <w:vAlign w:val="center"/>
          </w:tcPr>
          <w:p>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rPr>
              <w:t>□通过 □不通过</w:t>
            </w:r>
          </w:p>
        </w:tc>
        <w:tc>
          <w:tcPr>
            <w:tcW w:w="2295" w:type="dxa"/>
            <w:tcBorders>
              <w:top w:val="outset" w:color="111111" w:sz="6" w:space="0"/>
              <w:left w:val="outset" w:color="111111" w:sz="6" w:space="0"/>
              <w:bottom w:val="outset" w:color="111111" w:sz="6" w:space="0"/>
              <w:right w:val="outset" w:color="111111" w:sz="6" w:space="0"/>
            </w:tcBorders>
            <w:vAlign w:val="center"/>
          </w:tcPr>
          <w:p>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rPr>
              <w:t>见投标文件第（）页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tcBorders>
              <w:left w:val="outset" w:color="111111" w:sz="6" w:space="0"/>
              <w:right w:val="outset" w:color="111111" w:sz="6" w:space="0"/>
            </w:tcBorders>
            <w:vAlign w:val="center"/>
          </w:tcPr>
          <w:p>
            <w:pPr>
              <w:rPr>
                <w:rFonts w:asciiTheme="minorEastAsia" w:hAnsiTheme="minorEastAsia" w:eastAsiaTheme="minorEastAsia" w:cstheme="minorEastAsia"/>
                <w:color w:val="auto"/>
                <w:sz w:val="24"/>
              </w:rPr>
            </w:pPr>
          </w:p>
        </w:tc>
        <w:tc>
          <w:tcPr>
            <w:tcW w:w="3437" w:type="dxa"/>
            <w:tcBorders>
              <w:top w:val="outset" w:color="111111" w:sz="6" w:space="0"/>
              <w:left w:val="outset" w:color="111111" w:sz="6" w:space="0"/>
              <w:bottom w:val="outset" w:color="111111" w:sz="6" w:space="0"/>
              <w:right w:val="outset" w:color="111111" w:sz="6" w:space="0"/>
            </w:tcBorders>
            <w:vAlign w:val="center"/>
          </w:tcPr>
          <w:p>
            <w:pPr>
              <w:rPr>
                <w:rFonts w:asciiTheme="minorEastAsia" w:hAnsiTheme="minorEastAsia" w:eastAsiaTheme="minorEastAsia" w:cstheme="minorEastAsia"/>
                <w:color w:val="auto"/>
              </w:rPr>
            </w:pPr>
          </w:p>
        </w:tc>
        <w:tc>
          <w:tcPr>
            <w:tcW w:w="1964" w:type="dxa"/>
            <w:tcBorders>
              <w:top w:val="outset" w:color="111111" w:sz="6" w:space="0"/>
              <w:left w:val="outset" w:color="111111" w:sz="6" w:space="0"/>
              <w:bottom w:val="outset" w:color="111111" w:sz="6" w:space="0"/>
              <w:right w:val="outset" w:color="111111" w:sz="6" w:space="0"/>
            </w:tcBorders>
            <w:vAlign w:val="center"/>
          </w:tcPr>
          <w:p>
            <w:pP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□通过 □不通过</w:t>
            </w:r>
          </w:p>
        </w:tc>
        <w:tc>
          <w:tcPr>
            <w:tcW w:w="2295" w:type="dxa"/>
            <w:tcBorders>
              <w:top w:val="outset" w:color="111111" w:sz="6" w:space="0"/>
              <w:left w:val="outset" w:color="111111" w:sz="6" w:space="0"/>
              <w:bottom w:val="outset" w:color="111111" w:sz="6" w:space="0"/>
              <w:right w:val="outset" w:color="111111" w:sz="6" w:space="0"/>
            </w:tcBorders>
            <w:vAlign w:val="center"/>
          </w:tcPr>
          <w:p>
            <w:pP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见投标文件第（）页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tcBorders>
              <w:left w:val="outset" w:color="111111" w:sz="6" w:space="0"/>
              <w:right w:val="outset" w:color="111111" w:sz="6" w:space="0"/>
            </w:tcBorders>
            <w:vAlign w:val="center"/>
          </w:tcPr>
          <w:p>
            <w:pPr>
              <w:rPr>
                <w:rFonts w:asciiTheme="minorEastAsia" w:hAnsiTheme="minorEastAsia" w:eastAsiaTheme="minorEastAsia" w:cstheme="minorEastAsia"/>
                <w:color w:val="auto"/>
                <w:sz w:val="24"/>
              </w:rPr>
            </w:pPr>
          </w:p>
        </w:tc>
        <w:tc>
          <w:tcPr>
            <w:tcW w:w="3437" w:type="dxa"/>
            <w:tcBorders>
              <w:top w:val="outset" w:color="111111" w:sz="6" w:space="0"/>
              <w:left w:val="outset" w:color="111111" w:sz="6" w:space="0"/>
              <w:bottom w:val="outset" w:color="111111" w:sz="6" w:space="0"/>
              <w:right w:val="outset" w:color="111111" w:sz="6" w:space="0"/>
            </w:tcBorders>
            <w:vAlign w:val="center"/>
          </w:tcPr>
          <w:p>
            <w:pPr>
              <w:rPr>
                <w:rFonts w:asciiTheme="minorEastAsia" w:hAnsiTheme="minorEastAsia" w:eastAsiaTheme="minorEastAsia" w:cstheme="minorEastAsia"/>
                <w:color w:val="auto"/>
              </w:rPr>
            </w:pPr>
          </w:p>
        </w:tc>
        <w:tc>
          <w:tcPr>
            <w:tcW w:w="1964" w:type="dxa"/>
            <w:tcBorders>
              <w:top w:val="outset" w:color="111111" w:sz="6" w:space="0"/>
              <w:left w:val="outset" w:color="111111" w:sz="6" w:space="0"/>
              <w:bottom w:val="outset" w:color="111111" w:sz="6" w:space="0"/>
              <w:right w:val="outset" w:color="111111" w:sz="6" w:space="0"/>
            </w:tcBorders>
            <w:vAlign w:val="center"/>
          </w:tcPr>
          <w:p>
            <w:pP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□通过 □不通过</w:t>
            </w:r>
          </w:p>
        </w:tc>
        <w:tc>
          <w:tcPr>
            <w:tcW w:w="2295" w:type="dxa"/>
            <w:tcBorders>
              <w:top w:val="outset" w:color="111111" w:sz="6" w:space="0"/>
              <w:left w:val="outset" w:color="111111" w:sz="6" w:space="0"/>
              <w:bottom w:val="outset" w:color="111111" w:sz="6" w:space="0"/>
              <w:right w:val="outset" w:color="111111" w:sz="6" w:space="0"/>
            </w:tcBorders>
            <w:vAlign w:val="center"/>
          </w:tcPr>
          <w:p>
            <w:pP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见投标文件第（）页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tcBorders>
              <w:left w:val="outset" w:color="111111" w:sz="6" w:space="0"/>
              <w:right w:val="outset" w:color="111111" w:sz="6" w:space="0"/>
            </w:tcBorders>
            <w:vAlign w:val="center"/>
          </w:tcPr>
          <w:p>
            <w:pPr>
              <w:rPr>
                <w:rFonts w:asciiTheme="minorEastAsia" w:hAnsiTheme="minorEastAsia" w:eastAsiaTheme="minorEastAsia" w:cstheme="minorEastAsia"/>
                <w:color w:val="auto"/>
                <w:sz w:val="24"/>
              </w:rPr>
            </w:pPr>
          </w:p>
        </w:tc>
        <w:tc>
          <w:tcPr>
            <w:tcW w:w="3437" w:type="dxa"/>
            <w:tcBorders>
              <w:top w:val="outset" w:color="111111" w:sz="6" w:space="0"/>
              <w:left w:val="outset" w:color="111111" w:sz="6" w:space="0"/>
              <w:bottom w:val="outset" w:color="111111" w:sz="6" w:space="0"/>
              <w:right w:val="outset" w:color="111111" w:sz="6" w:space="0"/>
            </w:tcBorders>
            <w:vAlign w:val="center"/>
          </w:tcPr>
          <w:p>
            <w:pPr>
              <w:rPr>
                <w:rFonts w:asciiTheme="minorEastAsia" w:hAnsiTheme="minorEastAsia" w:eastAsiaTheme="minorEastAsia" w:cstheme="minorEastAsia"/>
                <w:color w:val="auto"/>
              </w:rPr>
            </w:pPr>
          </w:p>
        </w:tc>
        <w:tc>
          <w:tcPr>
            <w:tcW w:w="1964" w:type="dxa"/>
            <w:tcBorders>
              <w:top w:val="outset" w:color="111111" w:sz="6" w:space="0"/>
              <w:left w:val="outset" w:color="111111" w:sz="6" w:space="0"/>
              <w:bottom w:val="outset" w:color="111111" w:sz="6" w:space="0"/>
              <w:right w:val="outset" w:color="111111" w:sz="6" w:space="0"/>
            </w:tcBorders>
            <w:vAlign w:val="center"/>
          </w:tcPr>
          <w:p>
            <w:pP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□通过 □不通过</w:t>
            </w:r>
          </w:p>
        </w:tc>
        <w:tc>
          <w:tcPr>
            <w:tcW w:w="2295" w:type="dxa"/>
            <w:tcBorders>
              <w:top w:val="outset" w:color="111111" w:sz="6" w:space="0"/>
              <w:left w:val="outset" w:color="111111" w:sz="6" w:space="0"/>
              <w:bottom w:val="outset" w:color="111111" w:sz="6" w:space="0"/>
              <w:right w:val="outset" w:color="111111" w:sz="6" w:space="0"/>
            </w:tcBorders>
            <w:vAlign w:val="center"/>
          </w:tcPr>
          <w:p>
            <w:pP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见投标文件第（）页</w:t>
            </w:r>
          </w:p>
        </w:tc>
      </w:tr>
    </w:tbl>
    <w:p>
      <w:pPr>
        <w:rPr>
          <w:rFonts w:asciiTheme="minorEastAsia" w:hAnsiTheme="minorEastAsia" w:eastAsiaTheme="minorEastAsia" w:cstheme="minorEastAsia"/>
          <w:b/>
          <w:color w:val="auto"/>
          <w:w w:val="90"/>
          <w:sz w:val="24"/>
        </w:rPr>
      </w:pPr>
      <w:r>
        <w:rPr>
          <w:rFonts w:hint="eastAsia" w:asciiTheme="minorEastAsia" w:hAnsiTheme="minorEastAsia" w:eastAsiaTheme="minorEastAsia" w:cstheme="minorEastAsia"/>
          <w:b/>
          <w:color w:val="auto"/>
          <w:sz w:val="24"/>
        </w:rPr>
        <w:t>注：1、以上材料将作为招标投标人有效性审核的重要内容之一，投标人必须严格按照其内容及序列要求在投标文件中对应如</w:t>
      </w:r>
      <w:r>
        <w:rPr>
          <w:rFonts w:hint="eastAsia" w:asciiTheme="minorEastAsia" w:hAnsiTheme="minorEastAsia" w:eastAsiaTheme="minorEastAsia" w:cstheme="minorEastAsia"/>
          <w:b/>
          <w:color w:val="auto"/>
          <w:w w:val="90"/>
          <w:sz w:val="24"/>
        </w:rPr>
        <w:t>实提供，对资格性和符合性证明文件的任何缺漏和不符合项将会直接导致投标文件无效！投标人根据自查结论在对应的□打“√”。</w:t>
      </w:r>
    </w:p>
    <w:p>
      <w:pPr>
        <w:rPr>
          <w:rFonts w:asciiTheme="minorEastAsia" w:hAnsiTheme="minorEastAsia" w:eastAsiaTheme="minorEastAsia" w:cstheme="minorEastAsia"/>
          <w:b/>
          <w:color w:val="auto"/>
          <w:w w:val="90"/>
          <w:sz w:val="24"/>
        </w:rPr>
      </w:pPr>
      <w:r>
        <w:rPr>
          <w:rFonts w:hint="eastAsia" w:asciiTheme="minorEastAsia" w:hAnsiTheme="minorEastAsia" w:eastAsiaTheme="minorEastAsia" w:cstheme="minorEastAsia"/>
          <w:b/>
          <w:color w:val="auto"/>
          <w:w w:val="90"/>
          <w:sz w:val="24"/>
        </w:rPr>
        <w:t>2、各投标人按此表格式填写，表格不够时可自行添加。</w:t>
      </w:r>
    </w:p>
    <w:p>
      <w:pPr>
        <w:pStyle w:val="4"/>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格式7  投  标  函</w:t>
      </w:r>
    </w:p>
    <w:p>
      <w:pPr>
        <w:spacing w:line="46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bCs/>
          <w:color w:val="auto"/>
          <w:kern w:val="0"/>
          <w:sz w:val="24"/>
        </w:rPr>
        <w:t>克拉玛依市中心医院</w:t>
      </w:r>
      <w:r>
        <w:rPr>
          <w:rFonts w:hint="eastAsia" w:asciiTheme="minorEastAsia" w:hAnsiTheme="minorEastAsia" w:eastAsiaTheme="minorEastAsia" w:cstheme="minorEastAsia"/>
          <w:color w:val="auto"/>
          <w:sz w:val="32"/>
          <w:szCs w:val="32"/>
        </w:rPr>
        <w:t>：</w:t>
      </w:r>
    </w:p>
    <w:p>
      <w:pPr>
        <w:pStyle w:val="35"/>
        <w:spacing w:line="440" w:lineRule="exact"/>
        <w:ind w:left="0" w:firstLine="480" w:firstLineChars="200"/>
        <w:rPr>
          <w:rFonts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我方全面研究了项目招标文件</w:t>
      </w:r>
      <w:r>
        <w:rPr>
          <w:rFonts w:hint="eastAsia" w:asciiTheme="minorEastAsia" w:hAnsiTheme="minorEastAsia" w:eastAsiaTheme="minorEastAsia" w:cstheme="minorEastAsia"/>
          <w:b w:val="0"/>
          <w:bCs/>
          <w:color w:val="auto"/>
          <w:u w:val="single"/>
        </w:rPr>
        <w:t>（文件编号：    ）</w:t>
      </w:r>
      <w:r>
        <w:rPr>
          <w:rFonts w:hint="eastAsia" w:asciiTheme="minorEastAsia" w:hAnsiTheme="minorEastAsia" w:eastAsiaTheme="minorEastAsia" w:cstheme="minorEastAsia"/>
          <w:b w:val="0"/>
          <w:bCs/>
          <w:color w:val="auto"/>
        </w:rPr>
        <w:t>，决定参加本项目投标。我方授权</w:t>
      </w:r>
      <w:r>
        <w:rPr>
          <w:rFonts w:hint="eastAsia" w:asciiTheme="minorEastAsia" w:hAnsiTheme="minorEastAsia" w:eastAsiaTheme="minorEastAsia" w:cstheme="minorEastAsia"/>
          <w:b w:val="0"/>
          <w:bCs/>
          <w:color w:val="auto"/>
          <w:u w:val="single"/>
        </w:rPr>
        <w:t xml:space="preserve">（姓名、职务） </w:t>
      </w:r>
      <w:r>
        <w:rPr>
          <w:rFonts w:hint="eastAsia" w:asciiTheme="minorEastAsia" w:hAnsiTheme="minorEastAsia" w:eastAsiaTheme="minorEastAsia" w:cstheme="minorEastAsia"/>
          <w:b w:val="0"/>
          <w:bCs/>
          <w:color w:val="auto"/>
        </w:rPr>
        <w:t>代表我方</w:t>
      </w:r>
      <w:r>
        <w:rPr>
          <w:rFonts w:hint="eastAsia" w:asciiTheme="minorEastAsia" w:hAnsiTheme="minorEastAsia" w:eastAsiaTheme="minorEastAsia" w:cstheme="minorEastAsia"/>
          <w:b w:val="0"/>
          <w:bCs/>
          <w:color w:val="auto"/>
          <w:u w:val="single"/>
        </w:rPr>
        <w:t xml:space="preserve">  （投标人的名称）</w:t>
      </w:r>
      <w:r>
        <w:rPr>
          <w:rFonts w:hint="eastAsia" w:asciiTheme="minorEastAsia" w:hAnsiTheme="minorEastAsia" w:eastAsiaTheme="minorEastAsia" w:cstheme="minorEastAsia"/>
          <w:b w:val="0"/>
          <w:bCs/>
          <w:color w:val="auto"/>
        </w:rPr>
        <w:t>全权处理本项目投标的有关事宜。</w:t>
      </w:r>
    </w:p>
    <w:p>
      <w:pPr>
        <w:pStyle w:val="35"/>
        <w:spacing w:line="440" w:lineRule="exact"/>
        <w:ind w:left="0" w:firstLine="480" w:firstLineChars="200"/>
        <w:rPr>
          <w:rFonts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1、我方自愿按照招标文件规定的各项要求向招标人提供所需服务，承包年限：</w:t>
      </w:r>
      <w:r>
        <w:rPr>
          <w:rFonts w:hint="eastAsia" w:asciiTheme="minorEastAsia" w:hAnsiTheme="minorEastAsia" w:eastAsiaTheme="minorEastAsia" w:cstheme="minorEastAsia"/>
          <w:b w:val="0"/>
          <w:bCs/>
          <w:color w:val="auto"/>
          <w:u w:val="single"/>
        </w:rPr>
        <w:t xml:space="preserve">      </w:t>
      </w:r>
      <w:r>
        <w:rPr>
          <w:rFonts w:hint="eastAsia" w:asciiTheme="minorEastAsia" w:hAnsiTheme="minorEastAsia" w:eastAsiaTheme="minorEastAsia" w:cstheme="minorEastAsia"/>
          <w:b w:val="0"/>
          <w:bCs/>
          <w:color w:val="auto"/>
        </w:rPr>
        <w:t>。</w:t>
      </w:r>
    </w:p>
    <w:p>
      <w:pPr>
        <w:pStyle w:val="35"/>
        <w:spacing w:line="440" w:lineRule="exact"/>
        <w:ind w:left="0" w:firstLine="480" w:firstLineChars="200"/>
        <w:rPr>
          <w:rFonts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2、一旦我方中标，我方将严格履行合同规定的责任和义务，保证按招标人要求及我方承诺完成所需服务及应尽义务。</w:t>
      </w:r>
    </w:p>
    <w:p>
      <w:pPr>
        <w:pStyle w:val="35"/>
        <w:spacing w:line="440" w:lineRule="exact"/>
        <w:ind w:left="0" w:firstLine="480" w:firstLineChars="200"/>
        <w:rPr>
          <w:rFonts w:ascii="宋体" w:hAnsi="宋体" w:cs="宋体"/>
          <w:b w:val="0"/>
          <w:bCs/>
          <w:color w:val="auto"/>
        </w:rPr>
      </w:pPr>
      <w:r>
        <w:rPr>
          <w:rFonts w:hint="eastAsia" w:ascii="宋体" w:hAnsi="宋体" w:cs="宋体"/>
          <w:b w:val="0"/>
          <w:bCs/>
          <w:color w:val="auto"/>
        </w:rPr>
        <w:t>3、我方同意按照招标文件的要求，向采购代理机构交纳</w:t>
      </w:r>
      <w:r>
        <w:rPr>
          <w:rFonts w:hint="eastAsia" w:ascii="宋体" w:hAnsi="宋体" w:cs="宋体"/>
          <w:color w:val="auto"/>
          <w:szCs w:val="21"/>
        </w:rPr>
        <w:t>￥</w:t>
      </w:r>
      <w:r>
        <w:rPr>
          <w:rFonts w:hint="eastAsia" w:ascii="宋体" w:hAnsi="宋体" w:cs="宋体"/>
          <w:color w:val="auto"/>
          <w:szCs w:val="21"/>
          <w:u w:val="single"/>
        </w:rPr>
        <w:t xml:space="preserve">    </w:t>
      </w:r>
      <w:r>
        <w:rPr>
          <w:rFonts w:hint="eastAsia" w:ascii="宋体" w:hAnsi="宋体" w:cs="宋体"/>
          <w:b w:val="0"/>
          <w:bCs/>
          <w:color w:val="auto"/>
        </w:rPr>
        <w:t>万元（大写：人民币</w:t>
      </w:r>
      <w:r>
        <w:rPr>
          <w:rFonts w:hint="eastAsia" w:ascii="宋体" w:hAnsi="宋体" w:cs="宋体"/>
          <w:b w:val="0"/>
          <w:bCs/>
          <w:color w:val="auto"/>
          <w:u w:val="single"/>
        </w:rPr>
        <w:t xml:space="preserve">        </w:t>
      </w:r>
      <w:r>
        <w:rPr>
          <w:rFonts w:hint="eastAsia" w:ascii="宋体" w:hAnsi="宋体" w:cs="宋体"/>
          <w:b w:val="0"/>
          <w:bCs/>
          <w:color w:val="auto"/>
        </w:rPr>
        <w:t>）的投标保证金。并承诺：下列任何情况发生时，我方将不要求退还投标保证金：</w:t>
      </w:r>
    </w:p>
    <w:p>
      <w:pPr>
        <w:pStyle w:val="35"/>
        <w:spacing w:line="440" w:lineRule="exact"/>
        <w:ind w:left="0" w:firstLine="480" w:firstLineChars="200"/>
        <w:rPr>
          <w:rFonts w:ascii="宋体" w:hAnsi="宋体" w:cs="宋体"/>
          <w:b w:val="0"/>
          <w:bCs/>
          <w:color w:val="auto"/>
        </w:rPr>
      </w:pPr>
      <w:r>
        <w:rPr>
          <w:rFonts w:hint="eastAsia" w:ascii="宋体" w:hAnsi="宋体" w:cs="宋体"/>
          <w:b w:val="0"/>
          <w:bCs/>
          <w:color w:val="auto"/>
        </w:rPr>
        <w:t>（1）如果我方在投标文件有效期内撤回投标文件；</w:t>
      </w:r>
    </w:p>
    <w:p>
      <w:pPr>
        <w:pStyle w:val="35"/>
        <w:spacing w:line="440" w:lineRule="exact"/>
        <w:ind w:left="0" w:firstLine="480" w:firstLineChars="200"/>
        <w:rPr>
          <w:rFonts w:ascii="宋体" w:hAnsi="宋体" w:cs="宋体"/>
          <w:b w:val="0"/>
          <w:bCs/>
          <w:color w:val="auto"/>
        </w:rPr>
      </w:pPr>
      <w:r>
        <w:rPr>
          <w:rFonts w:hint="eastAsia" w:ascii="宋体" w:hAnsi="宋体" w:cs="宋体"/>
          <w:b w:val="0"/>
          <w:bCs/>
          <w:color w:val="auto"/>
        </w:rPr>
        <w:t>（2）我方提供了虚假响应招标文件的投标文件；</w:t>
      </w:r>
    </w:p>
    <w:p>
      <w:pPr>
        <w:pStyle w:val="35"/>
        <w:spacing w:line="440" w:lineRule="exact"/>
        <w:ind w:left="0" w:firstLine="480" w:firstLineChars="200"/>
        <w:rPr>
          <w:rFonts w:ascii="宋体" w:hAnsi="宋体" w:cs="宋体"/>
          <w:b w:val="0"/>
          <w:bCs/>
          <w:color w:val="auto"/>
        </w:rPr>
      </w:pPr>
      <w:r>
        <w:rPr>
          <w:rFonts w:hint="eastAsia" w:ascii="宋体" w:hAnsi="宋体" w:cs="宋体"/>
          <w:b w:val="0"/>
          <w:bCs/>
          <w:color w:val="auto"/>
        </w:rPr>
        <w:t>（3）在招标过程中有违规违纪行为；</w:t>
      </w:r>
    </w:p>
    <w:p>
      <w:pPr>
        <w:pStyle w:val="35"/>
        <w:spacing w:line="440" w:lineRule="exact"/>
        <w:ind w:left="0" w:firstLine="480" w:firstLineChars="200"/>
        <w:rPr>
          <w:rFonts w:ascii="宋体" w:hAnsi="宋体" w:cs="宋体"/>
          <w:b w:val="0"/>
          <w:bCs/>
          <w:color w:val="auto"/>
        </w:rPr>
      </w:pPr>
      <w:r>
        <w:rPr>
          <w:rFonts w:hint="eastAsia" w:ascii="宋体" w:hAnsi="宋体" w:cs="宋体"/>
          <w:b w:val="0"/>
          <w:bCs/>
          <w:color w:val="auto"/>
        </w:rPr>
        <w:t>（4）我方在投标文件有效期内收到中标通知书后，由于我方原因未能按照招标文件要求提交履约保证金或与采购人签订并履行合同。</w:t>
      </w:r>
    </w:p>
    <w:p>
      <w:pPr>
        <w:pStyle w:val="35"/>
        <w:spacing w:line="440" w:lineRule="exact"/>
        <w:ind w:left="0" w:firstLine="482"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4．其投标自递交投标文件截止之日起有效期为</w:t>
      </w:r>
      <w:r>
        <w:rPr>
          <w:rFonts w:hint="eastAsia" w:asciiTheme="minorEastAsia" w:hAnsiTheme="minorEastAsia" w:eastAsiaTheme="minorEastAsia" w:cstheme="minorEastAsia"/>
          <w:color w:val="auto"/>
          <w:u w:val="single"/>
        </w:rPr>
        <w:t xml:space="preserve">  90  </w:t>
      </w:r>
      <w:r>
        <w:rPr>
          <w:rFonts w:hint="eastAsia" w:asciiTheme="minorEastAsia" w:hAnsiTheme="minorEastAsia" w:eastAsiaTheme="minorEastAsia" w:cstheme="minorEastAsia"/>
          <w:color w:val="auto"/>
        </w:rPr>
        <w:t>个日历日。如果我们的投标被接受，则至合同生效时止，本投标始终有效，我们将按服务协议、投标承诺及招标文件的规定履行合同责任和义务。</w:t>
      </w:r>
    </w:p>
    <w:p>
      <w:pPr>
        <w:pStyle w:val="35"/>
        <w:spacing w:line="440" w:lineRule="exact"/>
        <w:ind w:left="0" w:firstLine="480" w:firstLineChars="200"/>
        <w:rPr>
          <w:rFonts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5、我方为本项目提交的投标文件一式柒份，其中正本壹份，副本</w:t>
      </w:r>
      <w:r>
        <w:rPr>
          <w:rFonts w:hint="eastAsia" w:asciiTheme="minorEastAsia" w:hAnsiTheme="minorEastAsia" w:eastAsiaTheme="minorEastAsia" w:cstheme="minorEastAsia"/>
          <w:b w:val="0"/>
          <w:color w:val="auto"/>
        </w:rPr>
        <w:t>陆</w:t>
      </w:r>
      <w:r>
        <w:rPr>
          <w:rFonts w:hint="eastAsia" w:asciiTheme="minorEastAsia" w:hAnsiTheme="minorEastAsia" w:eastAsiaTheme="minorEastAsia" w:cstheme="minorEastAsia"/>
          <w:b w:val="0"/>
          <w:bCs/>
          <w:color w:val="auto"/>
        </w:rPr>
        <w:t>份。</w:t>
      </w:r>
    </w:p>
    <w:p>
      <w:pPr>
        <w:pStyle w:val="35"/>
        <w:spacing w:line="440" w:lineRule="exact"/>
        <w:ind w:left="0" w:firstLine="480" w:firstLineChars="200"/>
        <w:rPr>
          <w:rFonts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6、我方愿意提供招标人可能另外要求的，与公开有关的文件资料，并保证我方已提供和将要提供的文件资料是真实、准确的。</w:t>
      </w:r>
    </w:p>
    <w:p>
      <w:pPr>
        <w:spacing w:line="440" w:lineRule="exact"/>
        <w:ind w:firstLine="480" w:firstLineChars="200"/>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7、我方完全理解你们将不受必须接受其它任何投标文件的约束。</w:t>
      </w:r>
    </w:p>
    <w:p>
      <w:pPr>
        <w:spacing w:line="440" w:lineRule="exact"/>
        <w:ind w:firstLine="480" w:firstLineChars="200"/>
        <w:rPr>
          <w:rFonts w:asciiTheme="minorEastAsia" w:hAnsiTheme="minorEastAsia" w:eastAsiaTheme="minorEastAsia" w:cstheme="minorEastAsia"/>
          <w:bCs/>
          <w:color w:val="auto"/>
          <w:sz w:val="24"/>
        </w:rPr>
      </w:pPr>
    </w:p>
    <w:p>
      <w:pPr>
        <w:spacing w:line="440" w:lineRule="exact"/>
        <w:ind w:firstLine="480" w:firstLineChars="200"/>
        <w:rPr>
          <w:rFonts w:asciiTheme="minorEastAsia" w:hAnsiTheme="minorEastAsia" w:eastAsiaTheme="minorEastAsia" w:cstheme="minorEastAsia"/>
          <w:bCs/>
          <w:color w:val="auto"/>
          <w:sz w:val="24"/>
        </w:rPr>
      </w:pPr>
    </w:p>
    <w:p>
      <w:pPr>
        <w:pStyle w:val="35"/>
        <w:spacing w:line="440" w:lineRule="exact"/>
        <w:ind w:left="838" w:firstLine="480" w:firstLineChars="200"/>
        <w:rPr>
          <w:rFonts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投标人名称：        （盖章）</w:t>
      </w:r>
    </w:p>
    <w:p>
      <w:pPr>
        <w:pStyle w:val="35"/>
        <w:spacing w:line="440" w:lineRule="exact"/>
        <w:ind w:left="838" w:firstLine="480" w:firstLineChars="200"/>
        <w:rPr>
          <w:rFonts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法定代表人或授权代表（签字）或盖章：</w:t>
      </w:r>
    </w:p>
    <w:p>
      <w:pPr>
        <w:pStyle w:val="35"/>
        <w:spacing w:line="440" w:lineRule="exact"/>
        <w:ind w:left="838" w:firstLine="480" w:firstLineChars="200"/>
        <w:rPr>
          <w:rFonts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通讯地址：</w:t>
      </w:r>
    </w:p>
    <w:p>
      <w:pPr>
        <w:pStyle w:val="35"/>
        <w:spacing w:line="440" w:lineRule="exact"/>
        <w:ind w:left="838" w:firstLine="480" w:firstLineChars="200"/>
        <w:rPr>
          <w:rFonts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邮政编码：</w:t>
      </w:r>
    </w:p>
    <w:p>
      <w:pPr>
        <w:pStyle w:val="35"/>
        <w:spacing w:line="440" w:lineRule="exact"/>
        <w:ind w:left="838" w:firstLine="480" w:firstLineChars="200"/>
        <w:rPr>
          <w:rFonts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联系电话：</w:t>
      </w:r>
    </w:p>
    <w:p>
      <w:pPr>
        <w:pStyle w:val="35"/>
        <w:spacing w:line="440" w:lineRule="exact"/>
        <w:ind w:left="838" w:firstLine="480" w:firstLineChars="200"/>
        <w:rPr>
          <w:rFonts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传    真：</w:t>
      </w:r>
    </w:p>
    <w:p>
      <w:pPr>
        <w:pStyle w:val="35"/>
        <w:spacing w:line="440" w:lineRule="exact"/>
        <w:ind w:left="838" w:firstLine="480" w:firstLineChars="200"/>
        <w:rPr>
          <w:rFonts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日    期：年  月  日</w:t>
      </w:r>
    </w:p>
    <w:p>
      <w:pPr>
        <w:pStyle w:val="32"/>
        <w:spacing w:line="360" w:lineRule="auto"/>
        <w:ind w:right="840"/>
        <w:jc w:val="center"/>
        <w:outlineLvl w:val="1"/>
        <w:rPr>
          <w:rFonts w:asciiTheme="minorEastAsia" w:hAnsiTheme="minorEastAsia" w:eastAsiaTheme="minorEastAsia" w:cstheme="minorEastAsia"/>
          <w:b/>
          <w:bCs/>
          <w:color w:val="auto"/>
          <w:sz w:val="24"/>
          <w:szCs w:val="24"/>
        </w:rPr>
      </w:pPr>
    </w:p>
    <w:p>
      <w:pPr>
        <w:pStyle w:val="4"/>
        <w:jc w:val="cente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4"/>
          <w:szCs w:val="24"/>
        </w:rPr>
        <w:t xml:space="preserve">格式8   </w:t>
      </w:r>
      <w:r>
        <w:rPr>
          <w:rFonts w:hint="eastAsia" w:asciiTheme="minorEastAsia" w:hAnsiTheme="minorEastAsia" w:eastAsiaTheme="minorEastAsia" w:cstheme="minorEastAsia"/>
          <w:color w:val="auto"/>
          <w:sz w:val="24"/>
        </w:rPr>
        <w:t>商务条款偏离表</w:t>
      </w:r>
    </w:p>
    <w:p>
      <w:pPr>
        <w:rPr>
          <w:rFonts w:asciiTheme="minorEastAsia" w:hAnsiTheme="minorEastAsia" w:eastAsiaTheme="minorEastAsia" w:cstheme="minorEastAsia"/>
          <w:color w:val="auto"/>
          <w:sz w:val="24"/>
        </w:rPr>
      </w:pPr>
    </w:p>
    <w:tbl>
      <w:tblPr>
        <w:tblStyle w:val="58"/>
        <w:tblpPr w:leftFromText="180" w:rightFromText="180" w:vertAnchor="page" w:horzAnchor="margin" w:tblpY="2596"/>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49"/>
        <w:gridCol w:w="2371"/>
        <w:gridCol w:w="216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序号</w:t>
            </w:r>
          </w:p>
        </w:tc>
        <w:tc>
          <w:tcPr>
            <w:tcW w:w="1949" w:type="dxa"/>
            <w:vAlign w:val="center"/>
          </w:tcPr>
          <w:p>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招标文件条目号</w:t>
            </w:r>
          </w:p>
        </w:tc>
        <w:tc>
          <w:tcPr>
            <w:tcW w:w="2371" w:type="dxa"/>
            <w:vAlign w:val="center"/>
          </w:tcPr>
          <w:p>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招标文件</w:t>
            </w:r>
          </w:p>
          <w:p>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商务条款</w:t>
            </w:r>
          </w:p>
        </w:tc>
        <w:tc>
          <w:tcPr>
            <w:tcW w:w="2160" w:type="dxa"/>
            <w:vAlign w:val="center"/>
          </w:tcPr>
          <w:p>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投标文件</w:t>
            </w:r>
          </w:p>
          <w:p>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商务条款</w:t>
            </w:r>
          </w:p>
        </w:tc>
        <w:tc>
          <w:tcPr>
            <w:tcW w:w="2340" w:type="dxa"/>
            <w:vAlign w:val="center"/>
          </w:tcPr>
          <w:p>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vAlign w:val="center"/>
          </w:tcPr>
          <w:p>
            <w:pPr>
              <w:rPr>
                <w:rFonts w:asciiTheme="minorEastAsia" w:hAnsiTheme="minorEastAsia" w:eastAsiaTheme="minorEastAsia" w:cstheme="minorEastAsia"/>
                <w:color w:val="auto"/>
                <w:sz w:val="24"/>
              </w:rPr>
            </w:pPr>
          </w:p>
        </w:tc>
        <w:tc>
          <w:tcPr>
            <w:tcW w:w="1949" w:type="dxa"/>
            <w:vAlign w:val="center"/>
          </w:tcPr>
          <w:p>
            <w:pPr>
              <w:rPr>
                <w:rFonts w:asciiTheme="minorEastAsia" w:hAnsiTheme="minorEastAsia" w:eastAsiaTheme="minorEastAsia" w:cstheme="minorEastAsia"/>
                <w:color w:val="auto"/>
                <w:sz w:val="24"/>
              </w:rPr>
            </w:pPr>
          </w:p>
        </w:tc>
        <w:tc>
          <w:tcPr>
            <w:tcW w:w="2371" w:type="dxa"/>
            <w:vAlign w:val="center"/>
          </w:tcPr>
          <w:p>
            <w:pPr>
              <w:rPr>
                <w:rFonts w:asciiTheme="minorEastAsia" w:hAnsiTheme="minorEastAsia" w:eastAsiaTheme="minorEastAsia" w:cstheme="minorEastAsia"/>
                <w:color w:val="auto"/>
                <w:sz w:val="24"/>
              </w:rPr>
            </w:pPr>
          </w:p>
        </w:tc>
        <w:tc>
          <w:tcPr>
            <w:tcW w:w="2160" w:type="dxa"/>
            <w:vAlign w:val="center"/>
          </w:tcPr>
          <w:p>
            <w:pPr>
              <w:rPr>
                <w:rFonts w:asciiTheme="minorEastAsia" w:hAnsiTheme="minorEastAsia" w:eastAsiaTheme="minorEastAsia" w:cstheme="minorEastAsia"/>
                <w:color w:val="auto"/>
                <w:sz w:val="24"/>
              </w:rPr>
            </w:pPr>
          </w:p>
        </w:tc>
        <w:tc>
          <w:tcPr>
            <w:tcW w:w="2340" w:type="dxa"/>
            <w:vAlign w:val="center"/>
          </w:tcPr>
          <w:p>
            <w:pPr>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vAlign w:val="center"/>
          </w:tcPr>
          <w:p>
            <w:pPr>
              <w:rPr>
                <w:rFonts w:asciiTheme="minorEastAsia" w:hAnsiTheme="minorEastAsia" w:eastAsiaTheme="minorEastAsia" w:cstheme="minorEastAsia"/>
                <w:color w:val="auto"/>
                <w:sz w:val="24"/>
              </w:rPr>
            </w:pPr>
          </w:p>
        </w:tc>
        <w:tc>
          <w:tcPr>
            <w:tcW w:w="1949" w:type="dxa"/>
            <w:vAlign w:val="center"/>
          </w:tcPr>
          <w:p>
            <w:pPr>
              <w:rPr>
                <w:rFonts w:asciiTheme="minorEastAsia" w:hAnsiTheme="minorEastAsia" w:eastAsiaTheme="minorEastAsia" w:cstheme="minorEastAsia"/>
                <w:color w:val="auto"/>
                <w:sz w:val="24"/>
              </w:rPr>
            </w:pPr>
          </w:p>
        </w:tc>
        <w:tc>
          <w:tcPr>
            <w:tcW w:w="2371" w:type="dxa"/>
            <w:vAlign w:val="center"/>
          </w:tcPr>
          <w:p>
            <w:pPr>
              <w:rPr>
                <w:rFonts w:asciiTheme="minorEastAsia" w:hAnsiTheme="minorEastAsia" w:eastAsiaTheme="minorEastAsia" w:cstheme="minorEastAsia"/>
                <w:color w:val="auto"/>
                <w:sz w:val="24"/>
              </w:rPr>
            </w:pPr>
          </w:p>
        </w:tc>
        <w:tc>
          <w:tcPr>
            <w:tcW w:w="2160" w:type="dxa"/>
            <w:vAlign w:val="center"/>
          </w:tcPr>
          <w:p>
            <w:pPr>
              <w:rPr>
                <w:rFonts w:asciiTheme="minorEastAsia" w:hAnsiTheme="minorEastAsia" w:eastAsiaTheme="minorEastAsia" w:cstheme="minorEastAsia"/>
                <w:color w:val="auto"/>
                <w:sz w:val="24"/>
              </w:rPr>
            </w:pPr>
          </w:p>
        </w:tc>
        <w:tc>
          <w:tcPr>
            <w:tcW w:w="2340" w:type="dxa"/>
            <w:vAlign w:val="center"/>
          </w:tcPr>
          <w:p>
            <w:pPr>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vAlign w:val="center"/>
          </w:tcPr>
          <w:p>
            <w:pPr>
              <w:rPr>
                <w:rFonts w:asciiTheme="minorEastAsia" w:hAnsiTheme="minorEastAsia" w:eastAsiaTheme="minorEastAsia" w:cstheme="minorEastAsia"/>
                <w:color w:val="auto"/>
                <w:sz w:val="24"/>
              </w:rPr>
            </w:pPr>
          </w:p>
        </w:tc>
        <w:tc>
          <w:tcPr>
            <w:tcW w:w="1949" w:type="dxa"/>
            <w:vAlign w:val="center"/>
          </w:tcPr>
          <w:p>
            <w:pPr>
              <w:rPr>
                <w:rFonts w:asciiTheme="minorEastAsia" w:hAnsiTheme="minorEastAsia" w:eastAsiaTheme="minorEastAsia" w:cstheme="minorEastAsia"/>
                <w:color w:val="auto"/>
                <w:sz w:val="24"/>
              </w:rPr>
            </w:pPr>
          </w:p>
        </w:tc>
        <w:tc>
          <w:tcPr>
            <w:tcW w:w="2371" w:type="dxa"/>
            <w:vAlign w:val="center"/>
          </w:tcPr>
          <w:p>
            <w:pPr>
              <w:rPr>
                <w:rFonts w:asciiTheme="minorEastAsia" w:hAnsiTheme="minorEastAsia" w:eastAsiaTheme="minorEastAsia" w:cstheme="minorEastAsia"/>
                <w:color w:val="auto"/>
                <w:sz w:val="24"/>
              </w:rPr>
            </w:pPr>
          </w:p>
        </w:tc>
        <w:tc>
          <w:tcPr>
            <w:tcW w:w="2160" w:type="dxa"/>
            <w:vAlign w:val="center"/>
          </w:tcPr>
          <w:p>
            <w:pPr>
              <w:rPr>
                <w:rFonts w:asciiTheme="minorEastAsia" w:hAnsiTheme="minorEastAsia" w:eastAsiaTheme="minorEastAsia" w:cstheme="minorEastAsia"/>
                <w:color w:val="auto"/>
                <w:sz w:val="24"/>
              </w:rPr>
            </w:pPr>
          </w:p>
        </w:tc>
        <w:tc>
          <w:tcPr>
            <w:tcW w:w="2340" w:type="dxa"/>
            <w:vAlign w:val="center"/>
          </w:tcPr>
          <w:p>
            <w:pPr>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vAlign w:val="center"/>
          </w:tcPr>
          <w:p>
            <w:pPr>
              <w:rPr>
                <w:rFonts w:asciiTheme="minorEastAsia" w:hAnsiTheme="minorEastAsia" w:eastAsiaTheme="minorEastAsia" w:cstheme="minorEastAsia"/>
                <w:color w:val="auto"/>
                <w:sz w:val="24"/>
              </w:rPr>
            </w:pPr>
          </w:p>
        </w:tc>
        <w:tc>
          <w:tcPr>
            <w:tcW w:w="1949" w:type="dxa"/>
            <w:vAlign w:val="center"/>
          </w:tcPr>
          <w:p>
            <w:pPr>
              <w:rPr>
                <w:rFonts w:asciiTheme="minorEastAsia" w:hAnsiTheme="minorEastAsia" w:eastAsiaTheme="minorEastAsia" w:cstheme="minorEastAsia"/>
                <w:color w:val="auto"/>
                <w:sz w:val="24"/>
              </w:rPr>
            </w:pPr>
          </w:p>
        </w:tc>
        <w:tc>
          <w:tcPr>
            <w:tcW w:w="2371" w:type="dxa"/>
            <w:vAlign w:val="center"/>
          </w:tcPr>
          <w:p>
            <w:pPr>
              <w:rPr>
                <w:rFonts w:asciiTheme="minorEastAsia" w:hAnsiTheme="minorEastAsia" w:eastAsiaTheme="minorEastAsia" w:cstheme="minorEastAsia"/>
                <w:color w:val="auto"/>
                <w:sz w:val="24"/>
              </w:rPr>
            </w:pPr>
          </w:p>
        </w:tc>
        <w:tc>
          <w:tcPr>
            <w:tcW w:w="2160" w:type="dxa"/>
            <w:vAlign w:val="center"/>
          </w:tcPr>
          <w:p>
            <w:pPr>
              <w:rPr>
                <w:rFonts w:asciiTheme="minorEastAsia" w:hAnsiTheme="minorEastAsia" w:eastAsiaTheme="minorEastAsia" w:cstheme="minorEastAsia"/>
                <w:color w:val="auto"/>
                <w:sz w:val="24"/>
              </w:rPr>
            </w:pPr>
          </w:p>
        </w:tc>
        <w:tc>
          <w:tcPr>
            <w:tcW w:w="2340" w:type="dxa"/>
            <w:vAlign w:val="center"/>
          </w:tcPr>
          <w:p>
            <w:pPr>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vAlign w:val="center"/>
          </w:tcPr>
          <w:p>
            <w:pPr>
              <w:rPr>
                <w:rFonts w:asciiTheme="minorEastAsia" w:hAnsiTheme="minorEastAsia" w:eastAsiaTheme="minorEastAsia" w:cstheme="minorEastAsia"/>
                <w:color w:val="auto"/>
                <w:sz w:val="24"/>
              </w:rPr>
            </w:pPr>
          </w:p>
        </w:tc>
        <w:tc>
          <w:tcPr>
            <w:tcW w:w="1949" w:type="dxa"/>
            <w:vAlign w:val="center"/>
          </w:tcPr>
          <w:p>
            <w:pPr>
              <w:rPr>
                <w:rFonts w:asciiTheme="minorEastAsia" w:hAnsiTheme="minorEastAsia" w:eastAsiaTheme="minorEastAsia" w:cstheme="minorEastAsia"/>
                <w:color w:val="auto"/>
                <w:sz w:val="24"/>
              </w:rPr>
            </w:pPr>
          </w:p>
        </w:tc>
        <w:tc>
          <w:tcPr>
            <w:tcW w:w="2371" w:type="dxa"/>
            <w:vAlign w:val="center"/>
          </w:tcPr>
          <w:p>
            <w:pPr>
              <w:rPr>
                <w:rFonts w:asciiTheme="minorEastAsia" w:hAnsiTheme="minorEastAsia" w:eastAsiaTheme="minorEastAsia" w:cstheme="minorEastAsia"/>
                <w:color w:val="auto"/>
                <w:sz w:val="24"/>
              </w:rPr>
            </w:pPr>
          </w:p>
        </w:tc>
        <w:tc>
          <w:tcPr>
            <w:tcW w:w="2160" w:type="dxa"/>
            <w:vAlign w:val="center"/>
          </w:tcPr>
          <w:p>
            <w:pPr>
              <w:rPr>
                <w:rFonts w:asciiTheme="minorEastAsia" w:hAnsiTheme="minorEastAsia" w:eastAsiaTheme="minorEastAsia" w:cstheme="minorEastAsia"/>
                <w:color w:val="auto"/>
                <w:sz w:val="24"/>
              </w:rPr>
            </w:pPr>
          </w:p>
        </w:tc>
        <w:tc>
          <w:tcPr>
            <w:tcW w:w="2340" w:type="dxa"/>
            <w:vAlign w:val="center"/>
          </w:tcPr>
          <w:p>
            <w:pPr>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vAlign w:val="center"/>
          </w:tcPr>
          <w:p>
            <w:pPr>
              <w:rPr>
                <w:rFonts w:asciiTheme="minorEastAsia" w:hAnsiTheme="minorEastAsia" w:eastAsiaTheme="minorEastAsia" w:cstheme="minorEastAsia"/>
                <w:color w:val="auto"/>
                <w:sz w:val="24"/>
              </w:rPr>
            </w:pPr>
          </w:p>
        </w:tc>
        <w:tc>
          <w:tcPr>
            <w:tcW w:w="1949" w:type="dxa"/>
            <w:vAlign w:val="center"/>
          </w:tcPr>
          <w:p>
            <w:pPr>
              <w:rPr>
                <w:rFonts w:asciiTheme="minorEastAsia" w:hAnsiTheme="minorEastAsia" w:eastAsiaTheme="minorEastAsia" w:cstheme="minorEastAsia"/>
                <w:color w:val="auto"/>
                <w:sz w:val="24"/>
              </w:rPr>
            </w:pPr>
          </w:p>
        </w:tc>
        <w:tc>
          <w:tcPr>
            <w:tcW w:w="2371" w:type="dxa"/>
            <w:vAlign w:val="center"/>
          </w:tcPr>
          <w:p>
            <w:pPr>
              <w:rPr>
                <w:rFonts w:asciiTheme="minorEastAsia" w:hAnsiTheme="minorEastAsia" w:eastAsiaTheme="minorEastAsia" w:cstheme="minorEastAsia"/>
                <w:color w:val="auto"/>
                <w:sz w:val="24"/>
              </w:rPr>
            </w:pPr>
          </w:p>
        </w:tc>
        <w:tc>
          <w:tcPr>
            <w:tcW w:w="2160" w:type="dxa"/>
            <w:vAlign w:val="center"/>
          </w:tcPr>
          <w:p>
            <w:pPr>
              <w:rPr>
                <w:rFonts w:asciiTheme="minorEastAsia" w:hAnsiTheme="minorEastAsia" w:eastAsiaTheme="minorEastAsia" w:cstheme="minorEastAsia"/>
                <w:color w:val="auto"/>
                <w:sz w:val="24"/>
              </w:rPr>
            </w:pPr>
          </w:p>
        </w:tc>
        <w:tc>
          <w:tcPr>
            <w:tcW w:w="2340" w:type="dxa"/>
            <w:vAlign w:val="center"/>
          </w:tcPr>
          <w:p>
            <w:pPr>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vAlign w:val="center"/>
          </w:tcPr>
          <w:p>
            <w:pPr>
              <w:rPr>
                <w:rFonts w:asciiTheme="minorEastAsia" w:hAnsiTheme="minorEastAsia" w:eastAsiaTheme="minorEastAsia" w:cstheme="minorEastAsia"/>
                <w:color w:val="auto"/>
                <w:sz w:val="24"/>
              </w:rPr>
            </w:pPr>
          </w:p>
        </w:tc>
        <w:tc>
          <w:tcPr>
            <w:tcW w:w="1949" w:type="dxa"/>
            <w:vAlign w:val="center"/>
          </w:tcPr>
          <w:p>
            <w:pPr>
              <w:rPr>
                <w:rFonts w:asciiTheme="minorEastAsia" w:hAnsiTheme="minorEastAsia" w:eastAsiaTheme="minorEastAsia" w:cstheme="minorEastAsia"/>
                <w:color w:val="auto"/>
                <w:sz w:val="24"/>
              </w:rPr>
            </w:pPr>
          </w:p>
        </w:tc>
        <w:tc>
          <w:tcPr>
            <w:tcW w:w="2371" w:type="dxa"/>
            <w:vAlign w:val="center"/>
          </w:tcPr>
          <w:p>
            <w:pPr>
              <w:rPr>
                <w:rFonts w:asciiTheme="minorEastAsia" w:hAnsiTheme="minorEastAsia" w:eastAsiaTheme="minorEastAsia" w:cstheme="minorEastAsia"/>
                <w:color w:val="auto"/>
                <w:sz w:val="24"/>
              </w:rPr>
            </w:pPr>
          </w:p>
        </w:tc>
        <w:tc>
          <w:tcPr>
            <w:tcW w:w="2160" w:type="dxa"/>
            <w:vAlign w:val="center"/>
          </w:tcPr>
          <w:p>
            <w:pPr>
              <w:rPr>
                <w:rFonts w:asciiTheme="minorEastAsia" w:hAnsiTheme="minorEastAsia" w:eastAsiaTheme="minorEastAsia" w:cstheme="minorEastAsia"/>
                <w:color w:val="auto"/>
                <w:sz w:val="24"/>
              </w:rPr>
            </w:pPr>
          </w:p>
        </w:tc>
        <w:tc>
          <w:tcPr>
            <w:tcW w:w="2340" w:type="dxa"/>
            <w:vAlign w:val="center"/>
          </w:tcPr>
          <w:p>
            <w:pPr>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vAlign w:val="center"/>
          </w:tcPr>
          <w:p>
            <w:pPr>
              <w:rPr>
                <w:rFonts w:asciiTheme="minorEastAsia" w:hAnsiTheme="minorEastAsia" w:eastAsiaTheme="minorEastAsia" w:cstheme="minorEastAsia"/>
                <w:color w:val="auto"/>
                <w:sz w:val="24"/>
              </w:rPr>
            </w:pPr>
          </w:p>
        </w:tc>
        <w:tc>
          <w:tcPr>
            <w:tcW w:w="1949" w:type="dxa"/>
            <w:vAlign w:val="center"/>
          </w:tcPr>
          <w:p>
            <w:pPr>
              <w:rPr>
                <w:rFonts w:asciiTheme="minorEastAsia" w:hAnsiTheme="minorEastAsia" w:eastAsiaTheme="minorEastAsia" w:cstheme="minorEastAsia"/>
                <w:color w:val="auto"/>
                <w:sz w:val="24"/>
              </w:rPr>
            </w:pPr>
          </w:p>
        </w:tc>
        <w:tc>
          <w:tcPr>
            <w:tcW w:w="2371" w:type="dxa"/>
            <w:vAlign w:val="center"/>
          </w:tcPr>
          <w:p>
            <w:pPr>
              <w:rPr>
                <w:rFonts w:asciiTheme="minorEastAsia" w:hAnsiTheme="minorEastAsia" w:eastAsiaTheme="minorEastAsia" w:cstheme="minorEastAsia"/>
                <w:color w:val="auto"/>
                <w:sz w:val="24"/>
              </w:rPr>
            </w:pPr>
          </w:p>
        </w:tc>
        <w:tc>
          <w:tcPr>
            <w:tcW w:w="2160" w:type="dxa"/>
            <w:vAlign w:val="center"/>
          </w:tcPr>
          <w:p>
            <w:pPr>
              <w:rPr>
                <w:rFonts w:asciiTheme="minorEastAsia" w:hAnsiTheme="minorEastAsia" w:eastAsiaTheme="minorEastAsia" w:cstheme="minorEastAsia"/>
                <w:color w:val="auto"/>
                <w:sz w:val="24"/>
              </w:rPr>
            </w:pPr>
          </w:p>
        </w:tc>
        <w:tc>
          <w:tcPr>
            <w:tcW w:w="2340" w:type="dxa"/>
            <w:vAlign w:val="center"/>
          </w:tcPr>
          <w:p>
            <w:pPr>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vAlign w:val="center"/>
          </w:tcPr>
          <w:p>
            <w:pPr>
              <w:rPr>
                <w:rFonts w:asciiTheme="minorEastAsia" w:hAnsiTheme="minorEastAsia" w:eastAsiaTheme="minorEastAsia" w:cstheme="minorEastAsia"/>
                <w:color w:val="auto"/>
                <w:sz w:val="24"/>
              </w:rPr>
            </w:pPr>
          </w:p>
        </w:tc>
        <w:tc>
          <w:tcPr>
            <w:tcW w:w="1949" w:type="dxa"/>
            <w:vAlign w:val="center"/>
          </w:tcPr>
          <w:p>
            <w:pPr>
              <w:rPr>
                <w:rFonts w:asciiTheme="minorEastAsia" w:hAnsiTheme="minorEastAsia" w:eastAsiaTheme="minorEastAsia" w:cstheme="minorEastAsia"/>
                <w:color w:val="auto"/>
                <w:sz w:val="24"/>
              </w:rPr>
            </w:pPr>
          </w:p>
        </w:tc>
        <w:tc>
          <w:tcPr>
            <w:tcW w:w="2371" w:type="dxa"/>
            <w:vAlign w:val="center"/>
          </w:tcPr>
          <w:p>
            <w:pPr>
              <w:rPr>
                <w:rFonts w:asciiTheme="minorEastAsia" w:hAnsiTheme="minorEastAsia" w:eastAsiaTheme="minorEastAsia" w:cstheme="minorEastAsia"/>
                <w:color w:val="auto"/>
                <w:sz w:val="24"/>
              </w:rPr>
            </w:pPr>
          </w:p>
        </w:tc>
        <w:tc>
          <w:tcPr>
            <w:tcW w:w="2160" w:type="dxa"/>
            <w:vAlign w:val="center"/>
          </w:tcPr>
          <w:p>
            <w:pPr>
              <w:rPr>
                <w:rFonts w:asciiTheme="minorEastAsia" w:hAnsiTheme="minorEastAsia" w:eastAsiaTheme="minorEastAsia" w:cstheme="minorEastAsia"/>
                <w:color w:val="auto"/>
                <w:sz w:val="24"/>
              </w:rPr>
            </w:pPr>
          </w:p>
        </w:tc>
        <w:tc>
          <w:tcPr>
            <w:tcW w:w="2340" w:type="dxa"/>
            <w:vAlign w:val="center"/>
          </w:tcPr>
          <w:p>
            <w:pPr>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vAlign w:val="center"/>
          </w:tcPr>
          <w:p>
            <w:pPr>
              <w:rPr>
                <w:rFonts w:asciiTheme="minorEastAsia" w:hAnsiTheme="minorEastAsia" w:eastAsiaTheme="minorEastAsia" w:cstheme="minorEastAsia"/>
                <w:color w:val="auto"/>
                <w:sz w:val="24"/>
              </w:rPr>
            </w:pPr>
          </w:p>
        </w:tc>
        <w:tc>
          <w:tcPr>
            <w:tcW w:w="1949" w:type="dxa"/>
            <w:vAlign w:val="center"/>
          </w:tcPr>
          <w:p>
            <w:pPr>
              <w:rPr>
                <w:rFonts w:asciiTheme="minorEastAsia" w:hAnsiTheme="minorEastAsia" w:eastAsiaTheme="minorEastAsia" w:cstheme="minorEastAsia"/>
                <w:color w:val="auto"/>
                <w:sz w:val="24"/>
              </w:rPr>
            </w:pPr>
          </w:p>
        </w:tc>
        <w:tc>
          <w:tcPr>
            <w:tcW w:w="2371" w:type="dxa"/>
            <w:vAlign w:val="center"/>
          </w:tcPr>
          <w:p>
            <w:pPr>
              <w:rPr>
                <w:rFonts w:asciiTheme="minorEastAsia" w:hAnsiTheme="minorEastAsia" w:eastAsiaTheme="minorEastAsia" w:cstheme="minorEastAsia"/>
                <w:color w:val="auto"/>
                <w:sz w:val="24"/>
              </w:rPr>
            </w:pPr>
          </w:p>
        </w:tc>
        <w:tc>
          <w:tcPr>
            <w:tcW w:w="2160" w:type="dxa"/>
            <w:vAlign w:val="center"/>
          </w:tcPr>
          <w:p>
            <w:pPr>
              <w:rPr>
                <w:rFonts w:asciiTheme="minorEastAsia" w:hAnsiTheme="minorEastAsia" w:eastAsiaTheme="minorEastAsia" w:cstheme="minorEastAsia"/>
                <w:color w:val="auto"/>
                <w:sz w:val="24"/>
              </w:rPr>
            </w:pPr>
          </w:p>
        </w:tc>
        <w:tc>
          <w:tcPr>
            <w:tcW w:w="2340" w:type="dxa"/>
            <w:vAlign w:val="center"/>
          </w:tcPr>
          <w:p>
            <w:pPr>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vAlign w:val="center"/>
          </w:tcPr>
          <w:p>
            <w:pPr>
              <w:rPr>
                <w:rFonts w:asciiTheme="minorEastAsia" w:hAnsiTheme="minorEastAsia" w:eastAsiaTheme="minorEastAsia" w:cstheme="minorEastAsia"/>
                <w:color w:val="auto"/>
                <w:sz w:val="24"/>
              </w:rPr>
            </w:pPr>
          </w:p>
        </w:tc>
        <w:tc>
          <w:tcPr>
            <w:tcW w:w="1949" w:type="dxa"/>
            <w:vAlign w:val="center"/>
          </w:tcPr>
          <w:p>
            <w:pPr>
              <w:rPr>
                <w:rFonts w:asciiTheme="minorEastAsia" w:hAnsiTheme="minorEastAsia" w:eastAsiaTheme="minorEastAsia" w:cstheme="minorEastAsia"/>
                <w:color w:val="auto"/>
                <w:sz w:val="24"/>
              </w:rPr>
            </w:pPr>
          </w:p>
        </w:tc>
        <w:tc>
          <w:tcPr>
            <w:tcW w:w="2371" w:type="dxa"/>
            <w:vAlign w:val="center"/>
          </w:tcPr>
          <w:p>
            <w:pPr>
              <w:rPr>
                <w:rFonts w:asciiTheme="minorEastAsia" w:hAnsiTheme="minorEastAsia" w:eastAsiaTheme="minorEastAsia" w:cstheme="minorEastAsia"/>
                <w:color w:val="auto"/>
                <w:sz w:val="24"/>
              </w:rPr>
            </w:pPr>
          </w:p>
        </w:tc>
        <w:tc>
          <w:tcPr>
            <w:tcW w:w="2160" w:type="dxa"/>
            <w:vAlign w:val="center"/>
          </w:tcPr>
          <w:p>
            <w:pPr>
              <w:rPr>
                <w:rFonts w:asciiTheme="minorEastAsia" w:hAnsiTheme="minorEastAsia" w:eastAsiaTheme="minorEastAsia" w:cstheme="minorEastAsia"/>
                <w:color w:val="auto"/>
                <w:sz w:val="24"/>
              </w:rPr>
            </w:pPr>
          </w:p>
        </w:tc>
        <w:tc>
          <w:tcPr>
            <w:tcW w:w="2340" w:type="dxa"/>
            <w:vAlign w:val="center"/>
          </w:tcPr>
          <w:p>
            <w:pPr>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vAlign w:val="center"/>
          </w:tcPr>
          <w:p>
            <w:pPr>
              <w:rPr>
                <w:rFonts w:asciiTheme="minorEastAsia" w:hAnsiTheme="minorEastAsia" w:eastAsiaTheme="minorEastAsia" w:cstheme="minorEastAsia"/>
                <w:color w:val="auto"/>
                <w:sz w:val="24"/>
              </w:rPr>
            </w:pPr>
          </w:p>
        </w:tc>
        <w:tc>
          <w:tcPr>
            <w:tcW w:w="1949" w:type="dxa"/>
            <w:vAlign w:val="center"/>
          </w:tcPr>
          <w:p>
            <w:pPr>
              <w:rPr>
                <w:rFonts w:asciiTheme="minorEastAsia" w:hAnsiTheme="minorEastAsia" w:eastAsiaTheme="minorEastAsia" w:cstheme="minorEastAsia"/>
                <w:color w:val="auto"/>
                <w:sz w:val="24"/>
              </w:rPr>
            </w:pPr>
          </w:p>
        </w:tc>
        <w:tc>
          <w:tcPr>
            <w:tcW w:w="2371" w:type="dxa"/>
            <w:vAlign w:val="center"/>
          </w:tcPr>
          <w:p>
            <w:pPr>
              <w:rPr>
                <w:rFonts w:asciiTheme="minorEastAsia" w:hAnsiTheme="minorEastAsia" w:eastAsiaTheme="minorEastAsia" w:cstheme="minorEastAsia"/>
                <w:color w:val="auto"/>
                <w:sz w:val="24"/>
              </w:rPr>
            </w:pPr>
          </w:p>
        </w:tc>
        <w:tc>
          <w:tcPr>
            <w:tcW w:w="2160" w:type="dxa"/>
            <w:vAlign w:val="center"/>
          </w:tcPr>
          <w:p>
            <w:pPr>
              <w:rPr>
                <w:rFonts w:asciiTheme="minorEastAsia" w:hAnsiTheme="minorEastAsia" w:eastAsiaTheme="minorEastAsia" w:cstheme="minorEastAsia"/>
                <w:color w:val="auto"/>
                <w:sz w:val="24"/>
              </w:rPr>
            </w:pPr>
          </w:p>
        </w:tc>
        <w:tc>
          <w:tcPr>
            <w:tcW w:w="2340" w:type="dxa"/>
            <w:vAlign w:val="center"/>
          </w:tcPr>
          <w:p>
            <w:pPr>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vAlign w:val="center"/>
          </w:tcPr>
          <w:p>
            <w:pPr>
              <w:rPr>
                <w:rFonts w:asciiTheme="minorEastAsia" w:hAnsiTheme="minorEastAsia" w:eastAsiaTheme="minorEastAsia" w:cstheme="minorEastAsia"/>
                <w:color w:val="auto"/>
                <w:sz w:val="24"/>
              </w:rPr>
            </w:pPr>
          </w:p>
        </w:tc>
        <w:tc>
          <w:tcPr>
            <w:tcW w:w="1949" w:type="dxa"/>
            <w:vAlign w:val="center"/>
          </w:tcPr>
          <w:p>
            <w:pPr>
              <w:rPr>
                <w:rFonts w:asciiTheme="minorEastAsia" w:hAnsiTheme="minorEastAsia" w:eastAsiaTheme="minorEastAsia" w:cstheme="minorEastAsia"/>
                <w:color w:val="auto"/>
                <w:sz w:val="24"/>
              </w:rPr>
            </w:pPr>
          </w:p>
        </w:tc>
        <w:tc>
          <w:tcPr>
            <w:tcW w:w="2371" w:type="dxa"/>
            <w:vAlign w:val="center"/>
          </w:tcPr>
          <w:p>
            <w:pPr>
              <w:rPr>
                <w:rFonts w:asciiTheme="minorEastAsia" w:hAnsiTheme="minorEastAsia" w:eastAsiaTheme="minorEastAsia" w:cstheme="minorEastAsia"/>
                <w:color w:val="auto"/>
                <w:sz w:val="24"/>
              </w:rPr>
            </w:pPr>
          </w:p>
        </w:tc>
        <w:tc>
          <w:tcPr>
            <w:tcW w:w="2160" w:type="dxa"/>
            <w:vAlign w:val="center"/>
          </w:tcPr>
          <w:p>
            <w:pPr>
              <w:rPr>
                <w:rFonts w:asciiTheme="minorEastAsia" w:hAnsiTheme="minorEastAsia" w:eastAsiaTheme="minorEastAsia" w:cstheme="minorEastAsia"/>
                <w:color w:val="auto"/>
                <w:sz w:val="24"/>
              </w:rPr>
            </w:pPr>
          </w:p>
        </w:tc>
        <w:tc>
          <w:tcPr>
            <w:tcW w:w="2340" w:type="dxa"/>
            <w:vAlign w:val="center"/>
          </w:tcPr>
          <w:p>
            <w:pPr>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vAlign w:val="center"/>
          </w:tcPr>
          <w:p>
            <w:pPr>
              <w:rPr>
                <w:rFonts w:asciiTheme="minorEastAsia" w:hAnsiTheme="minorEastAsia" w:eastAsiaTheme="minorEastAsia" w:cstheme="minorEastAsia"/>
                <w:color w:val="auto"/>
                <w:sz w:val="24"/>
              </w:rPr>
            </w:pPr>
          </w:p>
        </w:tc>
        <w:tc>
          <w:tcPr>
            <w:tcW w:w="1949" w:type="dxa"/>
            <w:vAlign w:val="center"/>
          </w:tcPr>
          <w:p>
            <w:pPr>
              <w:rPr>
                <w:rFonts w:asciiTheme="minorEastAsia" w:hAnsiTheme="minorEastAsia" w:eastAsiaTheme="minorEastAsia" w:cstheme="minorEastAsia"/>
                <w:color w:val="auto"/>
                <w:sz w:val="24"/>
              </w:rPr>
            </w:pPr>
          </w:p>
        </w:tc>
        <w:tc>
          <w:tcPr>
            <w:tcW w:w="2371" w:type="dxa"/>
            <w:vAlign w:val="center"/>
          </w:tcPr>
          <w:p>
            <w:pPr>
              <w:rPr>
                <w:rFonts w:asciiTheme="minorEastAsia" w:hAnsiTheme="minorEastAsia" w:eastAsiaTheme="minorEastAsia" w:cstheme="minorEastAsia"/>
                <w:color w:val="auto"/>
                <w:sz w:val="24"/>
              </w:rPr>
            </w:pPr>
          </w:p>
        </w:tc>
        <w:tc>
          <w:tcPr>
            <w:tcW w:w="2160" w:type="dxa"/>
            <w:vAlign w:val="center"/>
          </w:tcPr>
          <w:p>
            <w:pPr>
              <w:rPr>
                <w:rFonts w:asciiTheme="minorEastAsia" w:hAnsiTheme="minorEastAsia" w:eastAsiaTheme="minorEastAsia" w:cstheme="minorEastAsia"/>
                <w:color w:val="auto"/>
                <w:sz w:val="24"/>
              </w:rPr>
            </w:pPr>
          </w:p>
        </w:tc>
        <w:tc>
          <w:tcPr>
            <w:tcW w:w="2340" w:type="dxa"/>
            <w:vAlign w:val="center"/>
          </w:tcPr>
          <w:p>
            <w:pPr>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vAlign w:val="center"/>
          </w:tcPr>
          <w:p>
            <w:pPr>
              <w:rPr>
                <w:rFonts w:asciiTheme="minorEastAsia" w:hAnsiTheme="minorEastAsia" w:eastAsiaTheme="minorEastAsia" w:cstheme="minorEastAsia"/>
                <w:color w:val="auto"/>
                <w:sz w:val="24"/>
              </w:rPr>
            </w:pPr>
          </w:p>
        </w:tc>
        <w:tc>
          <w:tcPr>
            <w:tcW w:w="1949" w:type="dxa"/>
            <w:vAlign w:val="center"/>
          </w:tcPr>
          <w:p>
            <w:pPr>
              <w:rPr>
                <w:rFonts w:asciiTheme="minorEastAsia" w:hAnsiTheme="minorEastAsia" w:eastAsiaTheme="minorEastAsia" w:cstheme="minorEastAsia"/>
                <w:color w:val="auto"/>
                <w:sz w:val="24"/>
              </w:rPr>
            </w:pPr>
          </w:p>
        </w:tc>
        <w:tc>
          <w:tcPr>
            <w:tcW w:w="2371" w:type="dxa"/>
            <w:vAlign w:val="center"/>
          </w:tcPr>
          <w:p>
            <w:pPr>
              <w:rPr>
                <w:rFonts w:asciiTheme="minorEastAsia" w:hAnsiTheme="minorEastAsia" w:eastAsiaTheme="minorEastAsia" w:cstheme="minorEastAsia"/>
                <w:color w:val="auto"/>
                <w:sz w:val="24"/>
              </w:rPr>
            </w:pPr>
          </w:p>
        </w:tc>
        <w:tc>
          <w:tcPr>
            <w:tcW w:w="2160" w:type="dxa"/>
            <w:vAlign w:val="center"/>
          </w:tcPr>
          <w:p>
            <w:pPr>
              <w:rPr>
                <w:rFonts w:asciiTheme="minorEastAsia" w:hAnsiTheme="minorEastAsia" w:eastAsiaTheme="minorEastAsia" w:cstheme="minorEastAsia"/>
                <w:color w:val="auto"/>
                <w:sz w:val="24"/>
              </w:rPr>
            </w:pPr>
          </w:p>
        </w:tc>
        <w:tc>
          <w:tcPr>
            <w:tcW w:w="2340" w:type="dxa"/>
            <w:vAlign w:val="center"/>
          </w:tcPr>
          <w:p>
            <w:pPr>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vAlign w:val="center"/>
          </w:tcPr>
          <w:p>
            <w:pPr>
              <w:rPr>
                <w:rFonts w:asciiTheme="minorEastAsia" w:hAnsiTheme="minorEastAsia" w:eastAsiaTheme="minorEastAsia" w:cstheme="minorEastAsia"/>
                <w:color w:val="auto"/>
                <w:sz w:val="24"/>
              </w:rPr>
            </w:pPr>
          </w:p>
        </w:tc>
        <w:tc>
          <w:tcPr>
            <w:tcW w:w="1949" w:type="dxa"/>
            <w:vAlign w:val="center"/>
          </w:tcPr>
          <w:p>
            <w:pPr>
              <w:rPr>
                <w:rFonts w:asciiTheme="minorEastAsia" w:hAnsiTheme="minorEastAsia" w:eastAsiaTheme="minorEastAsia" w:cstheme="minorEastAsia"/>
                <w:color w:val="auto"/>
                <w:sz w:val="24"/>
              </w:rPr>
            </w:pPr>
          </w:p>
        </w:tc>
        <w:tc>
          <w:tcPr>
            <w:tcW w:w="2371" w:type="dxa"/>
            <w:vAlign w:val="center"/>
          </w:tcPr>
          <w:p>
            <w:pPr>
              <w:rPr>
                <w:rFonts w:asciiTheme="minorEastAsia" w:hAnsiTheme="minorEastAsia" w:eastAsiaTheme="minorEastAsia" w:cstheme="minorEastAsia"/>
                <w:color w:val="auto"/>
                <w:sz w:val="24"/>
              </w:rPr>
            </w:pPr>
          </w:p>
        </w:tc>
        <w:tc>
          <w:tcPr>
            <w:tcW w:w="2160" w:type="dxa"/>
            <w:vAlign w:val="center"/>
          </w:tcPr>
          <w:p>
            <w:pPr>
              <w:rPr>
                <w:rFonts w:asciiTheme="minorEastAsia" w:hAnsiTheme="minorEastAsia" w:eastAsiaTheme="minorEastAsia" w:cstheme="minorEastAsia"/>
                <w:color w:val="auto"/>
                <w:sz w:val="24"/>
              </w:rPr>
            </w:pPr>
          </w:p>
        </w:tc>
        <w:tc>
          <w:tcPr>
            <w:tcW w:w="2340" w:type="dxa"/>
            <w:vAlign w:val="center"/>
          </w:tcPr>
          <w:p>
            <w:pPr>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vAlign w:val="center"/>
          </w:tcPr>
          <w:p>
            <w:pPr>
              <w:rPr>
                <w:rFonts w:asciiTheme="minorEastAsia" w:hAnsiTheme="minorEastAsia" w:eastAsiaTheme="minorEastAsia" w:cstheme="minorEastAsia"/>
                <w:color w:val="auto"/>
                <w:sz w:val="24"/>
              </w:rPr>
            </w:pPr>
          </w:p>
        </w:tc>
        <w:tc>
          <w:tcPr>
            <w:tcW w:w="1949" w:type="dxa"/>
            <w:vAlign w:val="center"/>
          </w:tcPr>
          <w:p>
            <w:pPr>
              <w:rPr>
                <w:rFonts w:asciiTheme="minorEastAsia" w:hAnsiTheme="minorEastAsia" w:eastAsiaTheme="minorEastAsia" w:cstheme="minorEastAsia"/>
                <w:color w:val="auto"/>
                <w:sz w:val="24"/>
              </w:rPr>
            </w:pPr>
          </w:p>
        </w:tc>
        <w:tc>
          <w:tcPr>
            <w:tcW w:w="2371" w:type="dxa"/>
            <w:vAlign w:val="center"/>
          </w:tcPr>
          <w:p>
            <w:pPr>
              <w:rPr>
                <w:rFonts w:asciiTheme="minorEastAsia" w:hAnsiTheme="minorEastAsia" w:eastAsiaTheme="minorEastAsia" w:cstheme="minorEastAsia"/>
                <w:color w:val="auto"/>
                <w:sz w:val="24"/>
              </w:rPr>
            </w:pPr>
          </w:p>
        </w:tc>
        <w:tc>
          <w:tcPr>
            <w:tcW w:w="2160" w:type="dxa"/>
            <w:vAlign w:val="center"/>
          </w:tcPr>
          <w:p>
            <w:pPr>
              <w:rPr>
                <w:rFonts w:asciiTheme="minorEastAsia" w:hAnsiTheme="minorEastAsia" w:eastAsiaTheme="minorEastAsia" w:cstheme="minorEastAsia"/>
                <w:color w:val="auto"/>
                <w:sz w:val="24"/>
              </w:rPr>
            </w:pPr>
          </w:p>
        </w:tc>
        <w:tc>
          <w:tcPr>
            <w:tcW w:w="2340" w:type="dxa"/>
            <w:vAlign w:val="center"/>
          </w:tcPr>
          <w:p>
            <w:pPr>
              <w:rPr>
                <w:rFonts w:asciiTheme="minorEastAsia" w:hAnsiTheme="minorEastAsia" w:eastAsiaTheme="minorEastAsia" w:cstheme="minorEastAsia"/>
                <w:color w:val="auto"/>
                <w:sz w:val="24"/>
              </w:rPr>
            </w:pPr>
          </w:p>
        </w:tc>
      </w:tr>
    </w:tbl>
    <w:p>
      <w:pPr>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
          <w:bCs/>
          <w:color w:val="auto"/>
          <w:sz w:val="24"/>
        </w:rPr>
        <w:t>注：投标人按此表格式列出不影响投标实质性响应的商务偏差，没有说明的其他条款将被认为完全满足招标文件的规定。</w:t>
      </w:r>
    </w:p>
    <w:p>
      <w:pPr>
        <w:pStyle w:val="32"/>
        <w:spacing w:line="360" w:lineRule="auto"/>
        <w:rPr>
          <w:rFonts w:asciiTheme="minorEastAsia" w:hAnsiTheme="minorEastAsia" w:eastAsiaTheme="minorEastAsia" w:cstheme="minorEastAsia"/>
          <w:bCs/>
          <w:color w:val="auto"/>
          <w:sz w:val="24"/>
          <w:szCs w:val="24"/>
        </w:rPr>
      </w:pPr>
    </w:p>
    <w:p>
      <w:pPr>
        <w:pStyle w:val="32"/>
        <w:spacing w:line="360" w:lineRule="auto"/>
        <w:rPr>
          <w:rFonts w:asciiTheme="minorEastAsia" w:hAnsiTheme="minorEastAsia" w:eastAsiaTheme="minorEastAsia" w:cstheme="minorEastAsia"/>
          <w:bCs/>
          <w:color w:val="auto"/>
          <w:sz w:val="24"/>
          <w:szCs w:val="24"/>
        </w:rPr>
      </w:pPr>
    </w:p>
    <w:p>
      <w:pPr>
        <w:spacing w:line="360" w:lineRule="auto"/>
        <w:ind w:firstLine="240" w:firstLineChars="1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投标人(盖章)： </w:t>
      </w:r>
    </w:p>
    <w:p>
      <w:pPr>
        <w:spacing w:line="360" w:lineRule="auto"/>
        <w:ind w:firstLine="240" w:firstLineChars="100"/>
        <w:rPr>
          <w:rFonts w:asciiTheme="minorEastAsia" w:hAnsiTheme="minorEastAsia" w:eastAsiaTheme="minorEastAsia" w:cstheme="minorEastAsia"/>
          <w:color w:val="auto"/>
          <w:sz w:val="24"/>
        </w:rPr>
      </w:pPr>
    </w:p>
    <w:p>
      <w:pPr>
        <w:spacing w:line="360" w:lineRule="auto"/>
        <w:ind w:firstLine="240" w:firstLineChars="100"/>
        <w:rPr>
          <w:rFonts w:asciiTheme="minorEastAsia" w:hAnsiTheme="minorEastAsia" w:eastAsiaTheme="minorEastAsia" w:cstheme="minorEastAsia"/>
          <w:color w:val="auto"/>
          <w:sz w:val="24"/>
        </w:rPr>
      </w:pPr>
    </w:p>
    <w:p>
      <w:pPr>
        <w:pStyle w:val="32"/>
        <w:spacing w:line="360" w:lineRule="auto"/>
        <w:ind w:firstLine="480" w:firstLineChars="200"/>
        <w:rPr>
          <w:rFonts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color w:val="auto"/>
          <w:sz w:val="24"/>
          <w:szCs w:val="24"/>
        </w:rPr>
        <w:t>法定代表人或委托代理人（签字或盖章）</w:t>
      </w:r>
      <w:r>
        <w:rPr>
          <w:rFonts w:hint="eastAsia" w:asciiTheme="minorEastAsia" w:hAnsiTheme="minorEastAsia" w:eastAsiaTheme="minorEastAsia" w:cstheme="minorEastAsia"/>
          <w:bCs/>
          <w:color w:val="auto"/>
          <w:sz w:val="24"/>
          <w:szCs w:val="24"/>
        </w:rPr>
        <w:t xml:space="preserve">： </w:t>
      </w:r>
    </w:p>
    <w:p>
      <w:pPr>
        <w:pStyle w:val="32"/>
        <w:spacing w:line="360" w:lineRule="auto"/>
        <w:rPr>
          <w:rFonts w:asciiTheme="minorEastAsia" w:hAnsiTheme="minorEastAsia" w:eastAsiaTheme="minorEastAsia" w:cstheme="minorEastAsia"/>
          <w:color w:val="auto"/>
          <w:sz w:val="24"/>
          <w:szCs w:val="24"/>
        </w:rPr>
      </w:pPr>
    </w:p>
    <w:p>
      <w:pPr>
        <w:pStyle w:val="32"/>
        <w:spacing w:line="360" w:lineRule="auto"/>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年  月  日</w:t>
      </w:r>
    </w:p>
    <w:p>
      <w:pPr>
        <w:tabs>
          <w:tab w:val="left" w:pos="360"/>
          <w:tab w:val="left" w:pos="1800"/>
        </w:tabs>
        <w:spacing w:line="480" w:lineRule="exact"/>
        <w:jc w:val="center"/>
        <w:rPr>
          <w:rFonts w:asciiTheme="minorEastAsia" w:hAnsiTheme="minorEastAsia" w:eastAsiaTheme="minorEastAsia" w:cstheme="minorEastAsia"/>
          <w:b/>
          <w:bCs/>
          <w:color w:val="auto"/>
          <w:sz w:val="24"/>
        </w:rPr>
      </w:pPr>
      <w:bookmarkStart w:id="175" w:name="_Toc243907641"/>
      <w:bookmarkStart w:id="176" w:name="_Toc246216304"/>
      <w:bookmarkStart w:id="177" w:name="_Toc245369914"/>
      <w:bookmarkStart w:id="178" w:name="_Toc246216439"/>
      <w:bookmarkStart w:id="179" w:name="_Toc246216281"/>
      <w:bookmarkStart w:id="180" w:name="_Toc243906411"/>
      <w:bookmarkStart w:id="181" w:name="_Toc243905166"/>
      <w:r>
        <w:rPr>
          <w:rFonts w:hint="eastAsia" w:asciiTheme="minorEastAsia" w:hAnsiTheme="minorEastAsia" w:eastAsiaTheme="minorEastAsia" w:cstheme="minorEastAsia"/>
          <w:b/>
          <w:color w:val="auto"/>
          <w:sz w:val="24"/>
        </w:rPr>
        <w:t xml:space="preserve">格式9   </w:t>
      </w:r>
      <w:r>
        <w:rPr>
          <w:rFonts w:hint="eastAsia" w:asciiTheme="minorEastAsia" w:hAnsiTheme="minorEastAsia" w:eastAsiaTheme="minorEastAsia" w:cstheme="minorEastAsia"/>
          <w:b/>
          <w:bCs/>
          <w:color w:val="auto"/>
          <w:sz w:val="24"/>
        </w:rPr>
        <w:t>中小企业声明函</w:t>
      </w:r>
    </w:p>
    <w:p>
      <w:pPr>
        <w:tabs>
          <w:tab w:val="left" w:pos="6300"/>
        </w:tabs>
        <w:snapToGrid w:val="0"/>
        <w:spacing w:line="500" w:lineRule="exact"/>
        <w:ind w:firstLine="720" w:firstLineChars="200"/>
        <w:jc w:val="center"/>
        <w:outlineLvl w:val="0"/>
        <w:rPr>
          <w:rFonts w:asciiTheme="minorEastAsia" w:hAnsiTheme="minorEastAsia" w:eastAsiaTheme="minorEastAsia" w:cstheme="minorEastAsia"/>
          <w:color w:val="auto"/>
          <w:sz w:val="36"/>
          <w:szCs w:val="36"/>
        </w:rPr>
      </w:pPr>
    </w:p>
    <w:p>
      <w:pPr>
        <w:spacing w:line="360" w:lineRule="auto"/>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根据《政府采购促进中小企业发展暂行办法》（财库〔2011〕181号）、《工业和信息化部、国家统计局、国家发展和改革委员会、财政部关于印发中小企业划型标准规定的通知》（工信部联企业〔2011〕300号）的规定，本公司郑重声明：</w:t>
      </w:r>
    </w:p>
    <w:p>
      <w:pPr>
        <w:spacing w:line="360" w:lineRule="auto"/>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一、本公司为</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 xml:space="preserve"> （请填写：中型、小型、微型）企业。</w:t>
      </w:r>
    </w:p>
    <w:p>
      <w:pPr>
        <w:spacing w:line="360" w:lineRule="auto"/>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（一）本公司所属行业为</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请填写：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spacing w:line="360" w:lineRule="auto"/>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（二）本公司从业人员</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人。</w:t>
      </w:r>
    </w:p>
    <w:p>
      <w:pPr>
        <w:spacing w:line="360" w:lineRule="auto"/>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（三）本公司上年度营业收入</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万元。</w:t>
      </w:r>
    </w:p>
    <w:p>
      <w:pPr>
        <w:spacing w:line="360" w:lineRule="auto"/>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二、本公司参加</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单位的</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项目采购活动提供本企业制造的货物。</w:t>
      </w:r>
    </w:p>
    <w:p>
      <w:pPr>
        <w:spacing w:line="360" w:lineRule="auto"/>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或者[本公司参加</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单位的</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项目采购活动提供其他</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（请填写：中型、小型、微型）企业制造的货物。]</w:t>
      </w:r>
    </w:p>
    <w:p>
      <w:pPr>
        <w:spacing w:line="360" w:lineRule="auto"/>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本公司对上述声明的真实性负责。如有虚假，将依法承担相应责任。</w:t>
      </w:r>
    </w:p>
    <w:p>
      <w:pPr>
        <w:spacing w:line="360" w:lineRule="auto"/>
        <w:ind w:firstLine="480"/>
        <w:rPr>
          <w:rFonts w:asciiTheme="minorEastAsia" w:hAnsiTheme="minorEastAsia" w:eastAsiaTheme="minorEastAsia" w:cstheme="minorEastAsia"/>
          <w:color w:val="auto"/>
          <w:sz w:val="24"/>
        </w:rPr>
      </w:pPr>
    </w:p>
    <w:p>
      <w:pPr>
        <w:spacing w:line="360" w:lineRule="auto"/>
        <w:ind w:firstLine="480"/>
        <w:rPr>
          <w:rFonts w:asciiTheme="minorEastAsia" w:hAnsiTheme="minorEastAsia" w:eastAsiaTheme="minorEastAsia" w:cstheme="minorEastAsia"/>
          <w:color w:val="auto"/>
          <w:sz w:val="24"/>
        </w:rPr>
      </w:pPr>
    </w:p>
    <w:p>
      <w:pPr>
        <w:spacing w:line="360" w:lineRule="auto"/>
        <w:ind w:firstLine="3600" w:firstLineChars="15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企业名称（盖章）：</w:t>
      </w:r>
    </w:p>
    <w:p>
      <w:pPr>
        <w:pStyle w:val="32"/>
        <w:spacing w:line="360" w:lineRule="auto"/>
        <w:ind w:firstLine="480"/>
        <w:rPr>
          <w:rFonts w:asciiTheme="minorEastAsia" w:hAnsiTheme="minorEastAsia" w:eastAsiaTheme="minorEastAsia" w:cstheme="minorEastAsia"/>
          <w:color w:val="auto"/>
          <w:sz w:val="24"/>
          <w:szCs w:val="24"/>
        </w:rPr>
        <w:sectPr>
          <w:footerReference r:id="rId4" w:type="default"/>
          <w:pgSz w:w="11907" w:h="16840"/>
          <w:pgMar w:top="1440" w:right="1077" w:bottom="1440" w:left="1077" w:header="964" w:footer="992" w:gutter="0"/>
          <w:pgNumType w:start="1"/>
          <w:cols w:space="425" w:num="1"/>
          <w:docGrid w:linePitch="354" w:charSpace="0"/>
        </w:sectPr>
      </w:pPr>
      <w:r>
        <w:rPr>
          <w:rFonts w:hint="eastAsia" w:asciiTheme="minorEastAsia" w:hAnsiTheme="minorEastAsia" w:eastAsiaTheme="minorEastAsia" w:cstheme="minorEastAsia"/>
          <w:color w:val="auto"/>
          <w:sz w:val="24"/>
          <w:szCs w:val="24"/>
        </w:rPr>
        <w:t xml:space="preserve">                            日期：</w:t>
      </w:r>
    </w:p>
    <w:p>
      <w:pPr>
        <w:pStyle w:val="4"/>
        <w:jc w:val="cente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4"/>
        </w:rPr>
        <w:t>格式1</w:t>
      </w:r>
      <w:bookmarkEnd w:id="175"/>
      <w:bookmarkEnd w:id="176"/>
      <w:bookmarkEnd w:id="177"/>
      <w:bookmarkEnd w:id="178"/>
      <w:bookmarkEnd w:id="179"/>
      <w:bookmarkEnd w:id="180"/>
      <w:bookmarkEnd w:id="181"/>
      <w:r>
        <w:rPr>
          <w:rFonts w:hint="eastAsia" w:asciiTheme="minorEastAsia" w:hAnsiTheme="minorEastAsia" w:eastAsiaTheme="minorEastAsia" w:cstheme="minorEastAsia"/>
          <w:color w:val="auto"/>
          <w:sz w:val="24"/>
        </w:rPr>
        <w:t>0  技术条款偏离表</w:t>
      </w:r>
    </w:p>
    <w:p>
      <w:pPr>
        <w:rPr>
          <w:rFonts w:asciiTheme="minorEastAsia" w:hAnsiTheme="minorEastAsia" w:eastAsiaTheme="minorEastAsia" w:cstheme="minorEastAsia"/>
          <w:b/>
          <w:color w:val="auto"/>
          <w:sz w:val="24"/>
        </w:rPr>
      </w:pPr>
    </w:p>
    <w:tbl>
      <w:tblPr>
        <w:tblStyle w:val="58"/>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06"/>
        <w:gridCol w:w="1690"/>
        <w:gridCol w:w="1620"/>
        <w:gridCol w:w="1800"/>
        <w:gridCol w:w="1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序号</w:t>
            </w:r>
          </w:p>
        </w:tc>
        <w:tc>
          <w:tcPr>
            <w:tcW w:w="1606" w:type="dxa"/>
            <w:vAlign w:val="center"/>
          </w:tcPr>
          <w:p>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项目名称</w:t>
            </w:r>
          </w:p>
        </w:tc>
        <w:tc>
          <w:tcPr>
            <w:tcW w:w="1690" w:type="dxa"/>
            <w:vAlign w:val="center"/>
          </w:tcPr>
          <w:p>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服务内容及要求</w:t>
            </w:r>
          </w:p>
        </w:tc>
        <w:tc>
          <w:tcPr>
            <w:tcW w:w="1620" w:type="dxa"/>
            <w:vAlign w:val="center"/>
          </w:tcPr>
          <w:p>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招标要求</w:t>
            </w:r>
          </w:p>
        </w:tc>
        <w:tc>
          <w:tcPr>
            <w:tcW w:w="1800" w:type="dxa"/>
            <w:vAlign w:val="center"/>
          </w:tcPr>
          <w:p>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投标规格</w:t>
            </w:r>
          </w:p>
        </w:tc>
        <w:tc>
          <w:tcPr>
            <w:tcW w:w="1744" w:type="dxa"/>
            <w:vAlign w:val="center"/>
          </w:tcPr>
          <w:p>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rPr>
                <w:rFonts w:asciiTheme="minorEastAsia" w:hAnsiTheme="minorEastAsia" w:eastAsiaTheme="minorEastAsia" w:cstheme="minorEastAsia"/>
                <w:color w:val="auto"/>
                <w:sz w:val="24"/>
              </w:rPr>
            </w:pPr>
          </w:p>
        </w:tc>
        <w:tc>
          <w:tcPr>
            <w:tcW w:w="1606" w:type="dxa"/>
            <w:vAlign w:val="center"/>
          </w:tcPr>
          <w:p>
            <w:pPr>
              <w:rPr>
                <w:rFonts w:asciiTheme="minorEastAsia" w:hAnsiTheme="minorEastAsia" w:eastAsiaTheme="minorEastAsia" w:cstheme="minorEastAsia"/>
                <w:color w:val="auto"/>
                <w:sz w:val="24"/>
              </w:rPr>
            </w:pPr>
          </w:p>
        </w:tc>
        <w:tc>
          <w:tcPr>
            <w:tcW w:w="1690" w:type="dxa"/>
            <w:vAlign w:val="center"/>
          </w:tcPr>
          <w:p>
            <w:pPr>
              <w:rPr>
                <w:rFonts w:asciiTheme="minorEastAsia" w:hAnsiTheme="minorEastAsia" w:eastAsiaTheme="minorEastAsia" w:cstheme="minorEastAsia"/>
                <w:color w:val="auto"/>
                <w:sz w:val="24"/>
              </w:rPr>
            </w:pPr>
          </w:p>
        </w:tc>
        <w:tc>
          <w:tcPr>
            <w:tcW w:w="1620" w:type="dxa"/>
            <w:vAlign w:val="center"/>
          </w:tcPr>
          <w:p>
            <w:pPr>
              <w:rPr>
                <w:rFonts w:asciiTheme="minorEastAsia" w:hAnsiTheme="minorEastAsia" w:eastAsiaTheme="minorEastAsia" w:cstheme="minorEastAsia"/>
                <w:color w:val="auto"/>
                <w:sz w:val="24"/>
              </w:rPr>
            </w:pPr>
          </w:p>
        </w:tc>
        <w:tc>
          <w:tcPr>
            <w:tcW w:w="1800" w:type="dxa"/>
            <w:vAlign w:val="center"/>
          </w:tcPr>
          <w:p>
            <w:pPr>
              <w:rPr>
                <w:rFonts w:asciiTheme="minorEastAsia" w:hAnsiTheme="minorEastAsia" w:eastAsiaTheme="minorEastAsia" w:cstheme="minorEastAsia"/>
                <w:color w:val="auto"/>
                <w:sz w:val="24"/>
              </w:rPr>
            </w:pPr>
          </w:p>
        </w:tc>
        <w:tc>
          <w:tcPr>
            <w:tcW w:w="1744" w:type="dxa"/>
            <w:vAlign w:val="center"/>
          </w:tcPr>
          <w:p>
            <w:pPr>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rPr>
                <w:rFonts w:asciiTheme="minorEastAsia" w:hAnsiTheme="minorEastAsia" w:eastAsiaTheme="minorEastAsia" w:cstheme="minorEastAsia"/>
                <w:color w:val="auto"/>
                <w:sz w:val="24"/>
              </w:rPr>
            </w:pPr>
          </w:p>
        </w:tc>
        <w:tc>
          <w:tcPr>
            <w:tcW w:w="1606" w:type="dxa"/>
            <w:vAlign w:val="center"/>
          </w:tcPr>
          <w:p>
            <w:pPr>
              <w:rPr>
                <w:rFonts w:asciiTheme="minorEastAsia" w:hAnsiTheme="minorEastAsia" w:eastAsiaTheme="minorEastAsia" w:cstheme="minorEastAsia"/>
                <w:color w:val="auto"/>
                <w:sz w:val="24"/>
              </w:rPr>
            </w:pPr>
          </w:p>
        </w:tc>
        <w:tc>
          <w:tcPr>
            <w:tcW w:w="1690" w:type="dxa"/>
            <w:vAlign w:val="center"/>
          </w:tcPr>
          <w:p>
            <w:pPr>
              <w:rPr>
                <w:rFonts w:asciiTheme="minorEastAsia" w:hAnsiTheme="minorEastAsia" w:eastAsiaTheme="minorEastAsia" w:cstheme="minorEastAsia"/>
                <w:color w:val="auto"/>
                <w:sz w:val="24"/>
              </w:rPr>
            </w:pPr>
          </w:p>
        </w:tc>
        <w:tc>
          <w:tcPr>
            <w:tcW w:w="1620" w:type="dxa"/>
            <w:vAlign w:val="center"/>
          </w:tcPr>
          <w:p>
            <w:pPr>
              <w:rPr>
                <w:rFonts w:asciiTheme="minorEastAsia" w:hAnsiTheme="minorEastAsia" w:eastAsiaTheme="minorEastAsia" w:cstheme="minorEastAsia"/>
                <w:color w:val="auto"/>
                <w:sz w:val="24"/>
              </w:rPr>
            </w:pPr>
          </w:p>
        </w:tc>
        <w:tc>
          <w:tcPr>
            <w:tcW w:w="1800" w:type="dxa"/>
            <w:vAlign w:val="center"/>
          </w:tcPr>
          <w:p>
            <w:pPr>
              <w:rPr>
                <w:rFonts w:asciiTheme="minorEastAsia" w:hAnsiTheme="minorEastAsia" w:eastAsiaTheme="minorEastAsia" w:cstheme="minorEastAsia"/>
                <w:color w:val="auto"/>
                <w:sz w:val="24"/>
              </w:rPr>
            </w:pPr>
          </w:p>
        </w:tc>
        <w:tc>
          <w:tcPr>
            <w:tcW w:w="1744" w:type="dxa"/>
            <w:vAlign w:val="center"/>
          </w:tcPr>
          <w:p>
            <w:pPr>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rPr>
                <w:rFonts w:asciiTheme="minorEastAsia" w:hAnsiTheme="minorEastAsia" w:eastAsiaTheme="minorEastAsia" w:cstheme="minorEastAsia"/>
                <w:color w:val="auto"/>
                <w:sz w:val="24"/>
              </w:rPr>
            </w:pPr>
          </w:p>
        </w:tc>
        <w:tc>
          <w:tcPr>
            <w:tcW w:w="1606" w:type="dxa"/>
            <w:vAlign w:val="center"/>
          </w:tcPr>
          <w:p>
            <w:pPr>
              <w:rPr>
                <w:rFonts w:asciiTheme="minorEastAsia" w:hAnsiTheme="minorEastAsia" w:eastAsiaTheme="minorEastAsia" w:cstheme="minorEastAsia"/>
                <w:color w:val="auto"/>
                <w:sz w:val="24"/>
              </w:rPr>
            </w:pPr>
          </w:p>
        </w:tc>
        <w:tc>
          <w:tcPr>
            <w:tcW w:w="1690" w:type="dxa"/>
            <w:vAlign w:val="center"/>
          </w:tcPr>
          <w:p>
            <w:pPr>
              <w:rPr>
                <w:rFonts w:asciiTheme="minorEastAsia" w:hAnsiTheme="minorEastAsia" w:eastAsiaTheme="minorEastAsia" w:cstheme="minorEastAsia"/>
                <w:color w:val="auto"/>
                <w:sz w:val="24"/>
              </w:rPr>
            </w:pPr>
          </w:p>
        </w:tc>
        <w:tc>
          <w:tcPr>
            <w:tcW w:w="1620" w:type="dxa"/>
            <w:vAlign w:val="center"/>
          </w:tcPr>
          <w:p>
            <w:pPr>
              <w:rPr>
                <w:rFonts w:asciiTheme="minorEastAsia" w:hAnsiTheme="minorEastAsia" w:eastAsiaTheme="minorEastAsia" w:cstheme="minorEastAsia"/>
                <w:color w:val="auto"/>
                <w:sz w:val="24"/>
              </w:rPr>
            </w:pPr>
          </w:p>
        </w:tc>
        <w:tc>
          <w:tcPr>
            <w:tcW w:w="1800" w:type="dxa"/>
            <w:vAlign w:val="center"/>
          </w:tcPr>
          <w:p>
            <w:pPr>
              <w:rPr>
                <w:rFonts w:asciiTheme="minorEastAsia" w:hAnsiTheme="minorEastAsia" w:eastAsiaTheme="minorEastAsia" w:cstheme="minorEastAsia"/>
                <w:color w:val="auto"/>
                <w:sz w:val="24"/>
              </w:rPr>
            </w:pPr>
          </w:p>
        </w:tc>
        <w:tc>
          <w:tcPr>
            <w:tcW w:w="1744" w:type="dxa"/>
            <w:vAlign w:val="center"/>
          </w:tcPr>
          <w:p>
            <w:pPr>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rPr>
                <w:rFonts w:asciiTheme="minorEastAsia" w:hAnsiTheme="minorEastAsia" w:eastAsiaTheme="minorEastAsia" w:cstheme="minorEastAsia"/>
                <w:color w:val="auto"/>
                <w:sz w:val="24"/>
              </w:rPr>
            </w:pPr>
          </w:p>
        </w:tc>
        <w:tc>
          <w:tcPr>
            <w:tcW w:w="1606" w:type="dxa"/>
            <w:vAlign w:val="center"/>
          </w:tcPr>
          <w:p>
            <w:pPr>
              <w:rPr>
                <w:rFonts w:asciiTheme="minorEastAsia" w:hAnsiTheme="minorEastAsia" w:eastAsiaTheme="minorEastAsia" w:cstheme="minorEastAsia"/>
                <w:color w:val="auto"/>
                <w:sz w:val="24"/>
              </w:rPr>
            </w:pPr>
          </w:p>
        </w:tc>
        <w:tc>
          <w:tcPr>
            <w:tcW w:w="1690" w:type="dxa"/>
            <w:vAlign w:val="center"/>
          </w:tcPr>
          <w:p>
            <w:pPr>
              <w:rPr>
                <w:rFonts w:asciiTheme="minorEastAsia" w:hAnsiTheme="minorEastAsia" w:eastAsiaTheme="minorEastAsia" w:cstheme="minorEastAsia"/>
                <w:color w:val="auto"/>
                <w:sz w:val="24"/>
              </w:rPr>
            </w:pPr>
          </w:p>
        </w:tc>
        <w:tc>
          <w:tcPr>
            <w:tcW w:w="1620" w:type="dxa"/>
            <w:vAlign w:val="center"/>
          </w:tcPr>
          <w:p>
            <w:pPr>
              <w:rPr>
                <w:rFonts w:asciiTheme="minorEastAsia" w:hAnsiTheme="minorEastAsia" w:eastAsiaTheme="minorEastAsia" w:cstheme="minorEastAsia"/>
                <w:color w:val="auto"/>
                <w:sz w:val="24"/>
              </w:rPr>
            </w:pPr>
          </w:p>
        </w:tc>
        <w:tc>
          <w:tcPr>
            <w:tcW w:w="1800" w:type="dxa"/>
            <w:vAlign w:val="center"/>
          </w:tcPr>
          <w:p>
            <w:pPr>
              <w:rPr>
                <w:rFonts w:asciiTheme="minorEastAsia" w:hAnsiTheme="minorEastAsia" w:eastAsiaTheme="minorEastAsia" w:cstheme="minorEastAsia"/>
                <w:color w:val="auto"/>
                <w:sz w:val="24"/>
              </w:rPr>
            </w:pPr>
          </w:p>
        </w:tc>
        <w:tc>
          <w:tcPr>
            <w:tcW w:w="1744" w:type="dxa"/>
            <w:vAlign w:val="center"/>
          </w:tcPr>
          <w:p>
            <w:pPr>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rPr>
                <w:rFonts w:asciiTheme="minorEastAsia" w:hAnsiTheme="minorEastAsia" w:eastAsiaTheme="minorEastAsia" w:cstheme="minorEastAsia"/>
                <w:color w:val="auto"/>
                <w:sz w:val="24"/>
              </w:rPr>
            </w:pPr>
          </w:p>
        </w:tc>
        <w:tc>
          <w:tcPr>
            <w:tcW w:w="1606" w:type="dxa"/>
            <w:vAlign w:val="center"/>
          </w:tcPr>
          <w:p>
            <w:pPr>
              <w:rPr>
                <w:rFonts w:asciiTheme="minorEastAsia" w:hAnsiTheme="minorEastAsia" w:eastAsiaTheme="minorEastAsia" w:cstheme="minorEastAsia"/>
                <w:color w:val="auto"/>
                <w:sz w:val="24"/>
              </w:rPr>
            </w:pPr>
          </w:p>
        </w:tc>
        <w:tc>
          <w:tcPr>
            <w:tcW w:w="1690" w:type="dxa"/>
            <w:vAlign w:val="center"/>
          </w:tcPr>
          <w:p>
            <w:pPr>
              <w:rPr>
                <w:rFonts w:asciiTheme="minorEastAsia" w:hAnsiTheme="minorEastAsia" w:eastAsiaTheme="minorEastAsia" w:cstheme="minorEastAsia"/>
                <w:color w:val="auto"/>
                <w:sz w:val="24"/>
              </w:rPr>
            </w:pPr>
          </w:p>
        </w:tc>
        <w:tc>
          <w:tcPr>
            <w:tcW w:w="1620" w:type="dxa"/>
            <w:vAlign w:val="center"/>
          </w:tcPr>
          <w:p>
            <w:pPr>
              <w:rPr>
                <w:rFonts w:asciiTheme="minorEastAsia" w:hAnsiTheme="minorEastAsia" w:eastAsiaTheme="minorEastAsia" w:cstheme="minorEastAsia"/>
                <w:color w:val="auto"/>
                <w:sz w:val="24"/>
              </w:rPr>
            </w:pPr>
          </w:p>
        </w:tc>
        <w:tc>
          <w:tcPr>
            <w:tcW w:w="1800" w:type="dxa"/>
            <w:vAlign w:val="center"/>
          </w:tcPr>
          <w:p>
            <w:pPr>
              <w:rPr>
                <w:rFonts w:asciiTheme="minorEastAsia" w:hAnsiTheme="minorEastAsia" w:eastAsiaTheme="minorEastAsia" w:cstheme="minorEastAsia"/>
                <w:color w:val="auto"/>
                <w:sz w:val="24"/>
              </w:rPr>
            </w:pPr>
          </w:p>
        </w:tc>
        <w:tc>
          <w:tcPr>
            <w:tcW w:w="1744" w:type="dxa"/>
            <w:vAlign w:val="center"/>
          </w:tcPr>
          <w:p>
            <w:pPr>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rPr>
                <w:rFonts w:asciiTheme="minorEastAsia" w:hAnsiTheme="minorEastAsia" w:eastAsiaTheme="minorEastAsia" w:cstheme="minorEastAsia"/>
                <w:color w:val="auto"/>
                <w:sz w:val="24"/>
              </w:rPr>
            </w:pPr>
          </w:p>
        </w:tc>
        <w:tc>
          <w:tcPr>
            <w:tcW w:w="1606" w:type="dxa"/>
            <w:vAlign w:val="center"/>
          </w:tcPr>
          <w:p>
            <w:pPr>
              <w:rPr>
                <w:rFonts w:asciiTheme="minorEastAsia" w:hAnsiTheme="minorEastAsia" w:eastAsiaTheme="minorEastAsia" w:cstheme="minorEastAsia"/>
                <w:color w:val="auto"/>
                <w:sz w:val="24"/>
              </w:rPr>
            </w:pPr>
          </w:p>
        </w:tc>
        <w:tc>
          <w:tcPr>
            <w:tcW w:w="1690" w:type="dxa"/>
            <w:vAlign w:val="center"/>
          </w:tcPr>
          <w:p>
            <w:pPr>
              <w:rPr>
                <w:rFonts w:asciiTheme="minorEastAsia" w:hAnsiTheme="minorEastAsia" w:eastAsiaTheme="minorEastAsia" w:cstheme="minorEastAsia"/>
                <w:color w:val="auto"/>
                <w:sz w:val="24"/>
              </w:rPr>
            </w:pPr>
          </w:p>
        </w:tc>
        <w:tc>
          <w:tcPr>
            <w:tcW w:w="1620" w:type="dxa"/>
            <w:vAlign w:val="center"/>
          </w:tcPr>
          <w:p>
            <w:pPr>
              <w:rPr>
                <w:rFonts w:asciiTheme="minorEastAsia" w:hAnsiTheme="minorEastAsia" w:eastAsiaTheme="minorEastAsia" w:cstheme="minorEastAsia"/>
                <w:color w:val="auto"/>
                <w:sz w:val="24"/>
              </w:rPr>
            </w:pPr>
          </w:p>
        </w:tc>
        <w:tc>
          <w:tcPr>
            <w:tcW w:w="1800" w:type="dxa"/>
            <w:vAlign w:val="center"/>
          </w:tcPr>
          <w:p>
            <w:pPr>
              <w:rPr>
                <w:rFonts w:asciiTheme="minorEastAsia" w:hAnsiTheme="minorEastAsia" w:eastAsiaTheme="minorEastAsia" w:cstheme="minorEastAsia"/>
                <w:color w:val="auto"/>
                <w:sz w:val="24"/>
              </w:rPr>
            </w:pPr>
          </w:p>
        </w:tc>
        <w:tc>
          <w:tcPr>
            <w:tcW w:w="1744" w:type="dxa"/>
            <w:vAlign w:val="center"/>
          </w:tcPr>
          <w:p>
            <w:pPr>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rPr>
                <w:rFonts w:asciiTheme="minorEastAsia" w:hAnsiTheme="minorEastAsia" w:eastAsiaTheme="minorEastAsia" w:cstheme="minorEastAsia"/>
                <w:color w:val="auto"/>
                <w:sz w:val="24"/>
              </w:rPr>
            </w:pPr>
          </w:p>
        </w:tc>
        <w:tc>
          <w:tcPr>
            <w:tcW w:w="1606" w:type="dxa"/>
            <w:vAlign w:val="center"/>
          </w:tcPr>
          <w:p>
            <w:pPr>
              <w:rPr>
                <w:rFonts w:asciiTheme="minorEastAsia" w:hAnsiTheme="minorEastAsia" w:eastAsiaTheme="minorEastAsia" w:cstheme="minorEastAsia"/>
                <w:color w:val="auto"/>
                <w:sz w:val="24"/>
              </w:rPr>
            </w:pPr>
          </w:p>
        </w:tc>
        <w:tc>
          <w:tcPr>
            <w:tcW w:w="1690" w:type="dxa"/>
            <w:vAlign w:val="center"/>
          </w:tcPr>
          <w:p>
            <w:pPr>
              <w:rPr>
                <w:rFonts w:asciiTheme="minorEastAsia" w:hAnsiTheme="minorEastAsia" w:eastAsiaTheme="minorEastAsia" w:cstheme="minorEastAsia"/>
                <w:color w:val="auto"/>
                <w:sz w:val="24"/>
              </w:rPr>
            </w:pPr>
          </w:p>
        </w:tc>
        <w:tc>
          <w:tcPr>
            <w:tcW w:w="1620" w:type="dxa"/>
            <w:vAlign w:val="center"/>
          </w:tcPr>
          <w:p>
            <w:pPr>
              <w:rPr>
                <w:rFonts w:asciiTheme="minorEastAsia" w:hAnsiTheme="minorEastAsia" w:eastAsiaTheme="minorEastAsia" w:cstheme="minorEastAsia"/>
                <w:color w:val="auto"/>
                <w:sz w:val="24"/>
              </w:rPr>
            </w:pPr>
          </w:p>
        </w:tc>
        <w:tc>
          <w:tcPr>
            <w:tcW w:w="1800" w:type="dxa"/>
            <w:vAlign w:val="center"/>
          </w:tcPr>
          <w:p>
            <w:pPr>
              <w:rPr>
                <w:rFonts w:asciiTheme="minorEastAsia" w:hAnsiTheme="minorEastAsia" w:eastAsiaTheme="minorEastAsia" w:cstheme="minorEastAsia"/>
                <w:color w:val="auto"/>
                <w:sz w:val="24"/>
              </w:rPr>
            </w:pPr>
          </w:p>
        </w:tc>
        <w:tc>
          <w:tcPr>
            <w:tcW w:w="1744" w:type="dxa"/>
            <w:vAlign w:val="center"/>
          </w:tcPr>
          <w:p>
            <w:pPr>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rPr>
                <w:rFonts w:asciiTheme="minorEastAsia" w:hAnsiTheme="minorEastAsia" w:eastAsiaTheme="minorEastAsia" w:cstheme="minorEastAsia"/>
                <w:color w:val="auto"/>
                <w:sz w:val="24"/>
              </w:rPr>
            </w:pPr>
          </w:p>
        </w:tc>
        <w:tc>
          <w:tcPr>
            <w:tcW w:w="1606" w:type="dxa"/>
            <w:vAlign w:val="center"/>
          </w:tcPr>
          <w:p>
            <w:pPr>
              <w:rPr>
                <w:rFonts w:asciiTheme="minorEastAsia" w:hAnsiTheme="minorEastAsia" w:eastAsiaTheme="minorEastAsia" w:cstheme="minorEastAsia"/>
                <w:color w:val="auto"/>
                <w:sz w:val="24"/>
              </w:rPr>
            </w:pPr>
          </w:p>
        </w:tc>
        <w:tc>
          <w:tcPr>
            <w:tcW w:w="1690" w:type="dxa"/>
            <w:vAlign w:val="center"/>
          </w:tcPr>
          <w:p>
            <w:pPr>
              <w:rPr>
                <w:rFonts w:asciiTheme="minorEastAsia" w:hAnsiTheme="minorEastAsia" w:eastAsiaTheme="minorEastAsia" w:cstheme="minorEastAsia"/>
                <w:color w:val="auto"/>
                <w:sz w:val="24"/>
              </w:rPr>
            </w:pPr>
          </w:p>
        </w:tc>
        <w:tc>
          <w:tcPr>
            <w:tcW w:w="1620" w:type="dxa"/>
            <w:vAlign w:val="center"/>
          </w:tcPr>
          <w:p>
            <w:pPr>
              <w:rPr>
                <w:rFonts w:asciiTheme="minorEastAsia" w:hAnsiTheme="minorEastAsia" w:eastAsiaTheme="minorEastAsia" w:cstheme="minorEastAsia"/>
                <w:color w:val="auto"/>
                <w:sz w:val="24"/>
              </w:rPr>
            </w:pPr>
          </w:p>
        </w:tc>
        <w:tc>
          <w:tcPr>
            <w:tcW w:w="1800" w:type="dxa"/>
            <w:vAlign w:val="center"/>
          </w:tcPr>
          <w:p>
            <w:pPr>
              <w:rPr>
                <w:rFonts w:asciiTheme="minorEastAsia" w:hAnsiTheme="minorEastAsia" w:eastAsiaTheme="minorEastAsia" w:cstheme="minorEastAsia"/>
                <w:color w:val="auto"/>
                <w:sz w:val="24"/>
              </w:rPr>
            </w:pPr>
          </w:p>
        </w:tc>
        <w:tc>
          <w:tcPr>
            <w:tcW w:w="1744" w:type="dxa"/>
            <w:vAlign w:val="center"/>
          </w:tcPr>
          <w:p>
            <w:pPr>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rPr>
                <w:rFonts w:asciiTheme="minorEastAsia" w:hAnsiTheme="minorEastAsia" w:eastAsiaTheme="minorEastAsia" w:cstheme="minorEastAsia"/>
                <w:color w:val="auto"/>
                <w:sz w:val="24"/>
              </w:rPr>
            </w:pPr>
          </w:p>
        </w:tc>
        <w:tc>
          <w:tcPr>
            <w:tcW w:w="1606" w:type="dxa"/>
            <w:vAlign w:val="center"/>
          </w:tcPr>
          <w:p>
            <w:pPr>
              <w:rPr>
                <w:rFonts w:asciiTheme="minorEastAsia" w:hAnsiTheme="minorEastAsia" w:eastAsiaTheme="minorEastAsia" w:cstheme="minorEastAsia"/>
                <w:color w:val="auto"/>
                <w:sz w:val="24"/>
              </w:rPr>
            </w:pPr>
          </w:p>
        </w:tc>
        <w:tc>
          <w:tcPr>
            <w:tcW w:w="1690" w:type="dxa"/>
            <w:vAlign w:val="center"/>
          </w:tcPr>
          <w:p>
            <w:pPr>
              <w:rPr>
                <w:rFonts w:asciiTheme="minorEastAsia" w:hAnsiTheme="minorEastAsia" w:eastAsiaTheme="minorEastAsia" w:cstheme="minorEastAsia"/>
                <w:color w:val="auto"/>
                <w:sz w:val="24"/>
              </w:rPr>
            </w:pPr>
          </w:p>
        </w:tc>
        <w:tc>
          <w:tcPr>
            <w:tcW w:w="1620" w:type="dxa"/>
            <w:vAlign w:val="center"/>
          </w:tcPr>
          <w:p>
            <w:pPr>
              <w:rPr>
                <w:rFonts w:asciiTheme="minorEastAsia" w:hAnsiTheme="minorEastAsia" w:eastAsiaTheme="minorEastAsia" w:cstheme="minorEastAsia"/>
                <w:color w:val="auto"/>
                <w:sz w:val="24"/>
              </w:rPr>
            </w:pPr>
          </w:p>
        </w:tc>
        <w:tc>
          <w:tcPr>
            <w:tcW w:w="1800" w:type="dxa"/>
            <w:vAlign w:val="center"/>
          </w:tcPr>
          <w:p>
            <w:pPr>
              <w:rPr>
                <w:rFonts w:asciiTheme="minorEastAsia" w:hAnsiTheme="minorEastAsia" w:eastAsiaTheme="minorEastAsia" w:cstheme="minorEastAsia"/>
                <w:color w:val="auto"/>
                <w:sz w:val="24"/>
              </w:rPr>
            </w:pPr>
          </w:p>
        </w:tc>
        <w:tc>
          <w:tcPr>
            <w:tcW w:w="1744" w:type="dxa"/>
            <w:vAlign w:val="center"/>
          </w:tcPr>
          <w:p>
            <w:pPr>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rPr>
                <w:rFonts w:asciiTheme="minorEastAsia" w:hAnsiTheme="minorEastAsia" w:eastAsiaTheme="minorEastAsia" w:cstheme="minorEastAsia"/>
                <w:color w:val="auto"/>
                <w:sz w:val="24"/>
              </w:rPr>
            </w:pPr>
          </w:p>
        </w:tc>
        <w:tc>
          <w:tcPr>
            <w:tcW w:w="1606" w:type="dxa"/>
            <w:vAlign w:val="center"/>
          </w:tcPr>
          <w:p>
            <w:pPr>
              <w:rPr>
                <w:rFonts w:asciiTheme="minorEastAsia" w:hAnsiTheme="minorEastAsia" w:eastAsiaTheme="minorEastAsia" w:cstheme="minorEastAsia"/>
                <w:color w:val="auto"/>
                <w:sz w:val="24"/>
              </w:rPr>
            </w:pPr>
          </w:p>
        </w:tc>
        <w:tc>
          <w:tcPr>
            <w:tcW w:w="1690" w:type="dxa"/>
            <w:vAlign w:val="center"/>
          </w:tcPr>
          <w:p>
            <w:pPr>
              <w:rPr>
                <w:rFonts w:asciiTheme="minorEastAsia" w:hAnsiTheme="minorEastAsia" w:eastAsiaTheme="minorEastAsia" w:cstheme="minorEastAsia"/>
                <w:color w:val="auto"/>
                <w:sz w:val="24"/>
              </w:rPr>
            </w:pPr>
          </w:p>
        </w:tc>
        <w:tc>
          <w:tcPr>
            <w:tcW w:w="1620" w:type="dxa"/>
            <w:vAlign w:val="center"/>
          </w:tcPr>
          <w:p>
            <w:pPr>
              <w:rPr>
                <w:rFonts w:asciiTheme="minorEastAsia" w:hAnsiTheme="minorEastAsia" w:eastAsiaTheme="minorEastAsia" w:cstheme="minorEastAsia"/>
                <w:color w:val="auto"/>
                <w:sz w:val="24"/>
              </w:rPr>
            </w:pPr>
          </w:p>
        </w:tc>
        <w:tc>
          <w:tcPr>
            <w:tcW w:w="1800" w:type="dxa"/>
            <w:vAlign w:val="center"/>
          </w:tcPr>
          <w:p>
            <w:pPr>
              <w:rPr>
                <w:rFonts w:asciiTheme="minorEastAsia" w:hAnsiTheme="minorEastAsia" w:eastAsiaTheme="minorEastAsia" w:cstheme="minorEastAsia"/>
                <w:color w:val="auto"/>
                <w:sz w:val="24"/>
              </w:rPr>
            </w:pPr>
          </w:p>
        </w:tc>
        <w:tc>
          <w:tcPr>
            <w:tcW w:w="1744" w:type="dxa"/>
            <w:vAlign w:val="center"/>
          </w:tcPr>
          <w:p>
            <w:pPr>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rPr>
                <w:rFonts w:asciiTheme="minorEastAsia" w:hAnsiTheme="minorEastAsia" w:eastAsiaTheme="minorEastAsia" w:cstheme="minorEastAsia"/>
                <w:color w:val="auto"/>
                <w:sz w:val="24"/>
              </w:rPr>
            </w:pPr>
          </w:p>
        </w:tc>
        <w:tc>
          <w:tcPr>
            <w:tcW w:w="1606" w:type="dxa"/>
            <w:vAlign w:val="center"/>
          </w:tcPr>
          <w:p>
            <w:pPr>
              <w:rPr>
                <w:rFonts w:asciiTheme="minorEastAsia" w:hAnsiTheme="minorEastAsia" w:eastAsiaTheme="minorEastAsia" w:cstheme="minorEastAsia"/>
                <w:color w:val="auto"/>
                <w:sz w:val="24"/>
              </w:rPr>
            </w:pPr>
          </w:p>
        </w:tc>
        <w:tc>
          <w:tcPr>
            <w:tcW w:w="1690" w:type="dxa"/>
            <w:vAlign w:val="center"/>
          </w:tcPr>
          <w:p>
            <w:pPr>
              <w:rPr>
                <w:rFonts w:asciiTheme="minorEastAsia" w:hAnsiTheme="minorEastAsia" w:eastAsiaTheme="minorEastAsia" w:cstheme="minorEastAsia"/>
                <w:color w:val="auto"/>
                <w:sz w:val="24"/>
              </w:rPr>
            </w:pPr>
          </w:p>
        </w:tc>
        <w:tc>
          <w:tcPr>
            <w:tcW w:w="1620" w:type="dxa"/>
            <w:vAlign w:val="center"/>
          </w:tcPr>
          <w:p>
            <w:pPr>
              <w:rPr>
                <w:rFonts w:asciiTheme="minorEastAsia" w:hAnsiTheme="minorEastAsia" w:eastAsiaTheme="minorEastAsia" w:cstheme="minorEastAsia"/>
                <w:color w:val="auto"/>
                <w:sz w:val="24"/>
              </w:rPr>
            </w:pPr>
          </w:p>
        </w:tc>
        <w:tc>
          <w:tcPr>
            <w:tcW w:w="1800" w:type="dxa"/>
            <w:vAlign w:val="center"/>
          </w:tcPr>
          <w:p>
            <w:pPr>
              <w:rPr>
                <w:rFonts w:asciiTheme="minorEastAsia" w:hAnsiTheme="minorEastAsia" w:eastAsiaTheme="minorEastAsia" w:cstheme="minorEastAsia"/>
                <w:color w:val="auto"/>
                <w:sz w:val="24"/>
              </w:rPr>
            </w:pPr>
          </w:p>
        </w:tc>
        <w:tc>
          <w:tcPr>
            <w:tcW w:w="1744" w:type="dxa"/>
            <w:vAlign w:val="center"/>
          </w:tcPr>
          <w:p>
            <w:pPr>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rPr>
                <w:rFonts w:asciiTheme="minorEastAsia" w:hAnsiTheme="minorEastAsia" w:eastAsiaTheme="minorEastAsia" w:cstheme="minorEastAsia"/>
                <w:color w:val="auto"/>
                <w:sz w:val="24"/>
              </w:rPr>
            </w:pPr>
          </w:p>
        </w:tc>
        <w:tc>
          <w:tcPr>
            <w:tcW w:w="1606" w:type="dxa"/>
            <w:vAlign w:val="center"/>
          </w:tcPr>
          <w:p>
            <w:pPr>
              <w:rPr>
                <w:rFonts w:asciiTheme="minorEastAsia" w:hAnsiTheme="minorEastAsia" w:eastAsiaTheme="minorEastAsia" w:cstheme="minorEastAsia"/>
                <w:color w:val="auto"/>
                <w:sz w:val="24"/>
              </w:rPr>
            </w:pPr>
          </w:p>
        </w:tc>
        <w:tc>
          <w:tcPr>
            <w:tcW w:w="1690" w:type="dxa"/>
            <w:vAlign w:val="center"/>
          </w:tcPr>
          <w:p>
            <w:pPr>
              <w:rPr>
                <w:rFonts w:asciiTheme="minorEastAsia" w:hAnsiTheme="minorEastAsia" w:eastAsiaTheme="minorEastAsia" w:cstheme="minorEastAsia"/>
                <w:color w:val="auto"/>
                <w:sz w:val="24"/>
              </w:rPr>
            </w:pPr>
          </w:p>
        </w:tc>
        <w:tc>
          <w:tcPr>
            <w:tcW w:w="1620" w:type="dxa"/>
            <w:vAlign w:val="center"/>
          </w:tcPr>
          <w:p>
            <w:pPr>
              <w:rPr>
                <w:rFonts w:asciiTheme="minorEastAsia" w:hAnsiTheme="minorEastAsia" w:eastAsiaTheme="minorEastAsia" w:cstheme="minorEastAsia"/>
                <w:color w:val="auto"/>
                <w:sz w:val="24"/>
              </w:rPr>
            </w:pPr>
          </w:p>
        </w:tc>
        <w:tc>
          <w:tcPr>
            <w:tcW w:w="1800" w:type="dxa"/>
            <w:vAlign w:val="center"/>
          </w:tcPr>
          <w:p>
            <w:pPr>
              <w:rPr>
                <w:rFonts w:asciiTheme="minorEastAsia" w:hAnsiTheme="minorEastAsia" w:eastAsiaTheme="minorEastAsia" w:cstheme="minorEastAsia"/>
                <w:color w:val="auto"/>
                <w:sz w:val="24"/>
              </w:rPr>
            </w:pPr>
          </w:p>
        </w:tc>
        <w:tc>
          <w:tcPr>
            <w:tcW w:w="1744" w:type="dxa"/>
            <w:vAlign w:val="center"/>
          </w:tcPr>
          <w:p>
            <w:pPr>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rPr>
                <w:rFonts w:asciiTheme="minorEastAsia" w:hAnsiTheme="minorEastAsia" w:eastAsiaTheme="minorEastAsia" w:cstheme="minorEastAsia"/>
                <w:color w:val="auto"/>
                <w:sz w:val="24"/>
              </w:rPr>
            </w:pPr>
          </w:p>
        </w:tc>
        <w:tc>
          <w:tcPr>
            <w:tcW w:w="1606" w:type="dxa"/>
            <w:vAlign w:val="center"/>
          </w:tcPr>
          <w:p>
            <w:pPr>
              <w:rPr>
                <w:rFonts w:asciiTheme="minorEastAsia" w:hAnsiTheme="minorEastAsia" w:eastAsiaTheme="minorEastAsia" w:cstheme="minorEastAsia"/>
                <w:color w:val="auto"/>
                <w:sz w:val="24"/>
              </w:rPr>
            </w:pPr>
          </w:p>
        </w:tc>
        <w:tc>
          <w:tcPr>
            <w:tcW w:w="1690" w:type="dxa"/>
            <w:vAlign w:val="center"/>
          </w:tcPr>
          <w:p>
            <w:pPr>
              <w:rPr>
                <w:rFonts w:asciiTheme="minorEastAsia" w:hAnsiTheme="minorEastAsia" w:eastAsiaTheme="minorEastAsia" w:cstheme="minorEastAsia"/>
                <w:color w:val="auto"/>
                <w:sz w:val="24"/>
              </w:rPr>
            </w:pPr>
          </w:p>
        </w:tc>
        <w:tc>
          <w:tcPr>
            <w:tcW w:w="1620" w:type="dxa"/>
            <w:vAlign w:val="center"/>
          </w:tcPr>
          <w:p>
            <w:pPr>
              <w:rPr>
                <w:rFonts w:asciiTheme="minorEastAsia" w:hAnsiTheme="minorEastAsia" w:eastAsiaTheme="minorEastAsia" w:cstheme="minorEastAsia"/>
                <w:color w:val="auto"/>
                <w:sz w:val="24"/>
              </w:rPr>
            </w:pPr>
          </w:p>
        </w:tc>
        <w:tc>
          <w:tcPr>
            <w:tcW w:w="1800" w:type="dxa"/>
            <w:vAlign w:val="center"/>
          </w:tcPr>
          <w:p>
            <w:pPr>
              <w:rPr>
                <w:rFonts w:asciiTheme="minorEastAsia" w:hAnsiTheme="minorEastAsia" w:eastAsiaTheme="minorEastAsia" w:cstheme="minorEastAsia"/>
                <w:color w:val="auto"/>
                <w:sz w:val="24"/>
              </w:rPr>
            </w:pPr>
          </w:p>
        </w:tc>
        <w:tc>
          <w:tcPr>
            <w:tcW w:w="1744" w:type="dxa"/>
            <w:vAlign w:val="center"/>
          </w:tcPr>
          <w:p>
            <w:pPr>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rPr>
                <w:rFonts w:asciiTheme="minorEastAsia" w:hAnsiTheme="minorEastAsia" w:eastAsiaTheme="minorEastAsia" w:cstheme="minorEastAsia"/>
                <w:color w:val="auto"/>
                <w:sz w:val="24"/>
              </w:rPr>
            </w:pPr>
          </w:p>
        </w:tc>
        <w:tc>
          <w:tcPr>
            <w:tcW w:w="1606" w:type="dxa"/>
            <w:vAlign w:val="center"/>
          </w:tcPr>
          <w:p>
            <w:pPr>
              <w:rPr>
                <w:rFonts w:asciiTheme="minorEastAsia" w:hAnsiTheme="minorEastAsia" w:eastAsiaTheme="minorEastAsia" w:cstheme="minorEastAsia"/>
                <w:color w:val="auto"/>
                <w:sz w:val="24"/>
              </w:rPr>
            </w:pPr>
          </w:p>
        </w:tc>
        <w:tc>
          <w:tcPr>
            <w:tcW w:w="1690" w:type="dxa"/>
            <w:vAlign w:val="center"/>
          </w:tcPr>
          <w:p>
            <w:pPr>
              <w:rPr>
                <w:rFonts w:asciiTheme="minorEastAsia" w:hAnsiTheme="minorEastAsia" w:eastAsiaTheme="minorEastAsia" w:cstheme="minorEastAsia"/>
                <w:color w:val="auto"/>
                <w:sz w:val="24"/>
              </w:rPr>
            </w:pPr>
          </w:p>
        </w:tc>
        <w:tc>
          <w:tcPr>
            <w:tcW w:w="1620" w:type="dxa"/>
            <w:vAlign w:val="center"/>
          </w:tcPr>
          <w:p>
            <w:pPr>
              <w:rPr>
                <w:rFonts w:asciiTheme="minorEastAsia" w:hAnsiTheme="minorEastAsia" w:eastAsiaTheme="minorEastAsia" w:cstheme="minorEastAsia"/>
                <w:color w:val="auto"/>
                <w:sz w:val="24"/>
              </w:rPr>
            </w:pPr>
          </w:p>
        </w:tc>
        <w:tc>
          <w:tcPr>
            <w:tcW w:w="1800" w:type="dxa"/>
            <w:vAlign w:val="center"/>
          </w:tcPr>
          <w:p>
            <w:pPr>
              <w:rPr>
                <w:rFonts w:asciiTheme="minorEastAsia" w:hAnsiTheme="minorEastAsia" w:eastAsiaTheme="minorEastAsia" w:cstheme="minorEastAsia"/>
                <w:color w:val="auto"/>
                <w:sz w:val="24"/>
              </w:rPr>
            </w:pPr>
          </w:p>
        </w:tc>
        <w:tc>
          <w:tcPr>
            <w:tcW w:w="1744" w:type="dxa"/>
            <w:vAlign w:val="center"/>
          </w:tcPr>
          <w:p>
            <w:pPr>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rPr>
                <w:rFonts w:asciiTheme="minorEastAsia" w:hAnsiTheme="minorEastAsia" w:eastAsiaTheme="minorEastAsia" w:cstheme="minorEastAsia"/>
                <w:color w:val="auto"/>
                <w:sz w:val="24"/>
              </w:rPr>
            </w:pPr>
          </w:p>
        </w:tc>
        <w:tc>
          <w:tcPr>
            <w:tcW w:w="1606" w:type="dxa"/>
            <w:vAlign w:val="center"/>
          </w:tcPr>
          <w:p>
            <w:pPr>
              <w:rPr>
                <w:rFonts w:asciiTheme="minorEastAsia" w:hAnsiTheme="minorEastAsia" w:eastAsiaTheme="minorEastAsia" w:cstheme="minorEastAsia"/>
                <w:color w:val="auto"/>
                <w:sz w:val="24"/>
              </w:rPr>
            </w:pPr>
          </w:p>
        </w:tc>
        <w:tc>
          <w:tcPr>
            <w:tcW w:w="1690" w:type="dxa"/>
            <w:vAlign w:val="center"/>
          </w:tcPr>
          <w:p>
            <w:pPr>
              <w:rPr>
                <w:rFonts w:asciiTheme="minorEastAsia" w:hAnsiTheme="minorEastAsia" w:eastAsiaTheme="minorEastAsia" w:cstheme="minorEastAsia"/>
                <w:color w:val="auto"/>
                <w:sz w:val="24"/>
              </w:rPr>
            </w:pPr>
          </w:p>
        </w:tc>
        <w:tc>
          <w:tcPr>
            <w:tcW w:w="1620" w:type="dxa"/>
            <w:vAlign w:val="center"/>
          </w:tcPr>
          <w:p>
            <w:pPr>
              <w:rPr>
                <w:rFonts w:asciiTheme="minorEastAsia" w:hAnsiTheme="minorEastAsia" w:eastAsiaTheme="minorEastAsia" w:cstheme="minorEastAsia"/>
                <w:color w:val="auto"/>
                <w:sz w:val="24"/>
              </w:rPr>
            </w:pPr>
          </w:p>
        </w:tc>
        <w:tc>
          <w:tcPr>
            <w:tcW w:w="1800" w:type="dxa"/>
            <w:vAlign w:val="center"/>
          </w:tcPr>
          <w:p>
            <w:pPr>
              <w:rPr>
                <w:rFonts w:asciiTheme="minorEastAsia" w:hAnsiTheme="minorEastAsia" w:eastAsiaTheme="minorEastAsia" w:cstheme="minorEastAsia"/>
                <w:color w:val="auto"/>
                <w:sz w:val="24"/>
              </w:rPr>
            </w:pPr>
          </w:p>
        </w:tc>
        <w:tc>
          <w:tcPr>
            <w:tcW w:w="1744" w:type="dxa"/>
            <w:vAlign w:val="center"/>
          </w:tcPr>
          <w:p>
            <w:pPr>
              <w:rPr>
                <w:rFonts w:asciiTheme="minorEastAsia" w:hAnsiTheme="minorEastAsia" w:eastAsiaTheme="minorEastAsia" w:cstheme="minorEastAsia"/>
                <w:color w:val="auto"/>
                <w:sz w:val="24"/>
              </w:rPr>
            </w:pPr>
          </w:p>
        </w:tc>
      </w:tr>
    </w:tbl>
    <w:p>
      <w:pPr>
        <w:rPr>
          <w:rFonts w:asciiTheme="minorEastAsia" w:hAnsiTheme="minorEastAsia" w:eastAsiaTheme="minorEastAsia" w:cstheme="minorEastAsia"/>
          <w:color w:val="auto"/>
          <w:sz w:val="24"/>
        </w:rPr>
      </w:pPr>
    </w:p>
    <w:p>
      <w:pPr>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注：1、投标人应对照技术规格及要求中的招标项目要求，逐条说明所提供货物和服务已对招标文件的技术要求做出了实质性的响应，并申明与技术规格条文的偏差和例外。特别对有具体技术要求的指标，投标人必须提供所投标项目的具体参数值。</w:t>
      </w:r>
    </w:p>
    <w:p>
      <w:pPr>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2、投标人所提供项目和服务已对招标文件、技术规格及要求中的招标项目要求、技术规格和服务条件的偏离只能优于招标文件、技术规格及要求的招标项目要求，否则评标委员会有权按招标文件中相应规定作否决投标处理。</w:t>
      </w:r>
    </w:p>
    <w:p>
      <w:pPr>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3、没有说明的其他条款将被认为完全满足本招标项目技术条款要求。</w:t>
      </w:r>
    </w:p>
    <w:p>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b/>
          <w:color w:val="auto"/>
          <w:sz w:val="24"/>
        </w:rPr>
        <w:t>4、各投标人按此表格式自行填写，表格不够时可自行添加。</w:t>
      </w:r>
    </w:p>
    <w:p>
      <w:pPr>
        <w:rPr>
          <w:rFonts w:asciiTheme="minorEastAsia" w:hAnsiTheme="minorEastAsia" w:eastAsiaTheme="minorEastAsia" w:cstheme="minorEastAsia"/>
          <w:color w:val="auto"/>
          <w:sz w:val="24"/>
        </w:rPr>
      </w:pPr>
    </w:p>
    <w:p>
      <w:pPr>
        <w:rPr>
          <w:rFonts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投标人 （盖章）：</w:t>
      </w:r>
    </w:p>
    <w:p>
      <w:pPr>
        <w:rPr>
          <w:rFonts w:asciiTheme="minorEastAsia" w:hAnsiTheme="minorEastAsia" w:eastAsiaTheme="minorEastAsia" w:cstheme="minorEastAsia"/>
          <w:color w:val="auto"/>
          <w:sz w:val="24"/>
          <w:u w:val="single"/>
        </w:rPr>
      </w:pPr>
    </w:p>
    <w:p>
      <w:pPr>
        <w:rPr>
          <w:rFonts w:asciiTheme="minorEastAsia" w:hAnsiTheme="minorEastAsia" w:eastAsiaTheme="minorEastAsia" w:cstheme="minorEastAsia"/>
          <w:color w:val="auto"/>
          <w:sz w:val="24"/>
          <w:u w:val="single"/>
        </w:rPr>
      </w:pPr>
    </w:p>
    <w:p>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法定代表人或委托代理人（签字或盖章）：</w:t>
      </w:r>
    </w:p>
    <w:p>
      <w:pPr>
        <w:rPr>
          <w:rFonts w:asciiTheme="minorEastAsia" w:hAnsiTheme="minorEastAsia" w:eastAsiaTheme="minorEastAsia" w:cstheme="minorEastAsia"/>
          <w:color w:val="auto"/>
          <w:sz w:val="24"/>
        </w:rPr>
      </w:pPr>
    </w:p>
    <w:p>
      <w:pPr>
        <w:rPr>
          <w:rFonts w:asciiTheme="minorEastAsia" w:hAnsiTheme="minorEastAsia" w:eastAsiaTheme="minorEastAsia" w:cstheme="minorEastAsia"/>
          <w:color w:val="auto"/>
          <w:sz w:val="24"/>
        </w:rPr>
      </w:pPr>
    </w:p>
    <w:p>
      <w:pPr>
        <w:jc w:val="righ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年     月     日</w:t>
      </w:r>
    </w:p>
    <w:p>
      <w:pPr>
        <w:rPr>
          <w:rFonts w:asciiTheme="minorEastAsia" w:hAnsiTheme="minorEastAsia" w:eastAsiaTheme="minorEastAsia" w:cstheme="minorEastAsia"/>
          <w:color w:val="auto"/>
          <w:sz w:val="24"/>
        </w:rPr>
      </w:pPr>
    </w:p>
    <w:p>
      <w:pPr>
        <w:rPr>
          <w:rFonts w:asciiTheme="minorEastAsia" w:hAnsiTheme="minorEastAsia" w:eastAsiaTheme="minorEastAsia" w:cstheme="minorEastAsia"/>
          <w:color w:val="auto"/>
          <w:sz w:val="24"/>
        </w:rPr>
      </w:pPr>
    </w:p>
    <w:p>
      <w:pPr>
        <w:pStyle w:val="3"/>
        <w:spacing w:before="0" w:after="0" w:line="360" w:lineRule="auto"/>
        <w:jc w:val="cente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第六章  评标方法（综合评分法）</w:t>
      </w:r>
    </w:p>
    <w:p>
      <w:pPr>
        <w:pStyle w:val="5"/>
        <w:spacing w:before="0" w:after="0"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1、资格性审查（不分标项评审，只评审一次）</w:t>
      </w:r>
    </w:p>
    <w:tbl>
      <w:tblPr>
        <w:tblStyle w:val="58"/>
        <w:tblW w:w="101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5812"/>
        <w:gridCol w:w="3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trPr>
        <w:tc>
          <w:tcPr>
            <w:tcW w:w="675" w:type="dxa"/>
            <w:vAlign w:val="center"/>
          </w:tcPr>
          <w:p>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序号</w:t>
            </w:r>
          </w:p>
        </w:tc>
        <w:tc>
          <w:tcPr>
            <w:tcW w:w="5812" w:type="dxa"/>
            <w:vAlign w:val="center"/>
          </w:tcPr>
          <w:p>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检查因素</w:t>
            </w:r>
          </w:p>
        </w:tc>
        <w:tc>
          <w:tcPr>
            <w:tcW w:w="3658" w:type="dxa"/>
            <w:vAlign w:val="center"/>
          </w:tcPr>
          <w:p>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trPr>
        <w:tc>
          <w:tcPr>
            <w:tcW w:w="675" w:type="dxa"/>
            <w:vAlign w:val="center"/>
          </w:tcPr>
          <w:p>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w:t>
            </w:r>
          </w:p>
        </w:tc>
        <w:tc>
          <w:tcPr>
            <w:tcW w:w="5812" w:type="dxa"/>
            <w:vAlign w:val="center"/>
          </w:tcPr>
          <w:p>
            <w:pP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符合《中华人民共和国政府采购法》第二十二条的规定</w:t>
            </w:r>
          </w:p>
        </w:tc>
        <w:tc>
          <w:tcPr>
            <w:tcW w:w="3658" w:type="dxa"/>
            <w:vAlign w:val="center"/>
          </w:tcPr>
          <w:p>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符合本招标文件规定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trPr>
        <w:tc>
          <w:tcPr>
            <w:tcW w:w="675" w:type="dxa"/>
            <w:vAlign w:val="center"/>
          </w:tcPr>
          <w:p>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w:t>
            </w:r>
          </w:p>
        </w:tc>
        <w:tc>
          <w:tcPr>
            <w:tcW w:w="5812" w:type="dxa"/>
            <w:vAlign w:val="center"/>
          </w:tcPr>
          <w:p>
            <w:pPr>
              <w:rPr>
                <w:rFonts w:asciiTheme="minorEastAsia" w:hAnsiTheme="minorEastAsia" w:eastAsiaTheme="minorEastAsia" w:cstheme="minorEastAsia"/>
                <w:color w:val="auto"/>
                <w:kern w:val="0"/>
                <w:sz w:val="24"/>
              </w:rPr>
            </w:pPr>
            <w:r>
              <w:rPr>
                <w:rFonts w:hint="eastAsia" w:ascii="宋体" w:hAnsi="宋体" w:cs="宋体"/>
                <w:color w:val="auto"/>
                <w:kern w:val="0"/>
                <w:sz w:val="24"/>
              </w:rPr>
              <w:t>投标保证金</w:t>
            </w:r>
          </w:p>
        </w:tc>
        <w:tc>
          <w:tcPr>
            <w:tcW w:w="3658" w:type="dxa"/>
            <w:vAlign w:val="center"/>
          </w:tcPr>
          <w:p>
            <w:pPr>
              <w:rPr>
                <w:rFonts w:asciiTheme="minorEastAsia" w:hAnsiTheme="minorEastAsia" w:eastAsiaTheme="minorEastAsia" w:cstheme="minorEastAsia"/>
                <w:color w:val="auto"/>
                <w:sz w:val="24"/>
              </w:rPr>
            </w:pPr>
            <w:r>
              <w:rPr>
                <w:rFonts w:hint="eastAsia" w:ascii="宋体" w:hAnsi="宋体" w:cs="宋体"/>
                <w:color w:val="auto"/>
                <w:kern w:val="0"/>
                <w:sz w:val="24"/>
              </w:rPr>
              <w:t>符合本招标文件规定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4" w:hRule="atLeast"/>
        </w:trPr>
        <w:tc>
          <w:tcPr>
            <w:tcW w:w="675" w:type="dxa"/>
            <w:vAlign w:val="center"/>
          </w:tcPr>
          <w:p>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w:t>
            </w:r>
          </w:p>
        </w:tc>
        <w:tc>
          <w:tcPr>
            <w:tcW w:w="5812" w:type="dxa"/>
            <w:vAlign w:val="center"/>
          </w:tcPr>
          <w:p>
            <w:pPr>
              <w:widowControl/>
              <w:autoSpaceDE w:val="0"/>
              <w:spacing w:before="75" w:after="75" w:line="300" w:lineRule="exac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sz w:val="24"/>
              </w:rPr>
              <w:t>具有独立法人资格并依法取得企业营业执照及营业执照在有效期内并包含本采购项目相应经营范围</w:t>
            </w:r>
          </w:p>
        </w:tc>
        <w:tc>
          <w:tcPr>
            <w:tcW w:w="3658" w:type="dxa"/>
            <w:vAlign w:val="center"/>
          </w:tcPr>
          <w:p>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符合本招标文件规定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4" w:hRule="atLeast"/>
        </w:trPr>
        <w:tc>
          <w:tcPr>
            <w:tcW w:w="675" w:type="dxa"/>
            <w:vAlign w:val="center"/>
          </w:tcPr>
          <w:p>
            <w:pPr>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4</w:t>
            </w:r>
          </w:p>
        </w:tc>
        <w:tc>
          <w:tcPr>
            <w:tcW w:w="5812" w:type="dxa"/>
            <w:vAlign w:val="center"/>
          </w:tcPr>
          <w:p>
            <w:pPr>
              <w:widowControl/>
              <w:autoSpaceDE w:val="0"/>
              <w:spacing w:before="75" w:after="75" w:line="300" w:lineRule="exact"/>
              <w:rPr>
                <w:rFonts w:asciiTheme="minorEastAsia" w:hAnsiTheme="minorEastAsia" w:eastAsiaTheme="minorEastAsia" w:cstheme="minorEastAsia"/>
                <w:color w:val="auto"/>
                <w:kern w:val="0"/>
                <w:sz w:val="24"/>
              </w:rPr>
            </w:pPr>
            <w:r>
              <w:rPr>
                <w:rFonts w:hint="eastAsia" w:ascii="宋体" w:hAnsi="宋体" w:cs="宋体"/>
                <w:color w:val="auto"/>
                <w:sz w:val="24"/>
              </w:rPr>
              <w:t>具有在有效期内的《餐饮服务许可证》或《食品经营许可证》</w:t>
            </w:r>
          </w:p>
        </w:tc>
        <w:tc>
          <w:tcPr>
            <w:tcW w:w="3658" w:type="dxa"/>
            <w:vAlign w:val="center"/>
          </w:tcPr>
          <w:p>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符合本招标文件规定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8" w:hRule="atLeast"/>
        </w:trPr>
        <w:tc>
          <w:tcPr>
            <w:tcW w:w="675" w:type="dxa"/>
            <w:vAlign w:val="center"/>
          </w:tcPr>
          <w:p>
            <w:pPr>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5</w:t>
            </w:r>
          </w:p>
        </w:tc>
        <w:tc>
          <w:tcPr>
            <w:tcW w:w="5812" w:type="dxa"/>
            <w:vAlign w:val="center"/>
          </w:tcPr>
          <w:p>
            <w:pP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本项目不接受联合体投标</w:t>
            </w:r>
          </w:p>
        </w:tc>
        <w:tc>
          <w:tcPr>
            <w:tcW w:w="3658" w:type="dxa"/>
            <w:vAlign w:val="center"/>
          </w:tcPr>
          <w:p>
            <w:pP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符合本招标文件规定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8" w:hRule="atLeast"/>
        </w:trPr>
        <w:tc>
          <w:tcPr>
            <w:tcW w:w="675" w:type="dxa"/>
            <w:vAlign w:val="center"/>
          </w:tcPr>
          <w:p>
            <w:pPr>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6</w:t>
            </w:r>
          </w:p>
        </w:tc>
        <w:tc>
          <w:tcPr>
            <w:tcW w:w="5812" w:type="dxa"/>
            <w:vAlign w:val="center"/>
          </w:tcPr>
          <w:p>
            <w:pP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招标文件规定的其它情况</w:t>
            </w:r>
          </w:p>
        </w:tc>
        <w:tc>
          <w:tcPr>
            <w:tcW w:w="3658" w:type="dxa"/>
            <w:vAlign w:val="center"/>
          </w:tcPr>
          <w:p>
            <w:pP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符合本招标文件规定</w:t>
            </w:r>
          </w:p>
        </w:tc>
      </w:tr>
    </w:tbl>
    <w:p>
      <w:pPr>
        <w:rPr>
          <w:rFonts w:asciiTheme="minorEastAsia" w:hAnsiTheme="minorEastAsia" w:eastAsiaTheme="minorEastAsia" w:cstheme="minorEastAsia"/>
          <w:color w:val="auto"/>
          <w:kern w:val="0"/>
          <w:sz w:val="24"/>
        </w:rPr>
      </w:pPr>
    </w:p>
    <w:p>
      <w:pPr>
        <w:spacing w:line="360" w:lineRule="auto"/>
        <w:jc w:val="left"/>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注：未通过资格审查的投标人不得进入评标程序。</w:t>
      </w:r>
    </w:p>
    <w:p>
      <w:pPr>
        <w:rPr>
          <w:rFonts w:asciiTheme="minorEastAsia" w:hAnsiTheme="minorEastAsia" w:eastAsiaTheme="minorEastAsia" w:cstheme="minorEastAsia"/>
          <w:color w:val="auto"/>
          <w:kern w:val="0"/>
          <w:sz w:val="24"/>
        </w:rPr>
      </w:pPr>
    </w:p>
    <w:p>
      <w:pPr>
        <w:rPr>
          <w:rFonts w:asciiTheme="minorEastAsia" w:hAnsiTheme="minorEastAsia" w:eastAsiaTheme="minorEastAsia" w:cstheme="minorEastAsia"/>
          <w:color w:val="auto"/>
          <w:kern w:val="0"/>
          <w:sz w:val="24"/>
        </w:rPr>
      </w:pPr>
    </w:p>
    <w:p>
      <w:pPr>
        <w:rPr>
          <w:rFonts w:asciiTheme="minorEastAsia" w:hAnsiTheme="minorEastAsia" w:eastAsiaTheme="minorEastAsia" w:cstheme="minorEastAsia"/>
          <w:color w:val="auto"/>
          <w:kern w:val="0"/>
          <w:sz w:val="24"/>
        </w:rPr>
      </w:pPr>
    </w:p>
    <w:p>
      <w:pPr>
        <w:rPr>
          <w:rFonts w:asciiTheme="minorEastAsia" w:hAnsiTheme="minorEastAsia" w:eastAsiaTheme="minorEastAsia" w:cstheme="minorEastAsia"/>
          <w:color w:val="auto"/>
          <w:kern w:val="0"/>
          <w:sz w:val="24"/>
        </w:rPr>
      </w:pPr>
    </w:p>
    <w:p>
      <w:pPr>
        <w:rPr>
          <w:rFonts w:asciiTheme="minorEastAsia" w:hAnsiTheme="minorEastAsia" w:eastAsiaTheme="minorEastAsia" w:cstheme="minorEastAsia"/>
          <w:color w:val="auto"/>
          <w:kern w:val="0"/>
          <w:sz w:val="24"/>
        </w:rPr>
      </w:pPr>
    </w:p>
    <w:p>
      <w:pPr>
        <w:rPr>
          <w:rFonts w:asciiTheme="minorEastAsia" w:hAnsiTheme="minorEastAsia" w:eastAsiaTheme="minorEastAsia" w:cstheme="minorEastAsia"/>
          <w:color w:val="auto"/>
          <w:kern w:val="0"/>
          <w:sz w:val="24"/>
        </w:rPr>
      </w:pPr>
    </w:p>
    <w:p>
      <w:pPr>
        <w:rPr>
          <w:rFonts w:asciiTheme="minorEastAsia" w:hAnsiTheme="minorEastAsia" w:eastAsiaTheme="minorEastAsia" w:cstheme="minorEastAsia"/>
          <w:color w:val="auto"/>
          <w:kern w:val="0"/>
          <w:sz w:val="24"/>
        </w:rPr>
      </w:pPr>
    </w:p>
    <w:p>
      <w:pPr>
        <w:rPr>
          <w:rFonts w:asciiTheme="minorEastAsia" w:hAnsiTheme="minorEastAsia" w:eastAsiaTheme="minorEastAsia" w:cstheme="minorEastAsia"/>
          <w:color w:val="auto"/>
          <w:kern w:val="0"/>
          <w:sz w:val="24"/>
        </w:rPr>
      </w:pPr>
    </w:p>
    <w:p>
      <w:pPr>
        <w:rPr>
          <w:rFonts w:asciiTheme="minorEastAsia" w:hAnsiTheme="minorEastAsia" w:eastAsiaTheme="minorEastAsia" w:cstheme="minorEastAsia"/>
          <w:color w:val="auto"/>
          <w:kern w:val="0"/>
          <w:sz w:val="24"/>
        </w:rPr>
      </w:pPr>
    </w:p>
    <w:p>
      <w:pPr>
        <w:rPr>
          <w:rFonts w:asciiTheme="minorEastAsia" w:hAnsiTheme="minorEastAsia" w:eastAsiaTheme="minorEastAsia" w:cstheme="minorEastAsia"/>
          <w:color w:val="auto"/>
          <w:kern w:val="0"/>
          <w:sz w:val="24"/>
        </w:rPr>
      </w:pPr>
    </w:p>
    <w:p>
      <w:pPr>
        <w:rPr>
          <w:rFonts w:asciiTheme="minorEastAsia" w:hAnsiTheme="minorEastAsia" w:eastAsiaTheme="minorEastAsia" w:cstheme="minorEastAsia"/>
          <w:color w:val="auto"/>
          <w:kern w:val="0"/>
          <w:sz w:val="24"/>
        </w:rPr>
      </w:pPr>
    </w:p>
    <w:p>
      <w:pPr>
        <w:rPr>
          <w:rFonts w:asciiTheme="minorEastAsia" w:hAnsiTheme="minorEastAsia" w:eastAsiaTheme="minorEastAsia" w:cstheme="minorEastAsia"/>
          <w:color w:val="auto"/>
          <w:kern w:val="0"/>
          <w:sz w:val="24"/>
        </w:rPr>
      </w:pPr>
    </w:p>
    <w:p>
      <w:pPr>
        <w:rPr>
          <w:rFonts w:asciiTheme="minorEastAsia" w:hAnsiTheme="minorEastAsia" w:eastAsiaTheme="minorEastAsia" w:cstheme="minorEastAsia"/>
          <w:color w:val="auto"/>
          <w:kern w:val="0"/>
          <w:sz w:val="24"/>
        </w:rPr>
      </w:pPr>
    </w:p>
    <w:p>
      <w:pPr>
        <w:rPr>
          <w:rFonts w:asciiTheme="minorEastAsia" w:hAnsiTheme="minorEastAsia" w:eastAsiaTheme="minorEastAsia" w:cstheme="minorEastAsia"/>
          <w:color w:val="auto"/>
          <w:kern w:val="0"/>
          <w:sz w:val="24"/>
        </w:rPr>
      </w:pPr>
    </w:p>
    <w:p>
      <w:pPr>
        <w:rPr>
          <w:rFonts w:asciiTheme="minorEastAsia" w:hAnsiTheme="minorEastAsia" w:eastAsiaTheme="minorEastAsia" w:cstheme="minorEastAsia"/>
          <w:color w:val="auto"/>
          <w:kern w:val="0"/>
          <w:sz w:val="24"/>
        </w:rPr>
      </w:pPr>
    </w:p>
    <w:p>
      <w:pPr>
        <w:pStyle w:val="5"/>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2、符合性审查（不分标项评审，只评审一次）</w:t>
      </w:r>
    </w:p>
    <w:tbl>
      <w:tblPr>
        <w:tblStyle w:val="58"/>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151"/>
        <w:gridCol w:w="1955"/>
        <w:gridCol w:w="6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83" w:type="dxa"/>
            <w:vAlign w:val="center"/>
          </w:tcPr>
          <w:p>
            <w:pP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序号</w:t>
            </w:r>
          </w:p>
        </w:tc>
        <w:tc>
          <w:tcPr>
            <w:tcW w:w="3106" w:type="dxa"/>
            <w:gridSpan w:val="2"/>
            <w:vAlign w:val="center"/>
          </w:tcPr>
          <w:p>
            <w:pP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评审因素</w:t>
            </w:r>
          </w:p>
        </w:tc>
        <w:tc>
          <w:tcPr>
            <w:tcW w:w="6284" w:type="dxa"/>
            <w:vAlign w:val="center"/>
          </w:tcPr>
          <w:p>
            <w:pP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评标方法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783" w:type="dxa"/>
            <w:vMerge w:val="restart"/>
            <w:vAlign w:val="center"/>
          </w:tcPr>
          <w:p>
            <w:pP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w:t>
            </w:r>
          </w:p>
        </w:tc>
        <w:tc>
          <w:tcPr>
            <w:tcW w:w="1151" w:type="dxa"/>
            <w:vMerge w:val="restart"/>
            <w:vAlign w:val="center"/>
          </w:tcPr>
          <w:p>
            <w:pP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有效性审查</w:t>
            </w:r>
          </w:p>
        </w:tc>
        <w:tc>
          <w:tcPr>
            <w:tcW w:w="1955" w:type="dxa"/>
            <w:vAlign w:val="center"/>
          </w:tcPr>
          <w:p>
            <w:pP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sz w:val="24"/>
                <w:lang w:val="zh-CN"/>
              </w:rPr>
              <w:t>投标</w:t>
            </w:r>
            <w:r>
              <w:rPr>
                <w:rFonts w:hint="eastAsia" w:asciiTheme="minorEastAsia" w:hAnsiTheme="minorEastAsia" w:eastAsiaTheme="minorEastAsia" w:cstheme="minorEastAsia"/>
                <w:color w:val="auto"/>
                <w:sz w:val="24"/>
              </w:rPr>
              <w:t>文件签署</w:t>
            </w:r>
          </w:p>
        </w:tc>
        <w:tc>
          <w:tcPr>
            <w:tcW w:w="6284" w:type="dxa"/>
            <w:vAlign w:val="center"/>
          </w:tcPr>
          <w:p>
            <w:pP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sz w:val="24"/>
                <w:lang w:val="zh-CN"/>
              </w:rPr>
              <w:t>投标</w:t>
            </w:r>
            <w:r>
              <w:rPr>
                <w:rFonts w:hint="eastAsia" w:asciiTheme="minorEastAsia" w:hAnsiTheme="minorEastAsia" w:eastAsiaTheme="minorEastAsia" w:cstheme="minorEastAsia"/>
                <w:color w:val="auto"/>
                <w:sz w:val="24"/>
              </w:rPr>
              <w:t>文件中法定代表人或其授权代表人的签字齐全。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783" w:type="dxa"/>
            <w:vMerge w:val="continue"/>
            <w:vAlign w:val="center"/>
          </w:tcPr>
          <w:p>
            <w:pPr>
              <w:rPr>
                <w:rFonts w:asciiTheme="minorEastAsia" w:hAnsiTheme="minorEastAsia" w:eastAsiaTheme="minorEastAsia" w:cstheme="minorEastAsia"/>
                <w:color w:val="auto"/>
                <w:kern w:val="0"/>
                <w:sz w:val="24"/>
              </w:rPr>
            </w:pPr>
          </w:p>
        </w:tc>
        <w:tc>
          <w:tcPr>
            <w:tcW w:w="1151" w:type="dxa"/>
            <w:vMerge w:val="continue"/>
            <w:vAlign w:val="center"/>
          </w:tcPr>
          <w:p>
            <w:pPr>
              <w:rPr>
                <w:rFonts w:asciiTheme="minorEastAsia" w:hAnsiTheme="minorEastAsia" w:eastAsiaTheme="minorEastAsia" w:cstheme="minorEastAsia"/>
                <w:color w:val="auto"/>
                <w:kern w:val="0"/>
                <w:sz w:val="24"/>
              </w:rPr>
            </w:pPr>
          </w:p>
        </w:tc>
        <w:tc>
          <w:tcPr>
            <w:tcW w:w="1955" w:type="dxa"/>
            <w:vAlign w:val="center"/>
          </w:tcPr>
          <w:p>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法定代表人身份证明及授权委托书</w:t>
            </w:r>
          </w:p>
        </w:tc>
        <w:tc>
          <w:tcPr>
            <w:tcW w:w="6284" w:type="dxa"/>
            <w:vAlign w:val="center"/>
          </w:tcPr>
          <w:p>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法定代表人身份证明及授权委托书有效，且符合招标文件规定的格式。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783" w:type="dxa"/>
            <w:vMerge w:val="continue"/>
            <w:vAlign w:val="center"/>
          </w:tcPr>
          <w:p>
            <w:pPr>
              <w:rPr>
                <w:rFonts w:asciiTheme="minorEastAsia" w:hAnsiTheme="minorEastAsia" w:eastAsiaTheme="minorEastAsia" w:cstheme="minorEastAsia"/>
                <w:color w:val="auto"/>
                <w:kern w:val="0"/>
                <w:sz w:val="24"/>
              </w:rPr>
            </w:pPr>
          </w:p>
        </w:tc>
        <w:tc>
          <w:tcPr>
            <w:tcW w:w="1151" w:type="dxa"/>
            <w:vMerge w:val="continue"/>
            <w:vAlign w:val="center"/>
          </w:tcPr>
          <w:p>
            <w:pPr>
              <w:rPr>
                <w:rFonts w:asciiTheme="minorEastAsia" w:hAnsiTheme="minorEastAsia" w:eastAsiaTheme="minorEastAsia" w:cstheme="minorEastAsia"/>
                <w:color w:val="auto"/>
                <w:kern w:val="0"/>
                <w:sz w:val="24"/>
              </w:rPr>
            </w:pPr>
          </w:p>
        </w:tc>
        <w:tc>
          <w:tcPr>
            <w:tcW w:w="1955" w:type="dxa"/>
            <w:vAlign w:val="center"/>
          </w:tcPr>
          <w:p>
            <w:pPr>
              <w:rPr>
                <w:rFonts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zh-CN"/>
              </w:rPr>
              <w:t>投标方案</w:t>
            </w:r>
          </w:p>
        </w:tc>
        <w:tc>
          <w:tcPr>
            <w:tcW w:w="6284" w:type="dxa"/>
            <w:vAlign w:val="center"/>
          </w:tcPr>
          <w:p>
            <w:pP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sz w:val="24"/>
                <w:lang w:val="zh-CN"/>
              </w:rPr>
              <w:t>只能有一个投标方案。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783" w:type="dxa"/>
            <w:vMerge w:val="restart"/>
            <w:vAlign w:val="center"/>
          </w:tcPr>
          <w:p>
            <w:pP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2</w:t>
            </w:r>
          </w:p>
        </w:tc>
        <w:tc>
          <w:tcPr>
            <w:tcW w:w="1151" w:type="dxa"/>
            <w:vMerge w:val="restart"/>
            <w:vAlign w:val="center"/>
          </w:tcPr>
          <w:p>
            <w:pP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完整性审查</w:t>
            </w:r>
          </w:p>
        </w:tc>
        <w:tc>
          <w:tcPr>
            <w:tcW w:w="1955" w:type="dxa"/>
            <w:vAlign w:val="center"/>
          </w:tcPr>
          <w:p>
            <w:pP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sz w:val="24"/>
                <w:lang w:val="zh-CN"/>
              </w:rPr>
              <w:t>投标文件份数</w:t>
            </w:r>
          </w:p>
        </w:tc>
        <w:tc>
          <w:tcPr>
            <w:tcW w:w="6284" w:type="dxa"/>
            <w:vAlign w:val="center"/>
          </w:tcPr>
          <w:p>
            <w:pP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sz w:val="24"/>
                <w:lang w:val="zh-CN"/>
              </w:rPr>
              <w:t>投标文件正本、副本等投标文件数量符合</w:t>
            </w:r>
            <w:r>
              <w:rPr>
                <w:rFonts w:hint="eastAsia" w:asciiTheme="minorEastAsia" w:hAnsiTheme="minorEastAsia" w:eastAsiaTheme="minorEastAsia" w:cstheme="minorEastAsia"/>
                <w:color w:val="auto"/>
                <w:kern w:val="0"/>
                <w:sz w:val="24"/>
              </w:rPr>
              <w:t>招标</w:t>
            </w:r>
            <w:r>
              <w:rPr>
                <w:rFonts w:hint="eastAsia" w:asciiTheme="minorEastAsia" w:hAnsiTheme="minorEastAsia" w:eastAsiaTheme="minorEastAsia" w:cstheme="minorEastAsia"/>
                <w:color w:val="auto"/>
                <w:sz w:val="24"/>
                <w:lang w:val="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83" w:type="dxa"/>
            <w:vMerge w:val="continue"/>
            <w:vAlign w:val="center"/>
          </w:tcPr>
          <w:p>
            <w:pPr>
              <w:rPr>
                <w:rFonts w:asciiTheme="minorEastAsia" w:hAnsiTheme="minorEastAsia" w:eastAsiaTheme="minorEastAsia" w:cstheme="minorEastAsia"/>
                <w:color w:val="auto"/>
                <w:kern w:val="0"/>
                <w:sz w:val="24"/>
              </w:rPr>
            </w:pPr>
          </w:p>
        </w:tc>
        <w:tc>
          <w:tcPr>
            <w:tcW w:w="1151" w:type="dxa"/>
            <w:vMerge w:val="continue"/>
            <w:vAlign w:val="center"/>
          </w:tcPr>
          <w:p>
            <w:pPr>
              <w:rPr>
                <w:rFonts w:asciiTheme="minorEastAsia" w:hAnsiTheme="minorEastAsia" w:eastAsiaTheme="minorEastAsia" w:cstheme="minorEastAsia"/>
                <w:color w:val="auto"/>
                <w:kern w:val="0"/>
                <w:sz w:val="24"/>
              </w:rPr>
            </w:pPr>
          </w:p>
        </w:tc>
        <w:tc>
          <w:tcPr>
            <w:tcW w:w="1955" w:type="dxa"/>
            <w:vAlign w:val="center"/>
          </w:tcPr>
          <w:p>
            <w:pPr>
              <w:rPr>
                <w:rFonts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zh-CN"/>
              </w:rPr>
              <w:t>投标文件内容</w:t>
            </w:r>
          </w:p>
        </w:tc>
        <w:tc>
          <w:tcPr>
            <w:tcW w:w="6284" w:type="dxa"/>
            <w:vAlign w:val="center"/>
          </w:tcPr>
          <w:p>
            <w:pPr>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投标文件内容齐全、无遗漏。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83" w:type="dxa"/>
            <w:vMerge w:val="restart"/>
            <w:vAlign w:val="center"/>
          </w:tcPr>
          <w:p>
            <w:pP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3</w:t>
            </w:r>
          </w:p>
        </w:tc>
        <w:tc>
          <w:tcPr>
            <w:tcW w:w="1151" w:type="dxa"/>
            <w:vMerge w:val="restart"/>
            <w:vAlign w:val="center"/>
          </w:tcPr>
          <w:p>
            <w:pPr>
              <w:rPr>
                <w:rFonts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kern w:val="0"/>
                <w:sz w:val="24"/>
              </w:rPr>
              <w:t>招标文件的响应程度审查</w:t>
            </w:r>
          </w:p>
        </w:tc>
        <w:tc>
          <w:tcPr>
            <w:tcW w:w="1955" w:type="dxa"/>
            <w:vAlign w:val="center"/>
          </w:tcPr>
          <w:p>
            <w:pP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sz w:val="24"/>
                <w:lang w:val="zh-CN"/>
              </w:rPr>
              <w:t>投标</w:t>
            </w:r>
            <w:r>
              <w:rPr>
                <w:rFonts w:hint="eastAsia" w:asciiTheme="minorEastAsia" w:hAnsiTheme="minorEastAsia" w:eastAsiaTheme="minorEastAsia" w:cstheme="minorEastAsia"/>
                <w:color w:val="auto"/>
                <w:kern w:val="0"/>
                <w:sz w:val="24"/>
              </w:rPr>
              <w:t>文件内容</w:t>
            </w:r>
          </w:p>
        </w:tc>
        <w:tc>
          <w:tcPr>
            <w:tcW w:w="6284" w:type="dxa"/>
            <w:vAlign w:val="center"/>
          </w:tcPr>
          <w:p>
            <w:pP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对招标文件规定的内容全部做出响应。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83" w:type="dxa"/>
            <w:vMerge w:val="continue"/>
            <w:vAlign w:val="center"/>
          </w:tcPr>
          <w:p>
            <w:pPr>
              <w:rPr>
                <w:rFonts w:asciiTheme="minorEastAsia" w:hAnsiTheme="minorEastAsia" w:eastAsiaTheme="minorEastAsia" w:cstheme="minorEastAsia"/>
                <w:color w:val="auto"/>
                <w:kern w:val="0"/>
                <w:sz w:val="24"/>
              </w:rPr>
            </w:pPr>
          </w:p>
        </w:tc>
        <w:tc>
          <w:tcPr>
            <w:tcW w:w="1151" w:type="dxa"/>
            <w:vMerge w:val="continue"/>
            <w:vAlign w:val="center"/>
          </w:tcPr>
          <w:p>
            <w:pPr>
              <w:rPr>
                <w:rFonts w:asciiTheme="minorEastAsia" w:hAnsiTheme="minorEastAsia" w:eastAsiaTheme="minorEastAsia" w:cstheme="minorEastAsia"/>
                <w:color w:val="auto"/>
                <w:kern w:val="0"/>
                <w:sz w:val="24"/>
              </w:rPr>
            </w:pPr>
          </w:p>
        </w:tc>
        <w:tc>
          <w:tcPr>
            <w:tcW w:w="1955" w:type="dxa"/>
            <w:vAlign w:val="center"/>
          </w:tcPr>
          <w:p>
            <w:pP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质量技术</w:t>
            </w:r>
          </w:p>
        </w:tc>
        <w:tc>
          <w:tcPr>
            <w:tcW w:w="6284" w:type="dxa"/>
            <w:vAlign w:val="center"/>
          </w:tcPr>
          <w:p>
            <w:pP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满足招标文件提出的质量、技术要求。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83" w:type="dxa"/>
            <w:vMerge w:val="continue"/>
            <w:vAlign w:val="center"/>
          </w:tcPr>
          <w:p>
            <w:pPr>
              <w:rPr>
                <w:rFonts w:asciiTheme="minorEastAsia" w:hAnsiTheme="minorEastAsia" w:eastAsiaTheme="minorEastAsia" w:cstheme="minorEastAsia"/>
                <w:color w:val="auto"/>
                <w:kern w:val="0"/>
                <w:sz w:val="24"/>
              </w:rPr>
            </w:pPr>
          </w:p>
        </w:tc>
        <w:tc>
          <w:tcPr>
            <w:tcW w:w="1151" w:type="dxa"/>
            <w:vMerge w:val="continue"/>
            <w:vAlign w:val="center"/>
          </w:tcPr>
          <w:p>
            <w:pPr>
              <w:rPr>
                <w:rFonts w:asciiTheme="minorEastAsia" w:hAnsiTheme="minorEastAsia" w:eastAsiaTheme="minorEastAsia" w:cstheme="minorEastAsia"/>
                <w:color w:val="auto"/>
                <w:kern w:val="0"/>
                <w:sz w:val="24"/>
              </w:rPr>
            </w:pPr>
          </w:p>
        </w:tc>
        <w:tc>
          <w:tcPr>
            <w:tcW w:w="1955" w:type="dxa"/>
            <w:vAlign w:val="center"/>
          </w:tcPr>
          <w:p>
            <w:pPr>
              <w:rPr>
                <w:rFonts w:asciiTheme="minorEastAsia" w:hAnsiTheme="minorEastAsia" w:eastAsiaTheme="minorEastAsia" w:cstheme="minorEastAsia"/>
                <w:color w:val="auto"/>
                <w:kern w:val="0"/>
                <w:sz w:val="24"/>
              </w:rPr>
            </w:pPr>
            <w:r>
              <w:rPr>
                <w:rFonts w:hint="eastAsia" w:ascii="宋体" w:hAnsi="宋体" w:cs="宋体"/>
                <w:color w:val="auto"/>
                <w:kern w:val="0"/>
                <w:sz w:val="24"/>
              </w:rPr>
              <w:t>承包年限</w:t>
            </w:r>
          </w:p>
        </w:tc>
        <w:tc>
          <w:tcPr>
            <w:tcW w:w="6284" w:type="dxa"/>
            <w:vAlign w:val="center"/>
          </w:tcPr>
          <w:p>
            <w:pPr>
              <w:rPr>
                <w:rFonts w:asciiTheme="minorEastAsia" w:hAnsiTheme="minorEastAsia" w:eastAsiaTheme="minorEastAsia" w:cstheme="minorEastAsia"/>
                <w:color w:val="auto"/>
                <w:kern w:val="0"/>
                <w:sz w:val="24"/>
              </w:rPr>
            </w:pPr>
            <w:r>
              <w:rPr>
                <w:rFonts w:hint="eastAsia" w:ascii="宋体" w:hAnsi="宋体" w:cs="宋体"/>
                <w:color w:val="auto"/>
                <w:kern w:val="0"/>
                <w:sz w:val="24"/>
              </w:rPr>
              <w:t>满足招标文件</w:t>
            </w:r>
            <w:r>
              <w:rPr>
                <w:rFonts w:hint="eastAsia" w:ascii="宋体" w:hAnsi="宋体" w:cs="宋体"/>
                <w:color w:val="auto"/>
                <w:sz w:val="24"/>
                <w:lang w:val="zh-CN"/>
              </w:rPr>
              <w:t>规定</w:t>
            </w:r>
            <w:r>
              <w:rPr>
                <w:rFonts w:hint="eastAsia" w:ascii="宋体" w:hAnsi="宋体" w:cs="宋体"/>
                <w:color w:val="auto"/>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83" w:type="dxa"/>
            <w:vMerge w:val="continue"/>
            <w:vAlign w:val="center"/>
          </w:tcPr>
          <w:p>
            <w:pPr>
              <w:rPr>
                <w:rFonts w:asciiTheme="minorEastAsia" w:hAnsiTheme="minorEastAsia" w:eastAsiaTheme="minorEastAsia" w:cstheme="minorEastAsia"/>
                <w:color w:val="auto"/>
                <w:kern w:val="0"/>
                <w:sz w:val="24"/>
              </w:rPr>
            </w:pPr>
          </w:p>
        </w:tc>
        <w:tc>
          <w:tcPr>
            <w:tcW w:w="1151" w:type="dxa"/>
            <w:vMerge w:val="continue"/>
            <w:vAlign w:val="center"/>
          </w:tcPr>
          <w:p>
            <w:pPr>
              <w:rPr>
                <w:rFonts w:asciiTheme="minorEastAsia" w:hAnsiTheme="minorEastAsia" w:eastAsiaTheme="minorEastAsia" w:cstheme="minorEastAsia"/>
                <w:color w:val="auto"/>
                <w:sz w:val="24"/>
                <w:lang w:val="zh-CN"/>
              </w:rPr>
            </w:pPr>
          </w:p>
        </w:tc>
        <w:tc>
          <w:tcPr>
            <w:tcW w:w="1955" w:type="dxa"/>
            <w:vAlign w:val="center"/>
          </w:tcPr>
          <w:p>
            <w:pP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sz w:val="24"/>
                <w:lang w:val="zh-CN"/>
              </w:rPr>
              <w:t>投标</w:t>
            </w:r>
            <w:r>
              <w:rPr>
                <w:rFonts w:hint="eastAsia" w:asciiTheme="minorEastAsia" w:hAnsiTheme="minorEastAsia" w:eastAsiaTheme="minorEastAsia" w:cstheme="minorEastAsia"/>
                <w:color w:val="auto"/>
                <w:kern w:val="0"/>
                <w:sz w:val="24"/>
              </w:rPr>
              <w:t>文件有效期</w:t>
            </w:r>
          </w:p>
        </w:tc>
        <w:tc>
          <w:tcPr>
            <w:tcW w:w="6284" w:type="dxa"/>
            <w:vAlign w:val="center"/>
          </w:tcPr>
          <w:p>
            <w:pP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满足招标文件</w:t>
            </w:r>
            <w:r>
              <w:rPr>
                <w:rFonts w:hint="eastAsia" w:asciiTheme="minorEastAsia" w:hAnsiTheme="minorEastAsia" w:eastAsiaTheme="minorEastAsia" w:cstheme="minorEastAsia"/>
                <w:color w:val="auto"/>
                <w:sz w:val="24"/>
                <w:lang w:val="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83" w:type="dxa"/>
            <w:vMerge w:val="continue"/>
            <w:tcBorders>
              <w:bottom w:val="single" w:color="auto" w:sz="4" w:space="0"/>
            </w:tcBorders>
            <w:vAlign w:val="center"/>
          </w:tcPr>
          <w:p>
            <w:pPr>
              <w:rPr>
                <w:rFonts w:asciiTheme="minorEastAsia" w:hAnsiTheme="minorEastAsia" w:eastAsiaTheme="minorEastAsia" w:cstheme="minorEastAsia"/>
                <w:color w:val="auto"/>
                <w:kern w:val="0"/>
                <w:sz w:val="24"/>
              </w:rPr>
            </w:pPr>
          </w:p>
        </w:tc>
        <w:tc>
          <w:tcPr>
            <w:tcW w:w="1151" w:type="dxa"/>
            <w:vMerge w:val="continue"/>
            <w:tcBorders>
              <w:bottom w:val="single" w:color="auto" w:sz="4" w:space="0"/>
            </w:tcBorders>
            <w:vAlign w:val="center"/>
          </w:tcPr>
          <w:p>
            <w:pPr>
              <w:rPr>
                <w:rFonts w:asciiTheme="minorEastAsia" w:hAnsiTheme="minorEastAsia" w:eastAsiaTheme="minorEastAsia" w:cstheme="minorEastAsia"/>
                <w:color w:val="auto"/>
                <w:sz w:val="24"/>
                <w:lang w:val="zh-CN"/>
              </w:rPr>
            </w:pPr>
          </w:p>
        </w:tc>
        <w:tc>
          <w:tcPr>
            <w:tcW w:w="1955" w:type="dxa"/>
            <w:tcBorders>
              <w:bottom w:val="single" w:color="auto" w:sz="4" w:space="0"/>
            </w:tcBorders>
            <w:vAlign w:val="center"/>
          </w:tcPr>
          <w:p>
            <w:pP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其他</w:t>
            </w:r>
          </w:p>
        </w:tc>
        <w:tc>
          <w:tcPr>
            <w:tcW w:w="6284" w:type="dxa"/>
            <w:tcBorders>
              <w:bottom w:val="single" w:color="auto" w:sz="4" w:space="0"/>
            </w:tcBorders>
            <w:vAlign w:val="center"/>
          </w:tcPr>
          <w:p>
            <w:pP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满足招标文件相关</w:t>
            </w:r>
            <w:r>
              <w:rPr>
                <w:rFonts w:hint="eastAsia" w:asciiTheme="minorEastAsia" w:hAnsiTheme="minorEastAsia" w:eastAsiaTheme="minorEastAsia" w:cstheme="minorEastAsia"/>
                <w:color w:val="auto"/>
                <w:sz w:val="24"/>
                <w:lang w:val="zh-CN"/>
              </w:rPr>
              <w:t>规定。</w:t>
            </w:r>
          </w:p>
        </w:tc>
      </w:tr>
    </w:tbl>
    <w:p>
      <w:pPr>
        <w:rPr>
          <w:rFonts w:asciiTheme="minorEastAsia" w:hAnsiTheme="minorEastAsia" w:eastAsiaTheme="minorEastAsia" w:cstheme="minorEastAsia"/>
          <w:color w:val="auto"/>
        </w:rPr>
      </w:pPr>
    </w:p>
    <w:p>
      <w:pP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color w:val="auto"/>
          <w:sz w:val="24"/>
        </w:rPr>
        <w:t>注：符合性审查的评审内容，有一项不通过者，视为未通过符合性审查。未通过符合性审查的投标文件将按照无效投标处理。</w:t>
      </w:r>
    </w:p>
    <w:p>
      <w:pPr>
        <w:rPr>
          <w:rFonts w:asciiTheme="minorEastAsia" w:hAnsiTheme="minorEastAsia" w:eastAsiaTheme="minorEastAsia" w:cstheme="minorEastAsia"/>
          <w:b/>
          <w:bCs/>
          <w:color w:val="auto"/>
          <w:sz w:val="24"/>
        </w:rPr>
      </w:pPr>
    </w:p>
    <w:p>
      <w:pPr>
        <w:rPr>
          <w:rFonts w:asciiTheme="minorEastAsia" w:hAnsiTheme="minorEastAsia" w:eastAsiaTheme="minorEastAsia" w:cstheme="minorEastAsia"/>
          <w:b/>
          <w:bCs/>
          <w:color w:val="auto"/>
          <w:sz w:val="24"/>
        </w:rPr>
      </w:pPr>
    </w:p>
    <w:p>
      <w:pPr>
        <w:rPr>
          <w:rFonts w:asciiTheme="minorEastAsia" w:hAnsiTheme="minorEastAsia" w:eastAsiaTheme="minorEastAsia" w:cstheme="minorEastAsia"/>
          <w:b/>
          <w:bCs/>
          <w:color w:val="auto"/>
          <w:sz w:val="24"/>
        </w:rPr>
      </w:pPr>
    </w:p>
    <w:p>
      <w:pPr>
        <w:rPr>
          <w:rFonts w:asciiTheme="minorEastAsia" w:hAnsiTheme="minorEastAsia" w:eastAsiaTheme="minorEastAsia" w:cstheme="minorEastAsia"/>
          <w:b/>
          <w:bCs/>
          <w:color w:val="auto"/>
          <w:sz w:val="24"/>
        </w:rPr>
      </w:pPr>
    </w:p>
    <w:p>
      <w:pPr>
        <w:pStyle w:val="4"/>
        <w:rPr>
          <w:rFonts w:asciiTheme="minorEastAsia" w:hAnsiTheme="minorEastAsia" w:eastAsiaTheme="minorEastAsia" w:cstheme="minorEastAsia"/>
          <w:color w:val="auto"/>
          <w:sz w:val="24"/>
        </w:rPr>
      </w:pPr>
    </w:p>
    <w:p>
      <w:pPr>
        <w:rPr>
          <w:rFonts w:asciiTheme="minorEastAsia" w:hAnsiTheme="minorEastAsia" w:eastAsiaTheme="minorEastAsia" w:cstheme="minorEastAsia"/>
          <w:color w:val="auto"/>
          <w:sz w:val="24"/>
        </w:rPr>
      </w:pPr>
    </w:p>
    <w:p>
      <w:pPr>
        <w:rPr>
          <w:rFonts w:asciiTheme="minorEastAsia" w:hAnsiTheme="minorEastAsia" w:eastAsiaTheme="minorEastAsia" w:cstheme="minorEastAsia"/>
          <w:color w:val="auto"/>
          <w:sz w:val="24"/>
        </w:rPr>
      </w:pPr>
    </w:p>
    <w:p>
      <w:pPr>
        <w:rPr>
          <w:rFonts w:asciiTheme="minorEastAsia" w:hAnsiTheme="minorEastAsia" w:eastAsiaTheme="minorEastAsia" w:cstheme="minorEastAsia"/>
          <w:color w:val="auto"/>
          <w:sz w:val="24"/>
        </w:rPr>
      </w:pPr>
    </w:p>
    <w:p>
      <w:pPr>
        <w:rPr>
          <w:rFonts w:asciiTheme="minorEastAsia" w:hAnsiTheme="minorEastAsia" w:eastAsiaTheme="minorEastAsia" w:cstheme="minorEastAsia"/>
          <w:color w:val="auto"/>
          <w:sz w:val="24"/>
        </w:rPr>
      </w:pPr>
    </w:p>
    <w:p>
      <w:pPr>
        <w:rPr>
          <w:rFonts w:asciiTheme="minorEastAsia" w:hAnsiTheme="minorEastAsia" w:eastAsiaTheme="minorEastAsia" w:cstheme="minorEastAsia"/>
          <w:color w:val="auto"/>
          <w:sz w:val="24"/>
        </w:rPr>
      </w:pPr>
    </w:p>
    <w:p>
      <w:pPr>
        <w:pStyle w:val="4"/>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3、评标方法（综合评分法）</w:t>
      </w:r>
      <w:r>
        <w:rPr>
          <w:rFonts w:hint="eastAsia" w:asciiTheme="minorEastAsia" w:hAnsiTheme="minorEastAsia" w:eastAsiaTheme="minorEastAsia" w:cstheme="minorEastAsia"/>
          <w:color w:val="auto"/>
          <w:sz w:val="24"/>
        </w:rPr>
        <w:t>（不分标项评审，只评审一次）</w:t>
      </w:r>
    </w:p>
    <w:tbl>
      <w:tblPr>
        <w:tblStyle w:val="58"/>
        <w:tblpPr w:leftFromText="180" w:rightFromText="180" w:vertAnchor="text" w:horzAnchor="margin" w:tblpX="-133" w:tblpY="222"/>
        <w:tblW w:w="10220" w:type="dxa"/>
        <w:tblInd w:w="0" w:type="dxa"/>
        <w:tblLayout w:type="fixed"/>
        <w:tblCellMar>
          <w:top w:w="0" w:type="dxa"/>
          <w:left w:w="108" w:type="dxa"/>
          <w:bottom w:w="0" w:type="dxa"/>
          <w:right w:w="108" w:type="dxa"/>
        </w:tblCellMar>
      </w:tblPr>
      <w:tblGrid>
        <w:gridCol w:w="494"/>
        <w:gridCol w:w="1394"/>
        <w:gridCol w:w="7499"/>
        <w:gridCol w:w="833"/>
      </w:tblGrid>
      <w:tr>
        <w:tblPrEx>
          <w:tblCellMar>
            <w:top w:w="0" w:type="dxa"/>
            <w:left w:w="108" w:type="dxa"/>
            <w:bottom w:w="0" w:type="dxa"/>
            <w:right w:w="108" w:type="dxa"/>
          </w:tblCellMar>
        </w:tblPrEx>
        <w:trPr>
          <w:trHeight w:val="90" w:hRule="atLeast"/>
        </w:trPr>
        <w:tc>
          <w:tcPr>
            <w:tcW w:w="494" w:type="dxa"/>
            <w:tcBorders>
              <w:top w:val="single" w:color="auto" w:sz="4" w:space="0"/>
              <w:left w:val="single" w:color="auto" w:sz="4" w:space="0"/>
              <w:bottom w:val="single" w:color="auto" w:sz="4" w:space="0"/>
              <w:right w:val="single" w:color="auto" w:sz="4" w:space="0"/>
            </w:tcBorders>
            <w:textDirection w:val="tbRlV"/>
            <w:vAlign w:val="center"/>
          </w:tcPr>
          <w:p>
            <w:pPr>
              <w:widowControl/>
              <w:spacing w:line="360" w:lineRule="auto"/>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序号</w:t>
            </w:r>
          </w:p>
        </w:tc>
        <w:tc>
          <w:tcPr>
            <w:tcW w:w="139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评审指标         (100分)</w:t>
            </w:r>
          </w:p>
        </w:tc>
        <w:tc>
          <w:tcPr>
            <w:tcW w:w="749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评审标准</w:t>
            </w:r>
          </w:p>
        </w:tc>
        <w:tc>
          <w:tcPr>
            <w:tcW w:w="83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分值</w:t>
            </w:r>
          </w:p>
        </w:tc>
      </w:tr>
      <w:tr>
        <w:tblPrEx>
          <w:tblCellMar>
            <w:top w:w="0" w:type="dxa"/>
            <w:left w:w="108" w:type="dxa"/>
            <w:bottom w:w="0" w:type="dxa"/>
            <w:right w:w="108" w:type="dxa"/>
          </w:tblCellMar>
        </w:tblPrEx>
        <w:trPr>
          <w:trHeight w:val="90" w:hRule="atLeast"/>
        </w:trPr>
        <w:tc>
          <w:tcPr>
            <w:tcW w:w="49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w:t>
            </w:r>
          </w:p>
        </w:tc>
        <w:tc>
          <w:tcPr>
            <w:tcW w:w="139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业绩</w:t>
            </w:r>
          </w:p>
        </w:tc>
        <w:tc>
          <w:tcPr>
            <w:tcW w:w="7499"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Theme="minorEastAsia" w:hAnsiTheme="minorEastAsia" w:cstheme="minorEastAsia"/>
                <w:color w:val="auto"/>
                <w:kern w:val="0"/>
                <w:szCs w:val="21"/>
              </w:rPr>
            </w:pPr>
            <w:r>
              <w:rPr>
                <w:rFonts w:hint="eastAsia" w:ascii="宋体" w:hAnsi="宋体" w:cs="宋体"/>
                <w:color w:val="auto"/>
                <w:kern w:val="0"/>
                <w:szCs w:val="21"/>
              </w:rPr>
              <w:t>由投标人提供过往医疗机构食堂项目资历证明，按承包年限时间由长至短进行排名，三年以上得10分；三年至一年得5分；一年以下不得分。（附相关证明材料加盖公章）</w:t>
            </w:r>
          </w:p>
        </w:tc>
        <w:tc>
          <w:tcPr>
            <w:tcW w:w="83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0-10</w:t>
            </w:r>
          </w:p>
        </w:tc>
      </w:tr>
      <w:tr>
        <w:tblPrEx>
          <w:tblCellMar>
            <w:top w:w="0" w:type="dxa"/>
            <w:left w:w="108" w:type="dxa"/>
            <w:bottom w:w="0" w:type="dxa"/>
            <w:right w:w="108" w:type="dxa"/>
          </w:tblCellMar>
        </w:tblPrEx>
        <w:trPr>
          <w:trHeight w:val="90" w:hRule="atLeast"/>
        </w:trPr>
        <w:tc>
          <w:tcPr>
            <w:tcW w:w="494"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w:t>
            </w:r>
          </w:p>
        </w:tc>
        <w:tc>
          <w:tcPr>
            <w:tcW w:w="1394" w:type="dxa"/>
            <w:vMerge w:val="restart"/>
            <w:tcBorders>
              <w:top w:val="single" w:color="auto" w:sz="4" w:space="0"/>
              <w:left w:val="nil"/>
              <w:right w:val="single" w:color="auto" w:sz="4" w:space="0"/>
            </w:tcBorders>
            <w:vAlign w:val="center"/>
          </w:tcPr>
          <w:p>
            <w:pPr>
              <w:widowControl/>
              <w:spacing w:line="360" w:lineRule="auto"/>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综合实力</w:t>
            </w:r>
          </w:p>
        </w:tc>
        <w:tc>
          <w:tcPr>
            <w:tcW w:w="7499"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color w:val="auto"/>
                <w:kern w:val="0"/>
                <w:szCs w:val="21"/>
              </w:rPr>
            </w:pPr>
            <w:r>
              <w:rPr>
                <w:rFonts w:hint="eastAsia" w:ascii="宋体" w:hAnsi="宋体" w:cs="宋体"/>
                <w:color w:val="auto"/>
                <w:kern w:val="0"/>
                <w:szCs w:val="21"/>
              </w:rPr>
              <w:t>具有专业的团队及完善管理制度，拥有同时容纳500人以上用餐经营经验，需提供单位推荐报告，5家单位推荐得5分；5家以下单位推荐得3分，无法提供推荐报告不得分（附相关证明材料并加盖公章）。</w:t>
            </w:r>
          </w:p>
        </w:tc>
        <w:tc>
          <w:tcPr>
            <w:tcW w:w="83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0-5</w:t>
            </w:r>
          </w:p>
        </w:tc>
      </w:tr>
      <w:tr>
        <w:tblPrEx>
          <w:tblCellMar>
            <w:top w:w="0" w:type="dxa"/>
            <w:left w:w="108" w:type="dxa"/>
            <w:bottom w:w="0" w:type="dxa"/>
            <w:right w:w="108" w:type="dxa"/>
          </w:tblCellMar>
        </w:tblPrEx>
        <w:trPr>
          <w:trHeight w:val="90" w:hRule="atLeast"/>
        </w:trPr>
        <w:tc>
          <w:tcPr>
            <w:tcW w:w="494" w:type="dxa"/>
            <w:vMerge w:val="continue"/>
            <w:tcBorders>
              <w:left w:val="single" w:color="auto" w:sz="4" w:space="0"/>
              <w:right w:val="single" w:color="auto" w:sz="4" w:space="0"/>
            </w:tcBorders>
            <w:vAlign w:val="center"/>
          </w:tcPr>
          <w:p>
            <w:pPr>
              <w:widowControl/>
              <w:spacing w:line="360" w:lineRule="auto"/>
              <w:jc w:val="center"/>
              <w:rPr>
                <w:rFonts w:asciiTheme="minorEastAsia" w:hAnsiTheme="minorEastAsia" w:eastAsiaTheme="minorEastAsia" w:cstheme="minorEastAsia"/>
                <w:color w:val="auto"/>
                <w:kern w:val="0"/>
                <w:szCs w:val="21"/>
              </w:rPr>
            </w:pPr>
          </w:p>
        </w:tc>
        <w:tc>
          <w:tcPr>
            <w:tcW w:w="1394" w:type="dxa"/>
            <w:vMerge w:val="continue"/>
            <w:tcBorders>
              <w:left w:val="nil"/>
              <w:right w:val="single" w:color="auto" w:sz="4" w:space="0"/>
            </w:tcBorders>
            <w:vAlign w:val="center"/>
          </w:tcPr>
          <w:p>
            <w:pPr>
              <w:widowControl/>
              <w:spacing w:line="360" w:lineRule="auto"/>
              <w:jc w:val="center"/>
              <w:rPr>
                <w:rFonts w:asciiTheme="minorEastAsia" w:hAnsiTheme="minorEastAsia" w:eastAsiaTheme="minorEastAsia" w:cstheme="minorEastAsia"/>
                <w:color w:val="auto"/>
                <w:kern w:val="0"/>
                <w:szCs w:val="21"/>
              </w:rPr>
            </w:pPr>
          </w:p>
        </w:tc>
        <w:tc>
          <w:tcPr>
            <w:tcW w:w="7499"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color w:val="auto"/>
                <w:kern w:val="0"/>
                <w:szCs w:val="21"/>
              </w:rPr>
            </w:pPr>
            <w:r>
              <w:rPr>
                <w:rFonts w:hint="eastAsia" w:ascii="宋体" w:hAnsi="宋体" w:cs="宋体"/>
                <w:color w:val="auto"/>
                <w:kern w:val="0"/>
                <w:szCs w:val="21"/>
              </w:rPr>
              <w:t>供应商信誉度较高，服务反馈意见良好。每提供一项得0.5分,最多5分（附相关证明材料加盖公章）</w:t>
            </w:r>
          </w:p>
        </w:tc>
        <w:tc>
          <w:tcPr>
            <w:tcW w:w="83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0-5</w:t>
            </w:r>
          </w:p>
        </w:tc>
      </w:tr>
      <w:tr>
        <w:tblPrEx>
          <w:tblCellMar>
            <w:top w:w="0" w:type="dxa"/>
            <w:left w:w="108" w:type="dxa"/>
            <w:bottom w:w="0" w:type="dxa"/>
            <w:right w:w="108" w:type="dxa"/>
          </w:tblCellMar>
        </w:tblPrEx>
        <w:trPr>
          <w:trHeight w:val="90" w:hRule="atLeast"/>
        </w:trPr>
        <w:tc>
          <w:tcPr>
            <w:tcW w:w="494" w:type="dxa"/>
            <w:vMerge w:val="continue"/>
            <w:tcBorders>
              <w:left w:val="single" w:color="auto" w:sz="4" w:space="0"/>
              <w:right w:val="single" w:color="auto" w:sz="4" w:space="0"/>
            </w:tcBorders>
            <w:vAlign w:val="center"/>
          </w:tcPr>
          <w:p>
            <w:pPr>
              <w:widowControl/>
              <w:spacing w:line="360" w:lineRule="auto"/>
              <w:jc w:val="center"/>
              <w:rPr>
                <w:rFonts w:asciiTheme="minorEastAsia" w:hAnsiTheme="minorEastAsia" w:eastAsiaTheme="minorEastAsia" w:cstheme="minorEastAsia"/>
                <w:color w:val="auto"/>
                <w:kern w:val="0"/>
                <w:szCs w:val="21"/>
              </w:rPr>
            </w:pPr>
          </w:p>
        </w:tc>
        <w:tc>
          <w:tcPr>
            <w:tcW w:w="1394" w:type="dxa"/>
            <w:vMerge w:val="continue"/>
            <w:tcBorders>
              <w:left w:val="nil"/>
              <w:right w:val="single" w:color="auto" w:sz="4" w:space="0"/>
            </w:tcBorders>
            <w:vAlign w:val="center"/>
          </w:tcPr>
          <w:p>
            <w:pPr>
              <w:widowControl/>
              <w:spacing w:line="360" w:lineRule="auto"/>
              <w:jc w:val="center"/>
              <w:rPr>
                <w:rFonts w:asciiTheme="minorEastAsia" w:hAnsiTheme="minorEastAsia" w:eastAsiaTheme="minorEastAsia" w:cstheme="minorEastAsia"/>
                <w:color w:val="auto"/>
                <w:kern w:val="0"/>
                <w:szCs w:val="21"/>
              </w:rPr>
            </w:pPr>
          </w:p>
        </w:tc>
        <w:tc>
          <w:tcPr>
            <w:tcW w:w="749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开评标现场，通过在信合联服网站（网址http://www.xhlfzx.com.cn/）查询截止当天投标人信用状况，并根据投标人所提供由信合联服（克拉玛依市信用办备案认可信用服务机构）出具的信用报告所评定信用等级评分：</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1、信用等级为AAA级，得5分；</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2、信用等级为AA级，得4.5分；</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3、信用等级为A级，得4分；</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4、信用等级为BBB级，得3.5分；</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5、信用等级为BB级，得3分；</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6、信用等级为B级，得2.5分；</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7、信用等级为CCC级，得2分；</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8、信用等级为CC级，得1.5分；</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9、信用等级为C级，得1分；</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10、信用等级为D级，取消其投标资格；</w:t>
            </w:r>
          </w:p>
          <w:p>
            <w:pPr>
              <w:keepNext w:val="0"/>
              <w:keepLines w:val="0"/>
              <w:pageBreakBefore w:val="0"/>
              <w:kinsoku/>
              <w:wordWrap/>
              <w:overflowPunct/>
              <w:topLinePunct w:val="0"/>
              <w:autoSpaceDE/>
              <w:autoSpaceDN/>
              <w:bidi w:val="0"/>
              <w:adjustRightInd/>
              <w:snapToGrid/>
              <w:spacing w:line="360" w:lineRule="auto"/>
              <w:rPr>
                <w:rFonts w:ascii="宋体" w:hAnsi="宋体" w:cs="宋体"/>
                <w:color w:val="auto"/>
                <w:kern w:val="0"/>
                <w:szCs w:val="21"/>
              </w:rPr>
            </w:pPr>
            <w:r>
              <w:rPr>
                <w:rFonts w:hint="eastAsia" w:ascii="宋体" w:hAnsi="宋体" w:eastAsia="宋体" w:cs="宋体"/>
                <w:color w:val="auto"/>
                <w:sz w:val="21"/>
                <w:szCs w:val="21"/>
                <w:highlight w:val="none"/>
              </w:rPr>
              <w:t>11、未提供信用报告的，此项不得分。</w:t>
            </w:r>
          </w:p>
        </w:tc>
        <w:tc>
          <w:tcPr>
            <w:tcW w:w="83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asciiTheme="minorEastAsia" w:hAnsiTheme="minorEastAsia" w:eastAsiaTheme="minorEastAsia" w:cstheme="minorEastAsia"/>
                <w:color w:val="auto"/>
                <w:kern w:val="0"/>
                <w:szCs w:val="21"/>
              </w:rPr>
            </w:pPr>
            <w:r>
              <w:rPr>
                <w:rFonts w:hint="eastAsia" w:ascii="宋体" w:hAnsi="宋体" w:eastAsia="宋体" w:cs="宋体"/>
                <w:color w:val="auto"/>
                <w:kern w:val="0"/>
                <w:sz w:val="21"/>
                <w:szCs w:val="21"/>
                <w:highlight w:val="none"/>
              </w:rPr>
              <w:t>0-5</w:t>
            </w:r>
          </w:p>
        </w:tc>
      </w:tr>
      <w:tr>
        <w:tblPrEx>
          <w:tblCellMar>
            <w:top w:w="0" w:type="dxa"/>
            <w:left w:w="108" w:type="dxa"/>
            <w:bottom w:w="0" w:type="dxa"/>
            <w:right w:w="108" w:type="dxa"/>
          </w:tblCellMar>
        </w:tblPrEx>
        <w:trPr>
          <w:trHeight w:val="90" w:hRule="atLeast"/>
        </w:trPr>
        <w:tc>
          <w:tcPr>
            <w:tcW w:w="494" w:type="dxa"/>
            <w:vMerge w:val="continue"/>
            <w:tcBorders>
              <w:left w:val="single" w:color="auto" w:sz="4" w:space="0"/>
              <w:right w:val="single" w:color="auto" w:sz="4" w:space="0"/>
            </w:tcBorders>
            <w:vAlign w:val="center"/>
          </w:tcPr>
          <w:p>
            <w:pPr>
              <w:widowControl/>
              <w:spacing w:line="360" w:lineRule="auto"/>
              <w:jc w:val="center"/>
              <w:rPr>
                <w:rFonts w:asciiTheme="minorEastAsia" w:hAnsiTheme="minorEastAsia" w:eastAsiaTheme="minorEastAsia" w:cstheme="minorEastAsia"/>
                <w:color w:val="auto"/>
                <w:kern w:val="0"/>
                <w:szCs w:val="21"/>
              </w:rPr>
            </w:pPr>
          </w:p>
        </w:tc>
        <w:tc>
          <w:tcPr>
            <w:tcW w:w="1394" w:type="dxa"/>
            <w:vMerge w:val="continue"/>
            <w:tcBorders>
              <w:left w:val="nil"/>
              <w:right w:val="single" w:color="auto" w:sz="4" w:space="0"/>
            </w:tcBorders>
            <w:vAlign w:val="center"/>
          </w:tcPr>
          <w:p>
            <w:pPr>
              <w:widowControl/>
              <w:spacing w:line="360" w:lineRule="auto"/>
              <w:jc w:val="center"/>
              <w:rPr>
                <w:rFonts w:asciiTheme="minorEastAsia" w:hAnsiTheme="minorEastAsia" w:eastAsiaTheme="minorEastAsia" w:cstheme="minorEastAsia"/>
                <w:color w:val="auto"/>
                <w:kern w:val="0"/>
                <w:szCs w:val="21"/>
              </w:rPr>
            </w:pPr>
          </w:p>
        </w:tc>
        <w:tc>
          <w:tcPr>
            <w:tcW w:w="7499"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color w:val="auto"/>
                <w:szCs w:val="21"/>
              </w:rPr>
            </w:pPr>
            <w:r>
              <w:rPr>
                <w:rFonts w:hint="eastAsia" w:ascii="宋体" w:hAnsi="宋体" w:cs="宋体"/>
                <w:color w:val="auto"/>
                <w:kern w:val="0"/>
                <w:szCs w:val="21"/>
              </w:rPr>
              <w:t>投标人在疫情期间为</w:t>
            </w:r>
            <w:r>
              <w:rPr>
                <w:rFonts w:hint="eastAsia" w:ascii="宋体" w:hAnsi="宋体" w:cs="宋体"/>
                <w:color w:val="auto"/>
                <w:kern w:val="0"/>
                <w:szCs w:val="21"/>
              </w:rPr>
              <w:t>企事业单位</w:t>
            </w:r>
            <w:r>
              <w:rPr>
                <w:rFonts w:hint="eastAsia" w:ascii="宋体" w:hAnsi="宋体" w:cs="宋体"/>
                <w:color w:val="auto"/>
                <w:kern w:val="0"/>
                <w:szCs w:val="21"/>
              </w:rPr>
              <w:t>提供过应急餐饮服务的得4分，提供相关证明材料，未提供得0分。</w:t>
            </w:r>
          </w:p>
        </w:tc>
        <w:tc>
          <w:tcPr>
            <w:tcW w:w="83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0-4</w:t>
            </w:r>
          </w:p>
        </w:tc>
      </w:tr>
      <w:tr>
        <w:tblPrEx>
          <w:tblCellMar>
            <w:top w:w="0" w:type="dxa"/>
            <w:left w:w="108" w:type="dxa"/>
            <w:bottom w:w="0" w:type="dxa"/>
            <w:right w:w="108" w:type="dxa"/>
          </w:tblCellMar>
        </w:tblPrEx>
        <w:trPr>
          <w:trHeight w:val="90" w:hRule="atLeast"/>
        </w:trPr>
        <w:tc>
          <w:tcPr>
            <w:tcW w:w="494" w:type="dxa"/>
            <w:vMerge w:val="continue"/>
            <w:tcBorders>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stheme="minorEastAsia"/>
                <w:color w:val="auto"/>
                <w:kern w:val="0"/>
                <w:szCs w:val="21"/>
              </w:rPr>
            </w:pPr>
          </w:p>
        </w:tc>
        <w:tc>
          <w:tcPr>
            <w:tcW w:w="1394" w:type="dxa"/>
            <w:vMerge w:val="continue"/>
            <w:tcBorders>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stheme="minorEastAsia"/>
                <w:color w:val="auto"/>
                <w:kern w:val="0"/>
                <w:szCs w:val="21"/>
              </w:rPr>
            </w:pPr>
          </w:p>
        </w:tc>
        <w:tc>
          <w:tcPr>
            <w:tcW w:w="7499"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color w:val="auto"/>
                <w:kern w:val="0"/>
                <w:szCs w:val="21"/>
              </w:rPr>
            </w:pPr>
            <w:r>
              <w:rPr>
                <w:rFonts w:hint="eastAsia" w:ascii="宋体" w:hAnsi="宋体" w:cs="宋体"/>
                <w:color w:val="auto"/>
                <w:kern w:val="0"/>
                <w:szCs w:val="21"/>
              </w:rPr>
              <w:t>投标人实力较强，经营情况良好，且专业技术人员较多，技术能力强。1-5分</w:t>
            </w:r>
          </w:p>
        </w:tc>
        <w:tc>
          <w:tcPr>
            <w:tcW w:w="83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1-5</w:t>
            </w:r>
          </w:p>
        </w:tc>
      </w:tr>
      <w:tr>
        <w:tblPrEx>
          <w:tblCellMar>
            <w:top w:w="0" w:type="dxa"/>
            <w:left w:w="108" w:type="dxa"/>
            <w:bottom w:w="0" w:type="dxa"/>
            <w:right w:w="108" w:type="dxa"/>
          </w:tblCellMar>
        </w:tblPrEx>
        <w:trPr>
          <w:trHeight w:val="90" w:hRule="atLeast"/>
        </w:trPr>
        <w:tc>
          <w:tcPr>
            <w:tcW w:w="494"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w:t>
            </w:r>
          </w:p>
        </w:tc>
        <w:tc>
          <w:tcPr>
            <w:tcW w:w="1394" w:type="dxa"/>
            <w:tcBorders>
              <w:top w:val="nil"/>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项目管理情况</w:t>
            </w:r>
          </w:p>
        </w:tc>
        <w:tc>
          <w:tcPr>
            <w:tcW w:w="7499" w:type="dxa"/>
            <w:tcBorders>
              <w:top w:val="nil"/>
              <w:left w:val="nil"/>
              <w:bottom w:val="single" w:color="auto" w:sz="4" w:space="0"/>
              <w:right w:val="single" w:color="auto" w:sz="4" w:space="0"/>
            </w:tcBorders>
            <w:vAlign w:val="center"/>
          </w:tcPr>
          <w:p>
            <w:pPr>
              <w:widowControl/>
              <w:spacing w:line="360" w:lineRule="auto"/>
              <w:rPr>
                <w:rFonts w:asciiTheme="minorEastAsia" w:hAnsiTheme="minorEastAsia" w:eastAsiaTheme="minorEastAsia" w:cstheme="minorEastAsia"/>
                <w:color w:val="auto"/>
                <w:szCs w:val="21"/>
              </w:rPr>
            </w:pPr>
            <w:r>
              <w:rPr>
                <w:rFonts w:hint="eastAsia" w:ascii="宋体" w:hAnsi="宋体" w:cs="宋体"/>
                <w:color w:val="auto"/>
                <w:szCs w:val="21"/>
              </w:rPr>
              <w:t>提供全套项目管理规章制度，包括但不限于卫生安全管理、食品质量管理、员工管理考核、员工培训管理、资产管理、安全稳定管理等。具有以上内容，且内容相对具体、完整、可实施度高得6-10分；内容不完整、管理制度实施性一般得5-1分；内容有重大缺失或未提供得0分。</w:t>
            </w:r>
          </w:p>
        </w:tc>
        <w:tc>
          <w:tcPr>
            <w:tcW w:w="833" w:type="dxa"/>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stheme="minorEastAsia"/>
                <w:color w:val="auto"/>
                <w:szCs w:val="21"/>
              </w:rPr>
            </w:pPr>
            <w:r>
              <w:rPr>
                <w:rFonts w:hint="eastAsia" w:ascii="宋体" w:hAnsi="宋体" w:cs="宋体"/>
                <w:color w:val="auto"/>
                <w:szCs w:val="21"/>
              </w:rPr>
              <w:t>0-10</w:t>
            </w:r>
          </w:p>
        </w:tc>
      </w:tr>
      <w:tr>
        <w:tblPrEx>
          <w:tblCellMar>
            <w:top w:w="0" w:type="dxa"/>
            <w:left w:w="108" w:type="dxa"/>
            <w:bottom w:w="0" w:type="dxa"/>
            <w:right w:w="108" w:type="dxa"/>
          </w:tblCellMar>
        </w:tblPrEx>
        <w:trPr>
          <w:trHeight w:val="90" w:hRule="atLeast"/>
        </w:trPr>
        <w:tc>
          <w:tcPr>
            <w:tcW w:w="494"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w:t>
            </w:r>
          </w:p>
        </w:tc>
        <w:tc>
          <w:tcPr>
            <w:tcW w:w="1394" w:type="dxa"/>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项目团队配备情况</w:t>
            </w:r>
          </w:p>
        </w:tc>
        <w:tc>
          <w:tcPr>
            <w:tcW w:w="7499" w:type="dxa"/>
            <w:tcBorders>
              <w:top w:val="nil"/>
              <w:left w:val="nil"/>
              <w:bottom w:val="single" w:color="auto" w:sz="4" w:space="0"/>
              <w:right w:val="single" w:color="auto" w:sz="4" w:space="0"/>
            </w:tcBorders>
            <w:vAlign w:val="center"/>
          </w:tcPr>
          <w:p>
            <w:pPr>
              <w:widowControl/>
              <w:spacing w:line="360" w:lineRule="auto"/>
              <w:rPr>
                <w:rFonts w:asciiTheme="minorEastAsia" w:hAnsiTheme="minorEastAsia" w:eastAsiaTheme="minorEastAsia" w:cstheme="minorEastAsia"/>
                <w:color w:val="auto"/>
                <w:szCs w:val="21"/>
              </w:rPr>
            </w:pPr>
            <w:r>
              <w:rPr>
                <w:rFonts w:hint="eastAsia" w:ascii="宋体" w:hAnsi="宋体" w:cs="宋体"/>
                <w:color w:val="auto"/>
                <w:szCs w:val="21"/>
              </w:rPr>
              <w:t>配置专职管理员、专职食品卫生安全管理员、高级厨师、中级厨师、服务员等情况，提供人员招收、招聘来源情况及人员稳定性保障措施，提供餐饮从业人员培训合格证及健康证等，项目团队配备方案详细，完全满足服务要求得4-6分；项目团队配备方案一般，基本满足服务要求得2-3分；项目团队配备方案差得1分；未提供0分。</w:t>
            </w:r>
          </w:p>
        </w:tc>
        <w:tc>
          <w:tcPr>
            <w:tcW w:w="833" w:type="dxa"/>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cstheme="minorEastAsia"/>
                <w:color w:val="auto"/>
                <w:szCs w:val="21"/>
              </w:rPr>
            </w:pPr>
            <w:r>
              <w:rPr>
                <w:rFonts w:hint="eastAsia" w:ascii="宋体" w:hAnsi="宋体" w:cs="宋体"/>
                <w:color w:val="auto"/>
                <w:szCs w:val="21"/>
              </w:rPr>
              <w:t>0-6</w:t>
            </w:r>
          </w:p>
        </w:tc>
      </w:tr>
      <w:tr>
        <w:tblPrEx>
          <w:tblCellMar>
            <w:top w:w="0" w:type="dxa"/>
            <w:left w:w="108" w:type="dxa"/>
            <w:bottom w:w="0" w:type="dxa"/>
            <w:right w:w="108" w:type="dxa"/>
          </w:tblCellMar>
        </w:tblPrEx>
        <w:trPr>
          <w:trHeight w:val="1494" w:hRule="atLeast"/>
        </w:trPr>
        <w:tc>
          <w:tcPr>
            <w:tcW w:w="494" w:type="dxa"/>
            <w:tcBorders>
              <w:top w:val="single" w:color="auto" w:sz="4" w:space="0"/>
              <w:left w:val="single" w:color="auto" w:sz="4" w:space="0"/>
              <w:right w:val="single" w:color="auto" w:sz="4" w:space="0"/>
            </w:tcBorders>
            <w:vAlign w:val="center"/>
          </w:tcPr>
          <w:p>
            <w:pPr>
              <w:widowControl/>
              <w:spacing w:line="360" w:lineRule="auto"/>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5</w:t>
            </w:r>
          </w:p>
        </w:tc>
        <w:tc>
          <w:tcPr>
            <w:tcW w:w="1394" w:type="dxa"/>
            <w:tcBorders>
              <w:top w:val="single" w:color="auto" w:sz="4" w:space="0"/>
              <w:left w:val="single" w:color="auto" w:sz="4" w:space="0"/>
              <w:right w:val="single" w:color="auto" w:sz="4" w:space="0"/>
            </w:tcBorders>
            <w:vAlign w:val="center"/>
          </w:tcPr>
          <w:p>
            <w:pPr>
              <w:widowControl/>
              <w:spacing w:line="360" w:lineRule="auto"/>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szCs w:val="21"/>
              </w:rPr>
              <w:t>经营方案</w:t>
            </w:r>
          </w:p>
        </w:tc>
        <w:tc>
          <w:tcPr>
            <w:tcW w:w="74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color w:val="auto"/>
                <w:szCs w:val="21"/>
              </w:rPr>
            </w:pPr>
            <w:r>
              <w:rPr>
                <w:rFonts w:hint="eastAsia" w:ascii="宋体" w:hAnsi="宋体" w:cs="宋体"/>
                <w:color w:val="auto"/>
                <w:szCs w:val="21"/>
              </w:rPr>
              <w:t xml:space="preserve">针对本项目的重点工作方案，包括但不限于： </w:t>
            </w:r>
          </w:p>
          <w:p>
            <w:pPr>
              <w:widowControl/>
              <w:spacing w:line="360" w:lineRule="auto"/>
              <w:rPr>
                <w:rFonts w:ascii="宋体" w:hAnsi="宋体" w:cs="宋体"/>
                <w:color w:val="auto"/>
                <w:szCs w:val="21"/>
              </w:rPr>
            </w:pPr>
            <w:r>
              <w:rPr>
                <w:rFonts w:hint="eastAsia" w:ascii="宋体" w:hAnsi="宋体" w:cs="宋体"/>
                <w:color w:val="auto"/>
                <w:szCs w:val="21"/>
              </w:rPr>
              <w:t>（1）对本项目的整体设想及策划</w:t>
            </w:r>
          </w:p>
          <w:p>
            <w:pPr>
              <w:widowControl/>
              <w:spacing w:line="360" w:lineRule="auto"/>
              <w:rPr>
                <w:rFonts w:ascii="宋体" w:hAnsi="宋体" w:cs="宋体"/>
                <w:color w:val="auto"/>
                <w:szCs w:val="21"/>
              </w:rPr>
            </w:pPr>
            <w:r>
              <w:rPr>
                <w:rFonts w:hint="eastAsia" w:ascii="宋体" w:hAnsi="宋体" w:cs="宋体"/>
                <w:color w:val="auto"/>
                <w:szCs w:val="21"/>
              </w:rPr>
              <w:t>（2）项目管理机构运作方法</w:t>
            </w:r>
          </w:p>
          <w:p>
            <w:pPr>
              <w:widowControl/>
              <w:spacing w:line="360" w:lineRule="auto"/>
              <w:rPr>
                <w:rFonts w:ascii="宋体" w:hAnsi="宋体" w:cs="宋体"/>
                <w:color w:val="auto"/>
                <w:szCs w:val="21"/>
              </w:rPr>
            </w:pPr>
            <w:r>
              <w:rPr>
                <w:rFonts w:hint="eastAsia" w:ascii="宋体" w:hAnsi="宋体" w:cs="宋体"/>
                <w:color w:val="auto"/>
                <w:szCs w:val="21"/>
              </w:rPr>
              <w:t>（3）拟经营的菜品、定价、风格、品种</w:t>
            </w:r>
          </w:p>
          <w:p>
            <w:pPr>
              <w:widowControl/>
              <w:spacing w:line="360" w:lineRule="auto"/>
              <w:rPr>
                <w:rFonts w:ascii="宋体" w:hAnsi="宋体" w:cs="宋体"/>
                <w:color w:val="auto"/>
                <w:szCs w:val="21"/>
              </w:rPr>
            </w:pPr>
            <w:r>
              <w:rPr>
                <w:rFonts w:hint="eastAsia" w:ascii="宋体" w:hAnsi="宋体" w:cs="宋体"/>
                <w:color w:val="auto"/>
                <w:szCs w:val="21"/>
              </w:rPr>
              <w:t>（4）具体经营方案（含营业时间、安全卫生、食品口味和服务质量把控、环保措施等）</w:t>
            </w:r>
          </w:p>
          <w:p>
            <w:pPr>
              <w:widowControl/>
              <w:spacing w:line="360" w:lineRule="auto"/>
              <w:rPr>
                <w:rFonts w:ascii="宋体" w:hAnsi="宋体" w:cs="宋体"/>
                <w:color w:val="auto"/>
                <w:szCs w:val="21"/>
              </w:rPr>
            </w:pPr>
            <w:r>
              <w:rPr>
                <w:rFonts w:hint="eastAsia" w:ascii="宋体" w:hAnsi="宋体" w:cs="宋体"/>
                <w:color w:val="auto"/>
                <w:szCs w:val="21"/>
              </w:rPr>
              <w:t>（5）餐饮垃圾的处理方案及设备</w:t>
            </w:r>
          </w:p>
          <w:p>
            <w:pPr>
              <w:widowControl/>
              <w:spacing w:line="360" w:lineRule="auto"/>
              <w:rPr>
                <w:rFonts w:ascii="宋体" w:hAnsi="宋体" w:cs="宋体"/>
                <w:color w:val="auto"/>
                <w:szCs w:val="21"/>
              </w:rPr>
            </w:pPr>
            <w:r>
              <w:rPr>
                <w:rFonts w:hint="eastAsia" w:ascii="宋体" w:hAnsi="宋体" w:cs="宋体"/>
                <w:color w:val="auto"/>
                <w:szCs w:val="21"/>
              </w:rPr>
              <w:t>（6）食物中毒、火灾、员工伤害、断水断电等应急预案</w:t>
            </w:r>
          </w:p>
          <w:p>
            <w:pPr>
              <w:widowControl/>
              <w:spacing w:line="360" w:lineRule="auto"/>
              <w:rPr>
                <w:rFonts w:ascii="宋体" w:hAnsi="宋体" w:cs="宋体"/>
                <w:color w:val="auto"/>
                <w:szCs w:val="21"/>
              </w:rPr>
            </w:pPr>
            <w:r>
              <w:rPr>
                <w:rFonts w:hint="eastAsia" w:ascii="宋体" w:hAnsi="宋体" w:cs="宋体"/>
                <w:color w:val="auto"/>
                <w:szCs w:val="21"/>
              </w:rPr>
              <w:t>（7）节能管理方案</w:t>
            </w:r>
          </w:p>
          <w:p>
            <w:pPr>
              <w:widowControl/>
              <w:spacing w:line="360" w:lineRule="auto"/>
              <w:rPr>
                <w:rFonts w:ascii="宋体" w:hAnsi="宋体" w:cs="宋体"/>
                <w:color w:val="auto"/>
                <w:szCs w:val="21"/>
              </w:rPr>
            </w:pPr>
            <w:r>
              <w:rPr>
                <w:rFonts w:hint="eastAsia" w:ascii="宋体" w:hAnsi="宋体" w:cs="宋体"/>
                <w:color w:val="auto"/>
                <w:szCs w:val="21"/>
              </w:rPr>
              <w:t>（8）管理服务承诺</w:t>
            </w:r>
          </w:p>
          <w:p>
            <w:pPr>
              <w:widowControl/>
              <w:spacing w:line="360" w:lineRule="auto"/>
              <w:rPr>
                <w:rFonts w:asciiTheme="minorEastAsia" w:hAnsiTheme="minorEastAsia" w:eastAsiaTheme="minorEastAsia" w:cstheme="minorEastAsia"/>
                <w:color w:val="auto"/>
                <w:kern w:val="0"/>
                <w:szCs w:val="21"/>
              </w:rPr>
            </w:pPr>
            <w:r>
              <w:rPr>
                <w:rFonts w:hint="eastAsia" w:ascii="宋体" w:hAnsi="宋体" w:cs="宋体"/>
                <w:color w:val="auto"/>
                <w:szCs w:val="21"/>
              </w:rPr>
              <w:t>根据以上内容对供应商的方案进行综合比较，项目服务方案完善得13-20分，较好得8-12分，一般得4-7分，差得1-3分。未提供得0分。</w:t>
            </w:r>
          </w:p>
        </w:tc>
        <w:tc>
          <w:tcPr>
            <w:tcW w:w="833" w:type="dxa"/>
            <w:tcBorders>
              <w:top w:val="single" w:color="auto" w:sz="4" w:space="0"/>
              <w:left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kern w:val="0"/>
                <w:szCs w:val="21"/>
              </w:rPr>
            </w:pPr>
            <w:r>
              <w:rPr>
                <w:rFonts w:hint="eastAsia" w:ascii="宋体" w:hAnsi="宋体" w:cs="宋体"/>
                <w:color w:val="auto"/>
                <w:szCs w:val="21"/>
              </w:rPr>
              <w:t>0-20</w:t>
            </w:r>
          </w:p>
        </w:tc>
      </w:tr>
      <w:tr>
        <w:tblPrEx>
          <w:tblCellMar>
            <w:top w:w="0" w:type="dxa"/>
            <w:left w:w="108" w:type="dxa"/>
            <w:bottom w:w="0" w:type="dxa"/>
            <w:right w:w="108" w:type="dxa"/>
          </w:tblCellMar>
        </w:tblPrEx>
        <w:trPr>
          <w:trHeight w:val="1044" w:hRule="atLeast"/>
        </w:trPr>
        <w:tc>
          <w:tcPr>
            <w:tcW w:w="494" w:type="dxa"/>
            <w:tcBorders>
              <w:top w:val="single" w:color="auto" w:sz="4" w:space="0"/>
              <w:left w:val="single" w:color="auto" w:sz="4" w:space="0"/>
              <w:right w:val="single" w:color="auto" w:sz="4" w:space="0"/>
            </w:tcBorders>
            <w:vAlign w:val="center"/>
          </w:tcPr>
          <w:p>
            <w:pPr>
              <w:widowControl/>
              <w:spacing w:line="360" w:lineRule="auto"/>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6</w:t>
            </w:r>
          </w:p>
        </w:tc>
        <w:tc>
          <w:tcPr>
            <w:tcW w:w="1394" w:type="dxa"/>
            <w:tcBorders>
              <w:top w:val="single" w:color="auto" w:sz="4" w:space="0"/>
              <w:left w:val="single" w:color="auto" w:sz="4" w:space="0"/>
              <w:right w:val="single" w:color="auto" w:sz="4" w:space="0"/>
            </w:tcBorders>
            <w:vAlign w:val="center"/>
          </w:tcPr>
          <w:p>
            <w:pPr>
              <w:widowControl/>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送餐服务方案</w:t>
            </w:r>
          </w:p>
        </w:tc>
        <w:tc>
          <w:tcPr>
            <w:tcW w:w="74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Theme="minorEastAsia" w:hAnsiTheme="minorEastAsia" w:eastAsiaTheme="minorEastAsia" w:cstheme="minorEastAsia"/>
                <w:color w:val="auto"/>
                <w:szCs w:val="21"/>
              </w:rPr>
            </w:pPr>
            <w:r>
              <w:rPr>
                <w:rFonts w:hint="eastAsia" w:ascii="宋体" w:hAnsi="宋体" w:cs="宋体"/>
                <w:color w:val="auto"/>
                <w:szCs w:val="21"/>
              </w:rPr>
              <w:t>根据对特殊岗位及未能按时就餐职工送餐服务方案进行综合比较，服务方案优秀得5分，较好得4分，一般得3分，差得2分，未提供得0分。</w:t>
            </w:r>
          </w:p>
        </w:tc>
        <w:tc>
          <w:tcPr>
            <w:tcW w:w="833" w:type="dxa"/>
            <w:tcBorders>
              <w:top w:val="single" w:color="auto" w:sz="4" w:space="0"/>
              <w:left w:val="single" w:color="auto" w:sz="4" w:space="0"/>
              <w:right w:val="single" w:color="auto" w:sz="4" w:space="0"/>
            </w:tcBorders>
            <w:vAlign w:val="center"/>
          </w:tcPr>
          <w:p>
            <w:pPr>
              <w:spacing w:line="360" w:lineRule="auto"/>
              <w:jc w:val="center"/>
              <w:rPr>
                <w:rFonts w:hint="eastAsia" w:eastAsia="宋体" w:asciiTheme="minorEastAsia" w:hAnsiTheme="minorEastAsia" w:cstheme="minorEastAsia"/>
                <w:color w:val="auto"/>
                <w:szCs w:val="21"/>
                <w:lang w:eastAsia="zh-CN"/>
              </w:rPr>
            </w:pPr>
            <w:r>
              <w:rPr>
                <w:rFonts w:hint="eastAsia" w:ascii="宋体" w:hAnsi="宋体" w:cs="宋体"/>
                <w:color w:val="auto"/>
                <w:szCs w:val="21"/>
              </w:rPr>
              <w:t>0-5</w:t>
            </w:r>
          </w:p>
        </w:tc>
      </w:tr>
      <w:tr>
        <w:tblPrEx>
          <w:tblCellMar>
            <w:top w:w="0" w:type="dxa"/>
            <w:left w:w="108" w:type="dxa"/>
            <w:bottom w:w="0" w:type="dxa"/>
            <w:right w:w="108" w:type="dxa"/>
          </w:tblCellMar>
        </w:tblPrEx>
        <w:trPr>
          <w:trHeight w:val="1044" w:hRule="atLeast"/>
        </w:trPr>
        <w:tc>
          <w:tcPr>
            <w:tcW w:w="494" w:type="dxa"/>
            <w:tcBorders>
              <w:top w:val="single" w:color="auto" w:sz="4" w:space="0"/>
              <w:left w:val="single" w:color="auto" w:sz="4" w:space="0"/>
              <w:right w:val="single" w:color="auto" w:sz="4" w:space="0"/>
            </w:tcBorders>
            <w:vAlign w:val="center"/>
          </w:tcPr>
          <w:p>
            <w:pPr>
              <w:widowControl/>
              <w:spacing w:line="360" w:lineRule="auto"/>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7</w:t>
            </w:r>
          </w:p>
        </w:tc>
        <w:tc>
          <w:tcPr>
            <w:tcW w:w="1394" w:type="dxa"/>
            <w:tcBorders>
              <w:top w:val="single" w:color="auto" w:sz="4" w:space="0"/>
              <w:left w:val="single" w:color="auto" w:sz="4" w:space="0"/>
              <w:right w:val="single" w:color="auto" w:sz="4" w:space="0"/>
            </w:tcBorders>
            <w:vAlign w:val="center"/>
          </w:tcPr>
          <w:p>
            <w:pPr>
              <w:widowControl/>
              <w:spacing w:line="360" w:lineRule="auto"/>
              <w:jc w:val="center"/>
              <w:rPr>
                <w:rFonts w:asciiTheme="minorEastAsia" w:hAnsiTheme="minorEastAsia" w:eastAsiaTheme="minorEastAsia" w:cstheme="minorEastAsia"/>
                <w:color w:val="auto"/>
                <w:szCs w:val="21"/>
              </w:rPr>
            </w:pPr>
            <w:r>
              <w:rPr>
                <w:rFonts w:hint="eastAsia" w:ascii="宋体" w:hAnsi="宋体" w:cs="宋体"/>
                <w:color w:val="auto"/>
                <w:szCs w:val="21"/>
              </w:rPr>
              <w:t>重大突发应急事件保障</w:t>
            </w:r>
          </w:p>
        </w:tc>
        <w:tc>
          <w:tcPr>
            <w:tcW w:w="74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color w:val="auto"/>
                <w:kern w:val="0"/>
                <w:szCs w:val="21"/>
              </w:rPr>
            </w:pPr>
            <w:r>
              <w:rPr>
                <w:rFonts w:hint="eastAsia" w:ascii="宋体" w:hAnsi="宋体" w:cs="宋体"/>
                <w:color w:val="auto"/>
                <w:kern w:val="0"/>
                <w:szCs w:val="21"/>
              </w:rPr>
              <w:t>投标人具备重大公共突发应急事件后勤保障工作相关经历，具备快速响应能力，提供相关证明材料得10分，未提供得0分。</w:t>
            </w:r>
          </w:p>
        </w:tc>
        <w:tc>
          <w:tcPr>
            <w:tcW w:w="833" w:type="dxa"/>
            <w:tcBorders>
              <w:top w:val="single" w:color="auto" w:sz="4" w:space="0"/>
              <w:left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Cs w:val="21"/>
              </w:rPr>
            </w:pPr>
            <w:r>
              <w:rPr>
                <w:rFonts w:hint="eastAsia" w:ascii="宋体" w:hAnsi="宋体" w:cs="宋体"/>
                <w:color w:val="auto"/>
                <w:szCs w:val="21"/>
              </w:rPr>
              <w:t>0-10</w:t>
            </w:r>
          </w:p>
        </w:tc>
      </w:tr>
      <w:tr>
        <w:tblPrEx>
          <w:tblCellMar>
            <w:top w:w="0" w:type="dxa"/>
            <w:left w:w="108" w:type="dxa"/>
            <w:bottom w:w="0" w:type="dxa"/>
            <w:right w:w="108" w:type="dxa"/>
          </w:tblCellMar>
        </w:tblPrEx>
        <w:trPr>
          <w:trHeight w:val="1028" w:hRule="atLeast"/>
        </w:trPr>
        <w:tc>
          <w:tcPr>
            <w:tcW w:w="494" w:type="dxa"/>
            <w:tcBorders>
              <w:top w:val="single" w:color="auto" w:sz="4" w:space="0"/>
              <w:left w:val="single" w:color="auto" w:sz="4" w:space="0"/>
              <w:right w:val="single" w:color="auto" w:sz="4" w:space="0"/>
            </w:tcBorders>
            <w:vAlign w:val="center"/>
          </w:tcPr>
          <w:p>
            <w:pPr>
              <w:widowControl/>
              <w:spacing w:line="360" w:lineRule="auto"/>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8</w:t>
            </w:r>
          </w:p>
        </w:tc>
        <w:tc>
          <w:tcPr>
            <w:tcW w:w="1394" w:type="dxa"/>
            <w:tcBorders>
              <w:top w:val="single" w:color="auto" w:sz="4" w:space="0"/>
              <w:left w:val="single" w:color="auto" w:sz="4" w:space="0"/>
              <w:right w:val="single" w:color="auto" w:sz="4" w:space="0"/>
            </w:tcBorders>
            <w:vAlign w:val="center"/>
          </w:tcPr>
          <w:p>
            <w:pPr>
              <w:widowControl/>
              <w:spacing w:line="360" w:lineRule="auto"/>
              <w:jc w:val="center"/>
              <w:rPr>
                <w:rFonts w:asciiTheme="minorEastAsia" w:hAnsiTheme="minorEastAsia" w:eastAsiaTheme="minorEastAsia" w:cstheme="minorEastAsia"/>
                <w:color w:val="auto"/>
                <w:szCs w:val="21"/>
              </w:rPr>
            </w:pPr>
            <w:r>
              <w:rPr>
                <w:rFonts w:hint="eastAsia" w:ascii="宋体" w:hAnsi="宋体" w:cs="宋体"/>
                <w:color w:val="auto"/>
                <w:szCs w:val="21"/>
              </w:rPr>
              <w:t>优惠服务及实质性的承诺</w:t>
            </w:r>
          </w:p>
        </w:tc>
        <w:tc>
          <w:tcPr>
            <w:tcW w:w="74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Theme="minorEastAsia" w:hAnsiTheme="minorEastAsia" w:eastAsiaTheme="minorEastAsia" w:cstheme="minorEastAsia"/>
                <w:color w:val="auto"/>
                <w:kern w:val="0"/>
                <w:szCs w:val="21"/>
              </w:rPr>
            </w:pPr>
            <w:r>
              <w:rPr>
                <w:rFonts w:hint="eastAsia" w:ascii="宋体" w:hAnsi="宋体" w:cs="宋体"/>
                <w:color w:val="auto"/>
                <w:szCs w:val="21"/>
              </w:rPr>
              <w:t>根据各投标人提供的服务承诺、优惠服务及其他特色服务等</w:t>
            </w:r>
            <w:r>
              <w:rPr>
                <w:rFonts w:hint="eastAsia" w:ascii="宋体" w:hAnsi="宋体" w:cs="宋体"/>
                <w:bCs/>
                <w:color w:val="auto"/>
                <w:szCs w:val="21"/>
              </w:rPr>
              <w:t>进行综合比较，</w:t>
            </w:r>
            <w:r>
              <w:rPr>
                <w:rFonts w:hint="eastAsia" w:ascii="宋体" w:hAnsi="宋体" w:cs="宋体"/>
                <w:color w:val="auto"/>
                <w:szCs w:val="21"/>
              </w:rPr>
              <w:t>合理、针对性强得6-10分；一般得3-5分，差得1-2分，未提供得0分。</w:t>
            </w:r>
          </w:p>
        </w:tc>
        <w:tc>
          <w:tcPr>
            <w:tcW w:w="833" w:type="dxa"/>
            <w:tcBorders>
              <w:top w:val="single" w:color="auto" w:sz="4" w:space="0"/>
              <w:left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kern w:val="0"/>
                <w:szCs w:val="21"/>
              </w:rPr>
            </w:pPr>
            <w:r>
              <w:rPr>
                <w:rFonts w:hint="eastAsia" w:ascii="宋体" w:hAnsi="宋体" w:cs="宋体"/>
                <w:color w:val="auto"/>
                <w:szCs w:val="21"/>
              </w:rPr>
              <w:t>0-10</w:t>
            </w:r>
          </w:p>
        </w:tc>
      </w:tr>
      <w:tr>
        <w:tblPrEx>
          <w:tblCellMar>
            <w:top w:w="0" w:type="dxa"/>
            <w:left w:w="108" w:type="dxa"/>
            <w:bottom w:w="0" w:type="dxa"/>
            <w:right w:w="108" w:type="dxa"/>
          </w:tblCellMar>
        </w:tblPrEx>
        <w:trPr>
          <w:trHeight w:val="1028" w:hRule="atLeast"/>
        </w:trPr>
        <w:tc>
          <w:tcPr>
            <w:tcW w:w="494" w:type="dxa"/>
            <w:tcBorders>
              <w:top w:val="single" w:color="auto" w:sz="4" w:space="0"/>
              <w:left w:val="single" w:color="auto" w:sz="4" w:space="0"/>
              <w:right w:val="single" w:color="auto" w:sz="4" w:space="0"/>
            </w:tcBorders>
            <w:textDirection w:val="lrTbV"/>
            <w:vAlign w:val="center"/>
          </w:tcPr>
          <w:p>
            <w:pPr>
              <w:widowControl/>
              <w:spacing w:line="360" w:lineRule="auto"/>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9</w:t>
            </w:r>
          </w:p>
        </w:tc>
        <w:tc>
          <w:tcPr>
            <w:tcW w:w="1394" w:type="dxa"/>
            <w:tcBorders>
              <w:top w:val="single" w:color="auto" w:sz="4" w:space="0"/>
              <w:left w:val="single" w:color="auto" w:sz="4" w:space="0"/>
              <w:right w:val="single" w:color="auto" w:sz="4" w:space="0"/>
            </w:tcBorders>
            <w:vAlign w:val="center"/>
          </w:tcPr>
          <w:p>
            <w:pPr>
              <w:widowControl/>
              <w:spacing w:line="360" w:lineRule="auto"/>
              <w:jc w:val="center"/>
              <w:rPr>
                <w:rFonts w:asciiTheme="minorEastAsia" w:hAnsiTheme="minorEastAsia" w:eastAsiaTheme="minorEastAsia" w:cstheme="minorEastAsia"/>
                <w:color w:val="auto"/>
                <w:szCs w:val="21"/>
              </w:rPr>
            </w:pPr>
            <w:r>
              <w:rPr>
                <w:rFonts w:hint="eastAsia" w:ascii="宋体" w:hAnsi="宋体" w:cs="宋体"/>
                <w:color w:val="auto"/>
                <w:szCs w:val="21"/>
              </w:rPr>
              <w:t>投标文件完整性</w:t>
            </w:r>
          </w:p>
        </w:tc>
        <w:tc>
          <w:tcPr>
            <w:tcW w:w="74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Theme="minorEastAsia" w:hAnsiTheme="minorEastAsia" w:eastAsiaTheme="minorEastAsia" w:cstheme="minorEastAsia"/>
                <w:color w:val="auto"/>
                <w:szCs w:val="21"/>
              </w:rPr>
            </w:pPr>
            <w:r>
              <w:rPr>
                <w:rFonts w:hint="eastAsia" w:ascii="宋体" w:hAnsi="宋体" w:cs="宋体"/>
                <w:color w:val="auto"/>
                <w:szCs w:val="21"/>
              </w:rPr>
              <w:t>完全响应招标文件且无负偏离，得3分，每有一项可补正的负偏离扣1分，最低0分。</w:t>
            </w:r>
          </w:p>
        </w:tc>
        <w:tc>
          <w:tcPr>
            <w:tcW w:w="833" w:type="dxa"/>
            <w:tcBorders>
              <w:top w:val="single" w:color="auto" w:sz="4" w:space="0"/>
              <w:left w:val="single" w:color="auto" w:sz="4" w:space="0"/>
              <w:right w:val="single" w:color="auto" w:sz="4" w:space="0"/>
            </w:tcBorders>
            <w:vAlign w:val="center"/>
          </w:tcPr>
          <w:p>
            <w:pPr>
              <w:spacing w:line="360" w:lineRule="auto"/>
              <w:jc w:val="center"/>
              <w:rPr>
                <w:rFonts w:asciiTheme="minorEastAsia" w:hAnsiTheme="minorEastAsia" w:cstheme="minorEastAsia"/>
                <w:color w:val="auto"/>
                <w:szCs w:val="21"/>
              </w:rPr>
            </w:pPr>
            <w:r>
              <w:rPr>
                <w:rFonts w:hint="eastAsia" w:ascii="宋体" w:hAnsi="宋体" w:cs="宋体"/>
                <w:color w:val="auto"/>
                <w:szCs w:val="21"/>
              </w:rPr>
              <w:t>0-3</w:t>
            </w:r>
          </w:p>
        </w:tc>
      </w:tr>
      <w:tr>
        <w:tblPrEx>
          <w:tblCellMar>
            <w:top w:w="0" w:type="dxa"/>
            <w:left w:w="108" w:type="dxa"/>
            <w:bottom w:w="0" w:type="dxa"/>
            <w:right w:w="108" w:type="dxa"/>
          </w:tblCellMar>
        </w:tblPrEx>
        <w:trPr>
          <w:trHeight w:val="1028" w:hRule="atLeast"/>
        </w:trPr>
        <w:tc>
          <w:tcPr>
            <w:tcW w:w="494" w:type="dxa"/>
            <w:tcBorders>
              <w:top w:val="single" w:color="auto" w:sz="4" w:space="0"/>
              <w:left w:val="single" w:color="auto" w:sz="4" w:space="0"/>
              <w:right w:val="single" w:color="auto" w:sz="4" w:space="0"/>
            </w:tcBorders>
            <w:vAlign w:val="center"/>
          </w:tcPr>
          <w:p>
            <w:pPr>
              <w:widowControl/>
              <w:spacing w:line="360" w:lineRule="auto"/>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10</w:t>
            </w:r>
          </w:p>
        </w:tc>
        <w:tc>
          <w:tcPr>
            <w:tcW w:w="1394" w:type="dxa"/>
            <w:tcBorders>
              <w:top w:val="single" w:color="auto" w:sz="4" w:space="0"/>
              <w:left w:val="single" w:color="auto" w:sz="4" w:space="0"/>
              <w:right w:val="single" w:color="auto" w:sz="4" w:space="0"/>
            </w:tcBorders>
            <w:vAlign w:val="center"/>
          </w:tcPr>
          <w:p>
            <w:pPr>
              <w:widowControl/>
              <w:spacing w:line="360" w:lineRule="auto"/>
              <w:jc w:val="center"/>
              <w:rPr>
                <w:rFonts w:asciiTheme="minorEastAsia" w:hAnsiTheme="minorEastAsia" w:eastAsiaTheme="minorEastAsia" w:cstheme="minorEastAsia"/>
                <w:color w:val="auto"/>
                <w:szCs w:val="21"/>
              </w:rPr>
            </w:pPr>
            <w:r>
              <w:rPr>
                <w:rFonts w:hint="eastAsia" w:ascii="宋体" w:hAnsi="宋体" w:cs="宋体"/>
                <w:color w:val="auto"/>
                <w:kern w:val="0"/>
                <w:szCs w:val="21"/>
              </w:rPr>
              <w:t>标书编制质量</w:t>
            </w:r>
          </w:p>
        </w:tc>
        <w:tc>
          <w:tcPr>
            <w:tcW w:w="74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Theme="minorEastAsia" w:hAnsiTheme="minorEastAsia" w:eastAsiaTheme="minorEastAsia" w:cstheme="minorEastAsia"/>
                <w:color w:val="auto"/>
                <w:szCs w:val="21"/>
              </w:rPr>
            </w:pPr>
            <w:r>
              <w:rPr>
                <w:rFonts w:hint="eastAsia" w:ascii="宋体" w:hAnsi="宋体" w:cs="宋体"/>
                <w:color w:val="auto"/>
                <w:kern w:val="0"/>
                <w:szCs w:val="21"/>
              </w:rPr>
              <w:t>投标单位根据招标书条款和要求认真组织编写投标书，投标文件响应招标文件要求，投标文件编制质量较高，技术方案内容详细，表述完整，得2分；基本清楚的得1分；不清楚的不得分。</w:t>
            </w:r>
          </w:p>
        </w:tc>
        <w:tc>
          <w:tcPr>
            <w:tcW w:w="833" w:type="dxa"/>
            <w:tcBorders>
              <w:top w:val="single" w:color="auto" w:sz="4" w:space="0"/>
              <w:left w:val="single" w:color="auto" w:sz="4" w:space="0"/>
              <w:right w:val="single" w:color="auto" w:sz="4" w:space="0"/>
            </w:tcBorders>
            <w:vAlign w:val="center"/>
          </w:tcPr>
          <w:p>
            <w:pPr>
              <w:widowControl/>
              <w:spacing w:line="360" w:lineRule="auto"/>
              <w:jc w:val="center"/>
              <w:rPr>
                <w:rFonts w:asciiTheme="minorEastAsia" w:hAnsiTheme="minorEastAsia" w:eastAsiaTheme="minorEastAsia" w:cstheme="minorEastAsia"/>
                <w:color w:val="auto"/>
                <w:szCs w:val="21"/>
              </w:rPr>
            </w:pPr>
            <w:r>
              <w:rPr>
                <w:rFonts w:hint="eastAsia" w:ascii="宋体" w:hAnsi="宋体" w:cs="宋体"/>
                <w:color w:val="auto"/>
                <w:kern w:val="0"/>
                <w:szCs w:val="21"/>
              </w:rPr>
              <w:t>0-2</w:t>
            </w:r>
          </w:p>
        </w:tc>
      </w:tr>
      <w:tr>
        <w:tblPrEx>
          <w:tblCellMar>
            <w:top w:w="0" w:type="dxa"/>
            <w:left w:w="108" w:type="dxa"/>
            <w:bottom w:w="0" w:type="dxa"/>
            <w:right w:w="108" w:type="dxa"/>
          </w:tblCellMar>
        </w:tblPrEx>
        <w:trPr>
          <w:trHeight w:val="90" w:hRule="atLeast"/>
        </w:trPr>
        <w:tc>
          <w:tcPr>
            <w:tcW w:w="9387"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b/>
                <w:bCs/>
                <w:color w:val="auto"/>
                <w:kern w:val="0"/>
                <w:szCs w:val="21"/>
              </w:rPr>
              <w:t>评审得分合计</w:t>
            </w:r>
          </w:p>
        </w:tc>
        <w:tc>
          <w:tcPr>
            <w:tcW w:w="83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100</w:t>
            </w:r>
          </w:p>
        </w:tc>
      </w:tr>
      <w:tr>
        <w:tblPrEx>
          <w:tblCellMar>
            <w:top w:w="0" w:type="dxa"/>
            <w:left w:w="108" w:type="dxa"/>
            <w:bottom w:w="0" w:type="dxa"/>
            <w:right w:w="108" w:type="dxa"/>
          </w:tblCellMar>
        </w:tblPrEx>
        <w:trPr>
          <w:trHeight w:val="90" w:hRule="atLeast"/>
        </w:trPr>
        <w:tc>
          <w:tcPr>
            <w:tcW w:w="9387" w:type="dxa"/>
            <w:gridSpan w:val="3"/>
            <w:tcBorders>
              <w:top w:val="nil"/>
              <w:left w:val="single" w:color="auto" w:sz="4" w:space="0"/>
              <w:bottom w:val="single" w:color="auto" w:sz="4" w:space="0"/>
              <w:right w:val="single" w:color="auto" w:sz="4" w:space="0"/>
            </w:tcBorders>
            <w:vAlign w:val="center"/>
          </w:tcPr>
          <w:p>
            <w:pPr>
              <w:spacing w:line="360" w:lineRule="auto"/>
              <w:ind w:firstLine="422" w:firstLineChars="200"/>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注：评分计算结果保留两位小数，第三位小数四舍五入。</w:t>
            </w:r>
          </w:p>
        </w:tc>
        <w:tc>
          <w:tcPr>
            <w:tcW w:w="833" w:type="dxa"/>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stheme="minorEastAsia"/>
                <w:color w:val="auto"/>
                <w:kern w:val="0"/>
                <w:szCs w:val="21"/>
              </w:rPr>
            </w:pPr>
          </w:p>
        </w:tc>
      </w:tr>
    </w:tbl>
    <w:p>
      <w:pPr>
        <w:rPr>
          <w:rFonts w:asciiTheme="minorEastAsia" w:hAnsiTheme="minorEastAsia" w:eastAsiaTheme="minorEastAsia" w:cstheme="minorEastAsia"/>
          <w:color w:val="auto"/>
          <w:kern w:val="0"/>
          <w:szCs w:val="21"/>
        </w:rPr>
      </w:pPr>
    </w:p>
    <w:sectPr>
      <w:headerReference r:id="rId6" w:type="first"/>
      <w:footerReference r:id="rId9" w:type="first"/>
      <w:headerReference r:id="rId5" w:type="default"/>
      <w:footerReference r:id="rId7" w:type="default"/>
      <w:footerReference r:id="rId8" w:type="even"/>
      <w:pgSz w:w="11906" w:h="16838"/>
      <w:pgMar w:top="1440" w:right="1080" w:bottom="1440" w:left="108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00007A87" w:usb1="80000000" w:usb2="00000008" w:usb3="00000000" w:csb0="400001FF" w:csb1="FFFF0000"/>
  </w:font>
  <w:font w:name="魏碑体">
    <w:altName w:val="宋体"/>
    <w:panose1 w:val="00000000000000000000"/>
    <w:charset w:val="86"/>
    <w:family w:val="swiss"/>
    <w:pitch w:val="default"/>
    <w:sig w:usb0="00000000" w:usb1="0000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幼圆">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体">
    <w:altName w:val="新宋体"/>
    <w:panose1 w:val="00000000000000000000"/>
    <w:charset w:val="86"/>
    <w:family w:val="roman"/>
    <w:pitch w:val="default"/>
    <w:sig w:usb0="00000000" w:usb1="00000000" w:usb2="00000010" w:usb3="00000000" w:csb0="00040001" w:csb1="00000000"/>
  </w:font>
  <w:font w:name="华文细黑">
    <w:panose1 w:val="02010600040101010101"/>
    <w:charset w:val="86"/>
    <w:family w:val="auto"/>
    <w:pitch w:val="default"/>
    <w:sig w:usb0="00000287" w:usb1="080F0000" w:usb2="00000000" w:usb3="00000000" w:csb0="0004009F" w:csb1="DFD70000"/>
  </w:font>
  <w:font w:name="ˎ̥">
    <w:altName w:val="Times New Roman"/>
    <w:panose1 w:val="00000000000000000000"/>
    <w:charset w:val="01"/>
    <w:family w:val="roman"/>
    <w:pitch w:val="default"/>
    <w:sig w:usb0="00000000" w:usb1="00000000" w:usb2="00000000" w:usb3="00000000" w:csb0="00040001" w:csb1="00000000"/>
  </w:font>
  <w:font w:name="仿宋">
    <w:altName w:val="宋体"/>
    <w:panose1 w:val="02010609060101010101"/>
    <w:charset w:val="86"/>
    <w:family w:val="modern"/>
    <w:pitch w:val="default"/>
    <w:sig w:usb0="00000000" w:usb1="00000000" w:usb2="00000016" w:usb3="00000000" w:csb0="00040001" w:csb1="00000000"/>
  </w:font>
  <w:font w:name="Tahoma">
    <w:panose1 w:val="020B0604030504040204"/>
    <w:charset w:val="00"/>
    <w:family w:val="swiss"/>
    <w:pitch w:val="default"/>
    <w:sig w:usb0="61007A87" w:usb1="80000000" w:usb2="00000008" w:usb3="00000000" w:csb0="200101FF" w:csb1="20280000"/>
  </w:font>
  <w:font w:name="Verdana">
    <w:panose1 w:val="020B0604030504040204"/>
    <w:charset w:val="00"/>
    <w:family w:val="swiss"/>
    <w:pitch w:val="default"/>
    <w:sig w:usb0="A10006FF" w:usb1="4000205B" w:usb2="00000010" w:usb3="00000000" w:csb0="2000019F" w:csb1="00000000"/>
  </w:font>
  <w:font w:name="MingLiU">
    <w:panose1 w:val="02020309000000000000"/>
    <w:charset w:val="88"/>
    <w:family w:val="modern"/>
    <w:pitch w:val="default"/>
    <w:sig w:usb0="00000003" w:usb1="082E0000" w:usb2="00000016" w:usb3="00000000" w:csb0="00100001" w:csb1="00000000"/>
  </w:font>
  <w:font w:name="Arial Unicode MS">
    <w:panose1 w:val="020B0604020202020204"/>
    <w:charset w:val="86"/>
    <w:family w:val="roman"/>
    <w:pitch w:val="default"/>
    <w:sig w:usb0="FFFFFFFF" w:usb1="E9FFFFFF" w:usb2="0000003F" w:usb3="00000000" w:csb0="603F01FF" w:csb1="FFFF0000"/>
  </w:font>
  <w:font w:name=".a..DD..">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Arial Black">
    <w:panose1 w:val="020B0A04020102020204"/>
    <w:charset w:val="00"/>
    <w:family w:val="swiss"/>
    <w:pitch w:val="default"/>
    <w:sig w:usb0="00000287" w:usb1="00000000" w:usb2="00000000" w:usb3="00000000" w:csb0="2000009F" w:csb1="DFD70000"/>
  </w:font>
  <w:font w:name="文鼎粗黑">
    <w:altName w:val="黑体"/>
    <w:panose1 w:val="00000000000000000000"/>
    <w:charset w:val="86"/>
    <w:family w:val="auto"/>
    <w:pitch w:val="default"/>
    <w:sig w:usb0="00000000" w:usb1="00000000" w:usb2="00000010" w:usb3="00000000" w:csb0="00040000" w:csb1="00000000"/>
  </w:font>
  <w:font w:name="Tms Rmn">
    <w:altName w:val="Times New Roman"/>
    <w:panose1 w:val="02020603040505020304"/>
    <w:charset w:val="00"/>
    <w:family w:val="roman"/>
    <w:pitch w:val="default"/>
    <w:sig w:usb0="00000000" w:usb1="00000000" w:usb2="00000000" w:usb3="00000000" w:csb0="00000001" w:csb1="00000000"/>
  </w:font>
  <w:font w:name="华文新魏">
    <w:panose1 w:val="02010800040101010101"/>
    <w:charset w:val="86"/>
    <w:family w:val="auto"/>
    <w:pitch w:val="default"/>
    <w:sig w:usb0="00000001" w:usb1="080F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Angsana New">
    <w:altName w:val="Microsoft Sans Serif"/>
    <w:panose1 w:val="02020603050405020304"/>
    <w:charset w:val="DE"/>
    <w:family w:val="roman"/>
    <w:pitch w:val="default"/>
    <w:sig w:usb0="00000000" w:usb1="00000000" w:usb2="00000000" w:usb3="00000000" w:csb0="00010000" w:csb1="00000000"/>
  </w:font>
  <w:font w:name="楷体">
    <w:altName w:val="楷体_GB2312"/>
    <w:panose1 w:val="02010609060101010101"/>
    <w:charset w:val="86"/>
    <w:family w:val="modern"/>
    <w:pitch w:val="default"/>
    <w:sig w:usb0="00000000" w:usb1="00000000" w:usb2="00000016" w:usb3="00000000" w:csb0="00040001" w:csb1="00000000"/>
  </w:font>
  <w:font w:name="新宋体">
    <w:panose1 w:val="02010609030101010101"/>
    <w:charset w:val="86"/>
    <w:family w:val="auto"/>
    <w:pitch w:val="default"/>
    <w:sig w:usb0="00000003" w:usb1="080E0000" w:usb2="00000000" w:usb3="00000000" w:csb0="00040001" w:csb1="00000000"/>
  </w:font>
  <w:font w:name="Microsoft Sans Serif">
    <w:panose1 w:val="020B0604020202020204"/>
    <w:charset w:val="00"/>
    <w:family w:val="auto"/>
    <w:pitch w:val="default"/>
    <w:sig w:usb0="61007BDF" w:usb1="80000000"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ind w:right="360"/>
    </w:pPr>
    <w:r>
      <w:pict>
        <v:shape id="_x0000_s3078" o:spid="_x0000_s3078"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38"/>
                </w:pPr>
                <w:r>
                  <w:fldChar w:fldCharType="begin"/>
                </w:r>
                <w:r>
                  <w:instrText xml:space="preserve"> PAGE  \* MERGEFORMAT </w:instrText>
                </w:r>
                <w:r>
                  <w:fldChar w:fldCharType="separate"/>
                </w:r>
                <w:r>
                  <w:t>37</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ind w:right="360"/>
    </w:pPr>
    <w:r>
      <w:pict>
        <v:shape id="_x0000_s3075" o:spid="_x0000_s307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38"/>
                </w:pPr>
                <w:r>
                  <w:fldChar w:fldCharType="begin"/>
                </w:r>
                <w:r>
                  <w:instrText xml:space="preserve"> PAGE  \* MERGEFORMAT </w:instrText>
                </w:r>
                <w:r>
                  <w:fldChar w:fldCharType="separate"/>
                </w:r>
                <w:r>
                  <w:t>41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right" w:y="1"/>
      <w:rPr>
        <w:rStyle w:val="63"/>
      </w:rPr>
    </w:pPr>
    <w:r>
      <w:fldChar w:fldCharType="begin"/>
    </w:r>
    <w:r>
      <w:rPr>
        <w:rStyle w:val="63"/>
      </w:rPr>
      <w:instrText xml:space="preserve">PAGE  </w:instrText>
    </w:r>
    <w:r>
      <w:fldChar w:fldCharType="end"/>
    </w:r>
  </w:p>
  <w:p>
    <w:pPr>
      <w:pStyle w:val="38"/>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w:pict>
        <v:shape id="_x0000_s3074" o:spid="_x0000_s3074"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38"/>
                </w:pPr>
                <w:r>
                  <w:rPr>
                    <w:rFonts w:hint="eastAsia"/>
                  </w:rPr>
                  <w:fldChar w:fldCharType="begin"/>
                </w:r>
                <w:r>
                  <w:instrText xml:space="preserve"> PAGE  \* MERGEFORMAT </w:instrText>
                </w:r>
                <w:r>
                  <w:rPr>
                    <w:rFonts w:hint="eastAsia"/>
                  </w:rPr>
                  <w:fldChar w:fldCharType="separate"/>
                </w:r>
                <w:r>
                  <w:rPr>
                    <w:rFonts w:hint="eastAsia"/>
                  </w:rPr>
                  <w:t>55</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CA6484"/>
    <w:multiLevelType w:val="singleLevel"/>
    <w:tmpl w:val="B8CA6484"/>
    <w:lvl w:ilvl="0" w:tentative="0">
      <w:start w:val="5"/>
      <w:numFmt w:val="chineseCounting"/>
      <w:suff w:val="nothing"/>
      <w:lvlText w:val="(%1）"/>
      <w:lvlJc w:val="left"/>
      <w:rPr>
        <w:rFonts w:hint="eastAsia"/>
      </w:rPr>
    </w:lvl>
  </w:abstractNum>
  <w:abstractNum w:abstractNumId="1">
    <w:nsid w:val="E6BBCC16"/>
    <w:multiLevelType w:val="singleLevel"/>
    <w:tmpl w:val="E6BBCC16"/>
    <w:lvl w:ilvl="0" w:tentative="0">
      <w:start w:val="1"/>
      <w:numFmt w:val="decimal"/>
      <w:lvlText w:val="(%1)"/>
      <w:lvlJc w:val="left"/>
      <w:pPr>
        <w:ind w:left="425" w:hanging="425"/>
      </w:pPr>
      <w:rPr>
        <w:rFonts w:hint="default"/>
      </w:rPr>
    </w:lvl>
  </w:abstractNum>
  <w:abstractNum w:abstractNumId="2">
    <w:nsid w:val="00000002"/>
    <w:multiLevelType w:val="singleLevel"/>
    <w:tmpl w:val="00000002"/>
    <w:lvl w:ilvl="0" w:tentative="0">
      <w:start w:val="1"/>
      <w:numFmt w:val="decimal"/>
      <w:suff w:val="space"/>
      <w:lvlText w:val="%1."/>
      <w:lvlJc w:val="left"/>
      <w:pPr>
        <w:ind w:left="0" w:firstLine="0"/>
      </w:pPr>
      <w:rPr>
        <w:rFonts w:hint="default"/>
      </w:rPr>
    </w:lvl>
  </w:abstractNum>
  <w:abstractNum w:abstractNumId="3">
    <w:nsid w:val="199B7630"/>
    <w:multiLevelType w:val="singleLevel"/>
    <w:tmpl w:val="199B7630"/>
    <w:lvl w:ilvl="0" w:tentative="0">
      <w:start w:val="1"/>
      <w:numFmt w:val="decimal"/>
      <w:suff w:val="space"/>
      <w:lvlText w:val="%1."/>
      <w:lvlJc w:val="left"/>
      <w:pPr>
        <w:ind w:left="0" w:firstLine="0"/>
      </w:pPr>
      <w:rPr>
        <w:rFonts w:hint="default"/>
      </w:rPr>
    </w:lvl>
  </w:abstractNum>
  <w:abstractNum w:abstractNumId="4">
    <w:nsid w:val="5A214F4A"/>
    <w:multiLevelType w:val="singleLevel"/>
    <w:tmpl w:val="5A214F4A"/>
    <w:lvl w:ilvl="0" w:tentative="0">
      <w:start w:val="1"/>
      <w:numFmt w:val="chineseCounting"/>
      <w:suff w:val="space"/>
      <w:lvlText w:val="第%1章"/>
      <w:lvlJc w:val="left"/>
      <w:rPr>
        <w:rFonts w:hint="eastAsia"/>
      </w:rPr>
    </w:lvl>
  </w:abstractNum>
  <w:abstractNum w:abstractNumId="5">
    <w:nsid w:val="72F507BC"/>
    <w:multiLevelType w:val="singleLevel"/>
    <w:tmpl w:val="72F507BC"/>
    <w:lvl w:ilvl="0" w:tentative="0">
      <w:start w:val="1"/>
      <w:numFmt w:val="decimal"/>
      <w:lvlText w:val="(%1)"/>
      <w:lvlJc w:val="left"/>
      <w:pPr>
        <w:ind w:left="425" w:hanging="425"/>
      </w:pPr>
      <w:rPr>
        <w:rFonts w:hint="default"/>
      </w:rPr>
    </w:lvl>
  </w:abstractNum>
  <w:num w:numId="1">
    <w:abstractNumId w:val="4"/>
  </w:num>
  <w:num w:numId="2">
    <w:abstractNumId w:val="5"/>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hideSpellingErrors/>
  <w:documentProtection w:edit="readOnly" w:formatting="1" w:enforcement="0"/>
  <w:defaultTabStop w:val="420"/>
  <w:drawingGridHorizontalSpacing w:val="105"/>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83F61"/>
    <w:rsid w:val="00001493"/>
    <w:rsid w:val="00002525"/>
    <w:rsid w:val="0000262F"/>
    <w:rsid w:val="00003660"/>
    <w:rsid w:val="00003DE5"/>
    <w:rsid w:val="000042D0"/>
    <w:rsid w:val="00004FCD"/>
    <w:rsid w:val="000060DE"/>
    <w:rsid w:val="00006A5C"/>
    <w:rsid w:val="00006B79"/>
    <w:rsid w:val="000102F5"/>
    <w:rsid w:val="000113A5"/>
    <w:rsid w:val="00020451"/>
    <w:rsid w:val="00020981"/>
    <w:rsid w:val="00021217"/>
    <w:rsid w:val="000216B7"/>
    <w:rsid w:val="000220E8"/>
    <w:rsid w:val="000228B6"/>
    <w:rsid w:val="000272BA"/>
    <w:rsid w:val="00027C77"/>
    <w:rsid w:val="00030AC6"/>
    <w:rsid w:val="000319D1"/>
    <w:rsid w:val="000319D4"/>
    <w:rsid w:val="000326C7"/>
    <w:rsid w:val="00033CF5"/>
    <w:rsid w:val="00035EA9"/>
    <w:rsid w:val="00036722"/>
    <w:rsid w:val="00037F8C"/>
    <w:rsid w:val="00040698"/>
    <w:rsid w:val="00040E70"/>
    <w:rsid w:val="0004120F"/>
    <w:rsid w:val="00050C06"/>
    <w:rsid w:val="00057DCF"/>
    <w:rsid w:val="000603EF"/>
    <w:rsid w:val="00067701"/>
    <w:rsid w:val="00070133"/>
    <w:rsid w:val="00071648"/>
    <w:rsid w:val="0007185B"/>
    <w:rsid w:val="00071BE9"/>
    <w:rsid w:val="00072290"/>
    <w:rsid w:val="00073ABF"/>
    <w:rsid w:val="00076890"/>
    <w:rsid w:val="00080C9B"/>
    <w:rsid w:val="00082D10"/>
    <w:rsid w:val="00087EBA"/>
    <w:rsid w:val="0009267C"/>
    <w:rsid w:val="000A07FC"/>
    <w:rsid w:val="000A295D"/>
    <w:rsid w:val="000B0BD7"/>
    <w:rsid w:val="000B5574"/>
    <w:rsid w:val="000B5C17"/>
    <w:rsid w:val="000B6BEB"/>
    <w:rsid w:val="000B7050"/>
    <w:rsid w:val="000C06A2"/>
    <w:rsid w:val="000C6152"/>
    <w:rsid w:val="000C6FB8"/>
    <w:rsid w:val="000D2E74"/>
    <w:rsid w:val="000D5E5E"/>
    <w:rsid w:val="000D778C"/>
    <w:rsid w:val="000E2DCC"/>
    <w:rsid w:val="000E6B38"/>
    <w:rsid w:val="000E72BD"/>
    <w:rsid w:val="000F0D13"/>
    <w:rsid w:val="000F1C67"/>
    <w:rsid w:val="000F2BF1"/>
    <w:rsid w:val="000F6463"/>
    <w:rsid w:val="001000E4"/>
    <w:rsid w:val="0010149F"/>
    <w:rsid w:val="00102FDB"/>
    <w:rsid w:val="00103108"/>
    <w:rsid w:val="00103B3F"/>
    <w:rsid w:val="00110F6E"/>
    <w:rsid w:val="00112A68"/>
    <w:rsid w:val="00113A82"/>
    <w:rsid w:val="00114A98"/>
    <w:rsid w:val="001151E1"/>
    <w:rsid w:val="001155FA"/>
    <w:rsid w:val="0011570C"/>
    <w:rsid w:val="00115AEE"/>
    <w:rsid w:val="00116415"/>
    <w:rsid w:val="00116C10"/>
    <w:rsid w:val="00121D0F"/>
    <w:rsid w:val="001221DF"/>
    <w:rsid w:val="0012239A"/>
    <w:rsid w:val="001235E7"/>
    <w:rsid w:val="00132588"/>
    <w:rsid w:val="00133646"/>
    <w:rsid w:val="0013387F"/>
    <w:rsid w:val="00133FDC"/>
    <w:rsid w:val="0013470C"/>
    <w:rsid w:val="00135A5C"/>
    <w:rsid w:val="00137B3E"/>
    <w:rsid w:val="00143377"/>
    <w:rsid w:val="001473D1"/>
    <w:rsid w:val="00152F6C"/>
    <w:rsid w:val="00153701"/>
    <w:rsid w:val="00154E89"/>
    <w:rsid w:val="0015550A"/>
    <w:rsid w:val="00155A57"/>
    <w:rsid w:val="0015767E"/>
    <w:rsid w:val="00157EEC"/>
    <w:rsid w:val="001611E4"/>
    <w:rsid w:val="00161F68"/>
    <w:rsid w:val="00163081"/>
    <w:rsid w:val="00163B52"/>
    <w:rsid w:val="00163F34"/>
    <w:rsid w:val="00164445"/>
    <w:rsid w:val="00164F48"/>
    <w:rsid w:val="001765A4"/>
    <w:rsid w:val="00176EBF"/>
    <w:rsid w:val="00181429"/>
    <w:rsid w:val="001818B1"/>
    <w:rsid w:val="00181957"/>
    <w:rsid w:val="0018380E"/>
    <w:rsid w:val="00197309"/>
    <w:rsid w:val="00197DF7"/>
    <w:rsid w:val="001A1384"/>
    <w:rsid w:val="001A4E09"/>
    <w:rsid w:val="001A5149"/>
    <w:rsid w:val="001A6641"/>
    <w:rsid w:val="001A6827"/>
    <w:rsid w:val="001A72F4"/>
    <w:rsid w:val="001B0206"/>
    <w:rsid w:val="001B07AB"/>
    <w:rsid w:val="001B372B"/>
    <w:rsid w:val="001B3823"/>
    <w:rsid w:val="001B5BEB"/>
    <w:rsid w:val="001B644C"/>
    <w:rsid w:val="001B691F"/>
    <w:rsid w:val="001C1DE8"/>
    <w:rsid w:val="001D2310"/>
    <w:rsid w:val="001D6909"/>
    <w:rsid w:val="001D6AA4"/>
    <w:rsid w:val="001E13FB"/>
    <w:rsid w:val="001E26CD"/>
    <w:rsid w:val="001F0B2F"/>
    <w:rsid w:val="001F1398"/>
    <w:rsid w:val="001F1DE5"/>
    <w:rsid w:val="001F2230"/>
    <w:rsid w:val="001F2EBF"/>
    <w:rsid w:val="001F376D"/>
    <w:rsid w:val="001F4D4F"/>
    <w:rsid w:val="001F649C"/>
    <w:rsid w:val="002012F9"/>
    <w:rsid w:val="00201C4D"/>
    <w:rsid w:val="00202CBC"/>
    <w:rsid w:val="00203DBE"/>
    <w:rsid w:val="00203F5A"/>
    <w:rsid w:val="00205DAA"/>
    <w:rsid w:val="002060B0"/>
    <w:rsid w:val="00207E29"/>
    <w:rsid w:val="0021045A"/>
    <w:rsid w:val="00212FA6"/>
    <w:rsid w:val="002178B9"/>
    <w:rsid w:val="00220BB4"/>
    <w:rsid w:val="00220CB1"/>
    <w:rsid w:val="00222A6A"/>
    <w:rsid w:val="002250CA"/>
    <w:rsid w:val="0022615B"/>
    <w:rsid w:val="00227014"/>
    <w:rsid w:val="002327FC"/>
    <w:rsid w:val="002345B9"/>
    <w:rsid w:val="002407A5"/>
    <w:rsid w:val="00243DB8"/>
    <w:rsid w:val="002452DA"/>
    <w:rsid w:val="002507CD"/>
    <w:rsid w:val="002508B3"/>
    <w:rsid w:val="00253CFC"/>
    <w:rsid w:val="002552C0"/>
    <w:rsid w:val="002609A3"/>
    <w:rsid w:val="00263DBA"/>
    <w:rsid w:val="00266A59"/>
    <w:rsid w:val="00271082"/>
    <w:rsid w:val="0027243E"/>
    <w:rsid w:val="00276348"/>
    <w:rsid w:val="002777F3"/>
    <w:rsid w:val="00277E42"/>
    <w:rsid w:val="00280AAB"/>
    <w:rsid w:val="00282662"/>
    <w:rsid w:val="002846FD"/>
    <w:rsid w:val="00286D80"/>
    <w:rsid w:val="00287C36"/>
    <w:rsid w:val="002908ED"/>
    <w:rsid w:val="002972D2"/>
    <w:rsid w:val="002A45D8"/>
    <w:rsid w:val="002A6A75"/>
    <w:rsid w:val="002B0FA7"/>
    <w:rsid w:val="002B1AEC"/>
    <w:rsid w:val="002B2195"/>
    <w:rsid w:val="002B328B"/>
    <w:rsid w:val="002B3D18"/>
    <w:rsid w:val="002B67EC"/>
    <w:rsid w:val="002C1CB3"/>
    <w:rsid w:val="002C252B"/>
    <w:rsid w:val="002C2B2E"/>
    <w:rsid w:val="002C2E69"/>
    <w:rsid w:val="002C3521"/>
    <w:rsid w:val="002C403D"/>
    <w:rsid w:val="002C4B97"/>
    <w:rsid w:val="002C6E6E"/>
    <w:rsid w:val="002D20B7"/>
    <w:rsid w:val="002D3951"/>
    <w:rsid w:val="002D5C6D"/>
    <w:rsid w:val="002D7EC2"/>
    <w:rsid w:val="002E05D1"/>
    <w:rsid w:val="002E06ED"/>
    <w:rsid w:val="002E13FF"/>
    <w:rsid w:val="002E69CB"/>
    <w:rsid w:val="002F344E"/>
    <w:rsid w:val="002F5114"/>
    <w:rsid w:val="00300A9F"/>
    <w:rsid w:val="0030126A"/>
    <w:rsid w:val="00301C7C"/>
    <w:rsid w:val="00301DF6"/>
    <w:rsid w:val="00302FA1"/>
    <w:rsid w:val="00304ED3"/>
    <w:rsid w:val="00304F25"/>
    <w:rsid w:val="0030631F"/>
    <w:rsid w:val="00306FEB"/>
    <w:rsid w:val="00311796"/>
    <w:rsid w:val="00311A9F"/>
    <w:rsid w:val="0031285E"/>
    <w:rsid w:val="00312BB2"/>
    <w:rsid w:val="00313303"/>
    <w:rsid w:val="003136E9"/>
    <w:rsid w:val="00313D5A"/>
    <w:rsid w:val="003141CE"/>
    <w:rsid w:val="00314E54"/>
    <w:rsid w:val="003208C7"/>
    <w:rsid w:val="00322E03"/>
    <w:rsid w:val="003247DF"/>
    <w:rsid w:val="0033395A"/>
    <w:rsid w:val="00334DC8"/>
    <w:rsid w:val="003365D5"/>
    <w:rsid w:val="00340214"/>
    <w:rsid w:val="00341B42"/>
    <w:rsid w:val="00343B48"/>
    <w:rsid w:val="00346785"/>
    <w:rsid w:val="00355A5D"/>
    <w:rsid w:val="00356269"/>
    <w:rsid w:val="003579E7"/>
    <w:rsid w:val="003601C8"/>
    <w:rsid w:val="00363ECB"/>
    <w:rsid w:val="00366A5D"/>
    <w:rsid w:val="00371697"/>
    <w:rsid w:val="003730EC"/>
    <w:rsid w:val="003733CE"/>
    <w:rsid w:val="00377196"/>
    <w:rsid w:val="00377FDA"/>
    <w:rsid w:val="00380949"/>
    <w:rsid w:val="00380A1F"/>
    <w:rsid w:val="00381FDF"/>
    <w:rsid w:val="00387D6B"/>
    <w:rsid w:val="00387EFD"/>
    <w:rsid w:val="00391EE9"/>
    <w:rsid w:val="003A0C65"/>
    <w:rsid w:val="003A3ECC"/>
    <w:rsid w:val="003A677D"/>
    <w:rsid w:val="003A75DE"/>
    <w:rsid w:val="003C0AEC"/>
    <w:rsid w:val="003C2AF2"/>
    <w:rsid w:val="003C5797"/>
    <w:rsid w:val="003C5841"/>
    <w:rsid w:val="003C713B"/>
    <w:rsid w:val="003C7C5D"/>
    <w:rsid w:val="003D35DA"/>
    <w:rsid w:val="003D76A8"/>
    <w:rsid w:val="003E303C"/>
    <w:rsid w:val="003E34A7"/>
    <w:rsid w:val="003E575C"/>
    <w:rsid w:val="003E72B5"/>
    <w:rsid w:val="003E7E27"/>
    <w:rsid w:val="003F6838"/>
    <w:rsid w:val="00403FA9"/>
    <w:rsid w:val="00415861"/>
    <w:rsid w:val="00416565"/>
    <w:rsid w:val="00416D4C"/>
    <w:rsid w:val="004203AD"/>
    <w:rsid w:val="00420F1C"/>
    <w:rsid w:val="004218AD"/>
    <w:rsid w:val="0042709B"/>
    <w:rsid w:val="00427C96"/>
    <w:rsid w:val="00431877"/>
    <w:rsid w:val="0043215A"/>
    <w:rsid w:val="0043289D"/>
    <w:rsid w:val="00436246"/>
    <w:rsid w:val="00443273"/>
    <w:rsid w:val="004441F0"/>
    <w:rsid w:val="004451E5"/>
    <w:rsid w:val="00445982"/>
    <w:rsid w:val="00451BD3"/>
    <w:rsid w:val="0045242E"/>
    <w:rsid w:val="004528A7"/>
    <w:rsid w:val="00452A6D"/>
    <w:rsid w:val="00457A43"/>
    <w:rsid w:val="00457EBE"/>
    <w:rsid w:val="0046070A"/>
    <w:rsid w:val="004619E4"/>
    <w:rsid w:val="004625AD"/>
    <w:rsid w:val="00464E16"/>
    <w:rsid w:val="00470803"/>
    <w:rsid w:val="004719BA"/>
    <w:rsid w:val="00472616"/>
    <w:rsid w:val="00472DEC"/>
    <w:rsid w:val="0047433B"/>
    <w:rsid w:val="00475E8C"/>
    <w:rsid w:val="004765E3"/>
    <w:rsid w:val="004835EE"/>
    <w:rsid w:val="00483659"/>
    <w:rsid w:val="0048561B"/>
    <w:rsid w:val="00485756"/>
    <w:rsid w:val="00486508"/>
    <w:rsid w:val="0048713A"/>
    <w:rsid w:val="00491D61"/>
    <w:rsid w:val="00492FA2"/>
    <w:rsid w:val="004A41E4"/>
    <w:rsid w:val="004A4965"/>
    <w:rsid w:val="004A5647"/>
    <w:rsid w:val="004A58E9"/>
    <w:rsid w:val="004B2C99"/>
    <w:rsid w:val="004B4664"/>
    <w:rsid w:val="004B4709"/>
    <w:rsid w:val="004B4F2E"/>
    <w:rsid w:val="004B4F39"/>
    <w:rsid w:val="004B5C25"/>
    <w:rsid w:val="004C4CF1"/>
    <w:rsid w:val="004C53F7"/>
    <w:rsid w:val="004C6312"/>
    <w:rsid w:val="004C7C28"/>
    <w:rsid w:val="004D123C"/>
    <w:rsid w:val="004D2D35"/>
    <w:rsid w:val="004D346A"/>
    <w:rsid w:val="004D3AD2"/>
    <w:rsid w:val="004D7C1C"/>
    <w:rsid w:val="004D7DA1"/>
    <w:rsid w:val="004E2B56"/>
    <w:rsid w:val="004E4AA7"/>
    <w:rsid w:val="004E4D39"/>
    <w:rsid w:val="004E5930"/>
    <w:rsid w:val="004E5F55"/>
    <w:rsid w:val="004E746F"/>
    <w:rsid w:val="004E7AD2"/>
    <w:rsid w:val="004F0413"/>
    <w:rsid w:val="004F1CD9"/>
    <w:rsid w:val="004F32F1"/>
    <w:rsid w:val="004F4FF4"/>
    <w:rsid w:val="004F7392"/>
    <w:rsid w:val="004F7B2F"/>
    <w:rsid w:val="00500E75"/>
    <w:rsid w:val="00502E7D"/>
    <w:rsid w:val="0050529B"/>
    <w:rsid w:val="005143A3"/>
    <w:rsid w:val="00516147"/>
    <w:rsid w:val="005163A6"/>
    <w:rsid w:val="00516BD7"/>
    <w:rsid w:val="00520D7F"/>
    <w:rsid w:val="00521BDB"/>
    <w:rsid w:val="0052310A"/>
    <w:rsid w:val="00526815"/>
    <w:rsid w:val="0053110E"/>
    <w:rsid w:val="0053350A"/>
    <w:rsid w:val="0053424B"/>
    <w:rsid w:val="00535F25"/>
    <w:rsid w:val="0053655B"/>
    <w:rsid w:val="00541B8B"/>
    <w:rsid w:val="0054318E"/>
    <w:rsid w:val="0054371E"/>
    <w:rsid w:val="00547CCF"/>
    <w:rsid w:val="00555999"/>
    <w:rsid w:val="00556447"/>
    <w:rsid w:val="00556A53"/>
    <w:rsid w:val="005636DF"/>
    <w:rsid w:val="00564D9F"/>
    <w:rsid w:val="0056537E"/>
    <w:rsid w:val="005704E5"/>
    <w:rsid w:val="00571EDF"/>
    <w:rsid w:val="00573F48"/>
    <w:rsid w:val="00581988"/>
    <w:rsid w:val="0058202B"/>
    <w:rsid w:val="00583B07"/>
    <w:rsid w:val="00583F61"/>
    <w:rsid w:val="00584A04"/>
    <w:rsid w:val="00585013"/>
    <w:rsid w:val="00586860"/>
    <w:rsid w:val="00586986"/>
    <w:rsid w:val="005870F8"/>
    <w:rsid w:val="005877EF"/>
    <w:rsid w:val="005901B9"/>
    <w:rsid w:val="00590215"/>
    <w:rsid w:val="0059033F"/>
    <w:rsid w:val="00593B21"/>
    <w:rsid w:val="005958CC"/>
    <w:rsid w:val="005A1062"/>
    <w:rsid w:val="005A136C"/>
    <w:rsid w:val="005A1F6A"/>
    <w:rsid w:val="005A2355"/>
    <w:rsid w:val="005A252A"/>
    <w:rsid w:val="005A2D97"/>
    <w:rsid w:val="005A3EB3"/>
    <w:rsid w:val="005A7E43"/>
    <w:rsid w:val="005B6DA5"/>
    <w:rsid w:val="005C11D5"/>
    <w:rsid w:val="005C17CE"/>
    <w:rsid w:val="005C2ADF"/>
    <w:rsid w:val="005C3BCB"/>
    <w:rsid w:val="005C407E"/>
    <w:rsid w:val="005C657A"/>
    <w:rsid w:val="005C660B"/>
    <w:rsid w:val="005C6B2D"/>
    <w:rsid w:val="005C7074"/>
    <w:rsid w:val="005D0C67"/>
    <w:rsid w:val="005D18C2"/>
    <w:rsid w:val="005D37BC"/>
    <w:rsid w:val="005D429C"/>
    <w:rsid w:val="005D584E"/>
    <w:rsid w:val="005E19C8"/>
    <w:rsid w:val="005E371D"/>
    <w:rsid w:val="005E37BD"/>
    <w:rsid w:val="005E4E34"/>
    <w:rsid w:val="005E7DAF"/>
    <w:rsid w:val="005F2EC4"/>
    <w:rsid w:val="005F4EF4"/>
    <w:rsid w:val="005F63D6"/>
    <w:rsid w:val="005F7F0B"/>
    <w:rsid w:val="00600912"/>
    <w:rsid w:val="00600FDC"/>
    <w:rsid w:val="006021FE"/>
    <w:rsid w:val="00604BCB"/>
    <w:rsid w:val="00607720"/>
    <w:rsid w:val="0061468D"/>
    <w:rsid w:val="006170C6"/>
    <w:rsid w:val="006225C8"/>
    <w:rsid w:val="00623281"/>
    <w:rsid w:val="00626E6D"/>
    <w:rsid w:val="00632C21"/>
    <w:rsid w:val="006332CE"/>
    <w:rsid w:val="00634916"/>
    <w:rsid w:val="00640840"/>
    <w:rsid w:val="006423F3"/>
    <w:rsid w:val="00642C33"/>
    <w:rsid w:val="0064319B"/>
    <w:rsid w:val="0064337A"/>
    <w:rsid w:val="00644CAF"/>
    <w:rsid w:val="00645C9B"/>
    <w:rsid w:val="006542E3"/>
    <w:rsid w:val="00654559"/>
    <w:rsid w:val="00655784"/>
    <w:rsid w:val="0065653B"/>
    <w:rsid w:val="00662AA8"/>
    <w:rsid w:val="0066474C"/>
    <w:rsid w:val="00664FB4"/>
    <w:rsid w:val="0067189D"/>
    <w:rsid w:val="00671AD1"/>
    <w:rsid w:val="0067238D"/>
    <w:rsid w:val="006731E4"/>
    <w:rsid w:val="006739F9"/>
    <w:rsid w:val="0068120F"/>
    <w:rsid w:val="0068372E"/>
    <w:rsid w:val="00684D4D"/>
    <w:rsid w:val="00692A16"/>
    <w:rsid w:val="0069326E"/>
    <w:rsid w:val="006943A9"/>
    <w:rsid w:val="006950BD"/>
    <w:rsid w:val="00696359"/>
    <w:rsid w:val="00696990"/>
    <w:rsid w:val="00697ACF"/>
    <w:rsid w:val="006A178F"/>
    <w:rsid w:val="006A4422"/>
    <w:rsid w:val="006A4876"/>
    <w:rsid w:val="006A6163"/>
    <w:rsid w:val="006A6179"/>
    <w:rsid w:val="006A71F6"/>
    <w:rsid w:val="006A75B2"/>
    <w:rsid w:val="006B0776"/>
    <w:rsid w:val="006B0B2C"/>
    <w:rsid w:val="006B238B"/>
    <w:rsid w:val="006B3CD1"/>
    <w:rsid w:val="006B4B07"/>
    <w:rsid w:val="006B5753"/>
    <w:rsid w:val="006C24D4"/>
    <w:rsid w:val="006C7279"/>
    <w:rsid w:val="006D27FB"/>
    <w:rsid w:val="006D4943"/>
    <w:rsid w:val="006D5191"/>
    <w:rsid w:val="006D5BEE"/>
    <w:rsid w:val="006E14E3"/>
    <w:rsid w:val="006E3ABF"/>
    <w:rsid w:val="006E4572"/>
    <w:rsid w:val="006E579F"/>
    <w:rsid w:val="006E6213"/>
    <w:rsid w:val="006E6C15"/>
    <w:rsid w:val="006E6D7C"/>
    <w:rsid w:val="006F0D15"/>
    <w:rsid w:val="006F119C"/>
    <w:rsid w:val="006F31A5"/>
    <w:rsid w:val="006F3257"/>
    <w:rsid w:val="006F36EE"/>
    <w:rsid w:val="006F46C9"/>
    <w:rsid w:val="006F523A"/>
    <w:rsid w:val="00700E7C"/>
    <w:rsid w:val="00703BD4"/>
    <w:rsid w:val="007056F5"/>
    <w:rsid w:val="00706A57"/>
    <w:rsid w:val="0070732A"/>
    <w:rsid w:val="00711F9D"/>
    <w:rsid w:val="00713CC5"/>
    <w:rsid w:val="00714AF9"/>
    <w:rsid w:val="00717139"/>
    <w:rsid w:val="00723803"/>
    <w:rsid w:val="007244DE"/>
    <w:rsid w:val="00727FE8"/>
    <w:rsid w:val="00731B24"/>
    <w:rsid w:val="00732541"/>
    <w:rsid w:val="0073506F"/>
    <w:rsid w:val="00735E4A"/>
    <w:rsid w:val="00736828"/>
    <w:rsid w:val="00740D83"/>
    <w:rsid w:val="007414B3"/>
    <w:rsid w:val="007451A4"/>
    <w:rsid w:val="00746BE3"/>
    <w:rsid w:val="007479AB"/>
    <w:rsid w:val="007510CC"/>
    <w:rsid w:val="007543E8"/>
    <w:rsid w:val="00754CE3"/>
    <w:rsid w:val="00760FDE"/>
    <w:rsid w:val="00761269"/>
    <w:rsid w:val="007618AE"/>
    <w:rsid w:val="00762ED2"/>
    <w:rsid w:val="007631A9"/>
    <w:rsid w:val="00763C0E"/>
    <w:rsid w:val="0076608B"/>
    <w:rsid w:val="007663DF"/>
    <w:rsid w:val="00770E00"/>
    <w:rsid w:val="007745BC"/>
    <w:rsid w:val="00774D74"/>
    <w:rsid w:val="00777260"/>
    <w:rsid w:val="00781F44"/>
    <w:rsid w:val="00782360"/>
    <w:rsid w:val="00782F60"/>
    <w:rsid w:val="00783844"/>
    <w:rsid w:val="007869C8"/>
    <w:rsid w:val="00787597"/>
    <w:rsid w:val="00790DAA"/>
    <w:rsid w:val="00794E25"/>
    <w:rsid w:val="00795595"/>
    <w:rsid w:val="00795C6A"/>
    <w:rsid w:val="007977B7"/>
    <w:rsid w:val="00797D3E"/>
    <w:rsid w:val="007A1E24"/>
    <w:rsid w:val="007A246D"/>
    <w:rsid w:val="007A6200"/>
    <w:rsid w:val="007B0808"/>
    <w:rsid w:val="007B1FAA"/>
    <w:rsid w:val="007B30E5"/>
    <w:rsid w:val="007B3C39"/>
    <w:rsid w:val="007B7967"/>
    <w:rsid w:val="007C2D01"/>
    <w:rsid w:val="007C2D98"/>
    <w:rsid w:val="007C4C69"/>
    <w:rsid w:val="007C56BA"/>
    <w:rsid w:val="007C61BC"/>
    <w:rsid w:val="007C6DF5"/>
    <w:rsid w:val="007D3BD5"/>
    <w:rsid w:val="007D3E1A"/>
    <w:rsid w:val="007E182F"/>
    <w:rsid w:val="007E20AC"/>
    <w:rsid w:val="007E4DCC"/>
    <w:rsid w:val="007E4EF3"/>
    <w:rsid w:val="007E65FD"/>
    <w:rsid w:val="007E69BA"/>
    <w:rsid w:val="007E6E11"/>
    <w:rsid w:val="007E7CC0"/>
    <w:rsid w:val="007F327F"/>
    <w:rsid w:val="007F3DFE"/>
    <w:rsid w:val="008032FF"/>
    <w:rsid w:val="0080590F"/>
    <w:rsid w:val="008068FE"/>
    <w:rsid w:val="00807294"/>
    <w:rsid w:val="008142B7"/>
    <w:rsid w:val="00817BBD"/>
    <w:rsid w:val="00822BC9"/>
    <w:rsid w:val="00823227"/>
    <w:rsid w:val="00823A63"/>
    <w:rsid w:val="008245B4"/>
    <w:rsid w:val="008271B7"/>
    <w:rsid w:val="00831459"/>
    <w:rsid w:val="00832479"/>
    <w:rsid w:val="00835C70"/>
    <w:rsid w:val="00837572"/>
    <w:rsid w:val="008425AE"/>
    <w:rsid w:val="00843475"/>
    <w:rsid w:val="00843F8A"/>
    <w:rsid w:val="008523A0"/>
    <w:rsid w:val="00853745"/>
    <w:rsid w:val="00853ED0"/>
    <w:rsid w:val="008552B8"/>
    <w:rsid w:val="008632EE"/>
    <w:rsid w:val="008641FA"/>
    <w:rsid w:val="00866A00"/>
    <w:rsid w:val="00867C6D"/>
    <w:rsid w:val="00872E23"/>
    <w:rsid w:val="00876813"/>
    <w:rsid w:val="00880BA7"/>
    <w:rsid w:val="00882342"/>
    <w:rsid w:val="00883D36"/>
    <w:rsid w:val="00885D9B"/>
    <w:rsid w:val="00886A1D"/>
    <w:rsid w:val="00886AD0"/>
    <w:rsid w:val="008873F6"/>
    <w:rsid w:val="00892F32"/>
    <w:rsid w:val="00893102"/>
    <w:rsid w:val="00893941"/>
    <w:rsid w:val="00894099"/>
    <w:rsid w:val="00894BA6"/>
    <w:rsid w:val="008954DC"/>
    <w:rsid w:val="008A1A6F"/>
    <w:rsid w:val="008A1FB8"/>
    <w:rsid w:val="008A35AF"/>
    <w:rsid w:val="008A37C3"/>
    <w:rsid w:val="008A74ED"/>
    <w:rsid w:val="008B1443"/>
    <w:rsid w:val="008B3780"/>
    <w:rsid w:val="008B59A5"/>
    <w:rsid w:val="008B6308"/>
    <w:rsid w:val="008C03BF"/>
    <w:rsid w:val="008C0896"/>
    <w:rsid w:val="008C0AA7"/>
    <w:rsid w:val="008C16BB"/>
    <w:rsid w:val="008C53B1"/>
    <w:rsid w:val="008C62AC"/>
    <w:rsid w:val="008C6D70"/>
    <w:rsid w:val="008D1846"/>
    <w:rsid w:val="008D3EB0"/>
    <w:rsid w:val="008D4CB4"/>
    <w:rsid w:val="008D7C27"/>
    <w:rsid w:val="008D7ECF"/>
    <w:rsid w:val="008E4A61"/>
    <w:rsid w:val="008F216B"/>
    <w:rsid w:val="008F29B0"/>
    <w:rsid w:val="008F54EA"/>
    <w:rsid w:val="0090297A"/>
    <w:rsid w:val="00906D50"/>
    <w:rsid w:val="00910A62"/>
    <w:rsid w:val="0091230C"/>
    <w:rsid w:val="00912A7E"/>
    <w:rsid w:val="00912EF9"/>
    <w:rsid w:val="0091309D"/>
    <w:rsid w:val="00914E8C"/>
    <w:rsid w:val="00915029"/>
    <w:rsid w:val="00915F38"/>
    <w:rsid w:val="0091606C"/>
    <w:rsid w:val="00916DFD"/>
    <w:rsid w:val="00920183"/>
    <w:rsid w:val="00921468"/>
    <w:rsid w:val="009226F7"/>
    <w:rsid w:val="009230C0"/>
    <w:rsid w:val="00924D64"/>
    <w:rsid w:val="00925952"/>
    <w:rsid w:val="009275B6"/>
    <w:rsid w:val="0093321D"/>
    <w:rsid w:val="00935298"/>
    <w:rsid w:val="0093678D"/>
    <w:rsid w:val="00936A36"/>
    <w:rsid w:val="00937319"/>
    <w:rsid w:val="00940201"/>
    <w:rsid w:val="009419F7"/>
    <w:rsid w:val="00942376"/>
    <w:rsid w:val="00942BF5"/>
    <w:rsid w:val="00952189"/>
    <w:rsid w:val="00954C0A"/>
    <w:rsid w:val="0095538D"/>
    <w:rsid w:val="00970E4E"/>
    <w:rsid w:val="00972C97"/>
    <w:rsid w:val="00973FD0"/>
    <w:rsid w:val="00974991"/>
    <w:rsid w:val="00977CC4"/>
    <w:rsid w:val="009822D3"/>
    <w:rsid w:val="00983315"/>
    <w:rsid w:val="00986DA9"/>
    <w:rsid w:val="00991844"/>
    <w:rsid w:val="00991E80"/>
    <w:rsid w:val="00993136"/>
    <w:rsid w:val="009934DA"/>
    <w:rsid w:val="009950E9"/>
    <w:rsid w:val="009A01C7"/>
    <w:rsid w:val="009A267B"/>
    <w:rsid w:val="009A2948"/>
    <w:rsid w:val="009A5E72"/>
    <w:rsid w:val="009B0830"/>
    <w:rsid w:val="009B0EC9"/>
    <w:rsid w:val="009B0FAD"/>
    <w:rsid w:val="009B225A"/>
    <w:rsid w:val="009C0081"/>
    <w:rsid w:val="009C0448"/>
    <w:rsid w:val="009C1691"/>
    <w:rsid w:val="009C286A"/>
    <w:rsid w:val="009C2988"/>
    <w:rsid w:val="009C3447"/>
    <w:rsid w:val="009C4BB3"/>
    <w:rsid w:val="009D00CD"/>
    <w:rsid w:val="009D265D"/>
    <w:rsid w:val="009D2F30"/>
    <w:rsid w:val="009D6F5F"/>
    <w:rsid w:val="009D7D01"/>
    <w:rsid w:val="009E352C"/>
    <w:rsid w:val="009F033B"/>
    <w:rsid w:val="00A00381"/>
    <w:rsid w:val="00A0194F"/>
    <w:rsid w:val="00A02919"/>
    <w:rsid w:val="00A02FEF"/>
    <w:rsid w:val="00A05939"/>
    <w:rsid w:val="00A102C9"/>
    <w:rsid w:val="00A11488"/>
    <w:rsid w:val="00A11B31"/>
    <w:rsid w:val="00A12FDD"/>
    <w:rsid w:val="00A14E11"/>
    <w:rsid w:val="00A16125"/>
    <w:rsid w:val="00A2098A"/>
    <w:rsid w:val="00A2666A"/>
    <w:rsid w:val="00A26BF2"/>
    <w:rsid w:val="00A2796E"/>
    <w:rsid w:val="00A30DDB"/>
    <w:rsid w:val="00A322CB"/>
    <w:rsid w:val="00A3600E"/>
    <w:rsid w:val="00A36B5B"/>
    <w:rsid w:val="00A459EA"/>
    <w:rsid w:val="00A46F4A"/>
    <w:rsid w:val="00A54E20"/>
    <w:rsid w:val="00A61836"/>
    <w:rsid w:val="00A61EA2"/>
    <w:rsid w:val="00A715A6"/>
    <w:rsid w:val="00A72350"/>
    <w:rsid w:val="00A73717"/>
    <w:rsid w:val="00A7787F"/>
    <w:rsid w:val="00A77FF6"/>
    <w:rsid w:val="00A802B9"/>
    <w:rsid w:val="00A80329"/>
    <w:rsid w:val="00A81ADD"/>
    <w:rsid w:val="00A82B93"/>
    <w:rsid w:val="00A854C5"/>
    <w:rsid w:val="00A90042"/>
    <w:rsid w:val="00A9271C"/>
    <w:rsid w:val="00A933F9"/>
    <w:rsid w:val="00A934AE"/>
    <w:rsid w:val="00A94E82"/>
    <w:rsid w:val="00A952F8"/>
    <w:rsid w:val="00A95B0D"/>
    <w:rsid w:val="00A9789E"/>
    <w:rsid w:val="00A978FA"/>
    <w:rsid w:val="00AA22CB"/>
    <w:rsid w:val="00AA363F"/>
    <w:rsid w:val="00AA3E9B"/>
    <w:rsid w:val="00AA419F"/>
    <w:rsid w:val="00AA5CBD"/>
    <w:rsid w:val="00AA7997"/>
    <w:rsid w:val="00AB0CDC"/>
    <w:rsid w:val="00AB19CC"/>
    <w:rsid w:val="00AB3212"/>
    <w:rsid w:val="00AB4B0A"/>
    <w:rsid w:val="00AC14A4"/>
    <w:rsid w:val="00AC315D"/>
    <w:rsid w:val="00AC4A37"/>
    <w:rsid w:val="00AC709E"/>
    <w:rsid w:val="00AC79E6"/>
    <w:rsid w:val="00AD12FB"/>
    <w:rsid w:val="00AD4A18"/>
    <w:rsid w:val="00AD4EA6"/>
    <w:rsid w:val="00AE2E8B"/>
    <w:rsid w:val="00AE56E1"/>
    <w:rsid w:val="00AE5C6F"/>
    <w:rsid w:val="00AF118D"/>
    <w:rsid w:val="00AF353A"/>
    <w:rsid w:val="00AF361B"/>
    <w:rsid w:val="00AF5104"/>
    <w:rsid w:val="00AF6499"/>
    <w:rsid w:val="00AF7509"/>
    <w:rsid w:val="00B0104E"/>
    <w:rsid w:val="00B01487"/>
    <w:rsid w:val="00B029B0"/>
    <w:rsid w:val="00B0300F"/>
    <w:rsid w:val="00B04C47"/>
    <w:rsid w:val="00B07813"/>
    <w:rsid w:val="00B104E2"/>
    <w:rsid w:val="00B1099B"/>
    <w:rsid w:val="00B118CF"/>
    <w:rsid w:val="00B13C88"/>
    <w:rsid w:val="00B14C80"/>
    <w:rsid w:val="00B21A59"/>
    <w:rsid w:val="00B21AE8"/>
    <w:rsid w:val="00B21FEE"/>
    <w:rsid w:val="00B23D8C"/>
    <w:rsid w:val="00B24581"/>
    <w:rsid w:val="00B24AFF"/>
    <w:rsid w:val="00B2644D"/>
    <w:rsid w:val="00B26A61"/>
    <w:rsid w:val="00B30587"/>
    <w:rsid w:val="00B3508D"/>
    <w:rsid w:val="00B367D8"/>
    <w:rsid w:val="00B41D23"/>
    <w:rsid w:val="00B42897"/>
    <w:rsid w:val="00B45EBB"/>
    <w:rsid w:val="00B5049D"/>
    <w:rsid w:val="00B511A7"/>
    <w:rsid w:val="00B52D7C"/>
    <w:rsid w:val="00B56555"/>
    <w:rsid w:val="00B57E51"/>
    <w:rsid w:val="00B60142"/>
    <w:rsid w:val="00B618D4"/>
    <w:rsid w:val="00B66E64"/>
    <w:rsid w:val="00B72AE8"/>
    <w:rsid w:val="00B73EF5"/>
    <w:rsid w:val="00B74D6D"/>
    <w:rsid w:val="00B75E6C"/>
    <w:rsid w:val="00B77EA3"/>
    <w:rsid w:val="00B83F17"/>
    <w:rsid w:val="00B86789"/>
    <w:rsid w:val="00B87C43"/>
    <w:rsid w:val="00B91F53"/>
    <w:rsid w:val="00B93C04"/>
    <w:rsid w:val="00B95735"/>
    <w:rsid w:val="00BA072B"/>
    <w:rsid w:val="00BB017D"/>
    <w:rsid w:val="00BB0437"/>
    <w:rsid w:val="00BC32ED"/>
    <w:rsid w:val="00BD4A9C"/>
    <w:rsid w:val="00BD7C9E"/>
    <w:rsid w:val="00BD7FC2"/>
    <w:rsid w:val="00BE0F4D"/>
    <w:rsid w:val="00BE1986"/>
    <w:rsid w:val="00BE3721"/>
    <w:rsid w:val="00BE5C4D"/>
    <w:rsid w:val="00BE7DE1"/>
    <w:rsid w:val="00BF11C5"/>
    <w:rsid w:val="00BF2041"/>
    <w:rsid w:val="00BF3D1E"/>
    <w:rsid w:val="00BF77EF"/>
    <w:rsid w:val="00C00A24"/>
    <w:rsid w:val="00C011A1"/>
    <w:rsid w:val="00C02E39"/>
    <w:rsid w:val="00C03E9B"/>
    <w:rsid w:val="00C13539"/>
    <w:rsid w:val="00C1432E"/>
    <w:rsid w:val="00C14DA3"/>
    <w:rsid w:val="00C14E45"/>
    <w:rsid w:val="00C159DF"/>
    <w:rsid w:val="00C15A07"/>
    <w:rsid w:val="00C168DD"/>
    <w:rsid w:val="00C17191"/>
    <w:rsid w:val="00C177DD"/>
    <w:rsid w:val="00C17DBC"/>
    <w:rsid w:val="00C20292"/>
    <w:rsid w:val="00C20F1F"/>
    <w:rsid w:val="00C23A70"/>
    <w:rsid w:val="00C26F48"/>
    <w:rsid w:val="00C31080"/>
    <w:rsid w:val="00C323E8"/>
    <w:rsid w:val="00C32936"/>
    <w:rsid w:val="00C3372F"/>
    <w:rsid w:val="00C40665"/>
    <w:rsid w:val="00C40976"/>
    <w:rsid w:val="00C42B4C"/>
    <w:rsid w:val="00C42E97"/>
    <w:rsid w:val="00C4414A"/>
    <w:rsid w:val="00C44362"/>
    <w:rsid w:val="00C44EE4"/>
    <w:rsid w:val="00C457D4"/>
    <w:rsid w:val="00C52829"/>
    <w:rsid w:val="00C53104"/>
    <w:rsid w:val="00C54757"/>
    <w:rsid w:val="00C56C47"/>
    <w:rsid w:val="00C624C1"/>
    <w:rsid w:val="00C63970"/>
    <w:rsid w:val="00C63AF7"/>
    <w:rsid w:val="00C64424"/>
    <w:rsid w:val="00C64DF0"/>
    <w:rsid w:val="00C64DFF"/>
    <w:rsid w:val="00C66771"/>
    <w:rsid w:val="00C67F3D"/>
    <w:rsid w:val="00C709D3"/>
    <w:rsid w:val="00C70C22"/>
    <w:rsid w:val="00C7513F"/>
    <w:rsid w:val="00C75CC6"/>
    <w:rsid w:val="00C80079"/>
    <w:rsid w:val="00C810D8"/>
    <w:rsid w:val="00C8162F"/>
    <w:rsid w:val="00C859FF"/>
    <w:rsid w:val="00C86930"/>
    <w:rsid w:val="00C87C6C"/>
    <w:rsid w:val="00C90D2F"/>
    <w:rsid w:val="00C95678"/>
    <w:rsid w:val="00C95867"/>
    <w:rsid w:val="00C95A68"/>
    <w:rsid w:val="00C96E1B"/>
    <w:rsid w:val="00CA2498"/>
    <w:rsid w:val="00CA3BAF"/>
    <w:rsid w:val="00CA6131"/>
    <w:rsid w:val="00CB2CC0"/>
    <w:rsid w:val="00CB450A"/>
    <w:rsid w:val="00CC3C15"/>
    <w:rsid w:val="00CC41B9"/>
    <w:rsid w:val="00CC4A2A"/>
    <w:rsid w:val="00CC550C"/>
    <w:rsid w:val="00CD240F"/>
    <w:rsid w:val="00CD2765"/>
    <w:rsid w:val="00CD2D74"/>
    <w:rsid w:val="00CD311F"/>
    <w:rsid w:val="00CE0E49"/>
    <w:rsid w:val="00CE200B"/>
    <w:rsid w:val="00CE30D5"/>
    <w:rsid w:val="00CE5DBF"/>
    <w:rsid w:val="00CE71FE"/>
    <w:rsid w:val="00CE7BD2"/>
    <w:rsid w:val="00CF1897"/>
    <w:rsid w:val="00CF28EB"/>
    <w:rsid w:val="00D035B5"/>
    <w:rsid w:val="00D03934"/>
    <w:rsid w:val="00D0603C"/>
    <w:rsid w:val="00D06604"/>
    <w:rsid w:val="00D06C33"/>
    <w:rsid w:val="00D07EEB"/>
    <w:rsid w:val="00D13BD5"/>
    <w:rsid w:val="00D140AE"/>
    <w:rsid w:val="00D153BF"/>
    <w:rsid w:val="00D16CC8"/>
    <w:rsid w:val="00D203F3"/>
    <w:rsid w:val="00D248B2"/>
    <w:rsid w:val="00D24A52"/>
    <w:rsid w:val="00D250C5"/>
    <w:rsid w:val="00D31663"/>
    <w:rsid w:val="00D32744"/>
    <w:rsid w:val="00D351F1"/>
    <w:rsid w:val="00D35F43"/>
    <w:rsid w:val="00D44213"/>
    <w:rsid w:val="00D45D35"/>
    <w:rsid w:val="00D47EF2"/>
    <w:rsid w:val="00D51EFC"/>
    <w:rsid w:val="00D53005"/>
    <w:rsid w:val="00D530E1"/>
    <w:rsid w:val="00D54ED6"/>
    <w:rsid w:val="00D560D4"/>
    <w:rsid w:val="00D61696"/>
    <w:rsid w:val="00D622DC"/>
    <w:rsid w:val="00D62D42"/>
    <w:rsid w:val="00D65B1A"/>
    <w:rsid w:val="00D703CA"/>
    <w:rsid w:val="00D71E2F"/>
    <w:rsid w:val="00D72E53"/>
    <w:rsid w:val="00D777B6"/>
    <w:rsid w:val="00D8125A"/>
    <w:rsid w:val="00D81FB2"/>
    <w:rsid w:val="00D873B3"/>
    <w:rsid w:val="00D90BFB"/>
    <w:rsid w:val="00D91EDA"/>
    <w:rsid w:val="00D93929"/>
    <w:rsid w:val="00D94084"/>
    <w:rsid w:val="00D94C93"/>
    <w:rsid w:val="00D97F57"/>
    <w:rsid w:val="00DA1B68"/>
    <w:rsid w:val="00DA463C"/>
    <w:rsid w:val="00DA6F45"/>
    <w:rsid w:val="00DB196D"/>
    <w:rsid w:val="00DB3F48"/>
    <w:rsid w:val="00DB458F"/>
    <w:rsid w:val="00DB533B"/>
    <w:rsid w:val="00DB5850"/>
    <w:rsid w:val="00DC3450"/>
    <w:rsid w:val="00DC3EEC"/>
    <w:rsid w:val="00DC40C4"/>
    <w:rsid w:val="00DC6723"/>
    <w:rsid w:val="00DC7CD8"/>
    <w:rsid w:val="00DD1C2F"/>
    <w:rsid w:val="00DD1EC2"/>
    <w:rsid w:val="00DD44A0"/>
    <w:rsid w:val="00DE0963"/>
    <w:rsid w:val="00DE16FD"/>
    <w:rsid w:val="00DE292F"/>
    <w:rsid w:val="00DE2FEB"/>
    <w:rsid w:val="00DE3635"/>
    <w:rsid w:val="00DE4553"/>
    <w:rsid w:val="00DE5855"/>
    <w:rsid w:val="00DE620E"/>
    <w:rsid w:val="00DE6BBE"/>
    <w:rsid w:val="00DE7227"/>
    <w:rsid w:val="00DE79EB"/>
    <w:rsid w:val="00DF0E1B"/>
    <w:rsid w:val="00DF257F"/>
    <w:rsid w:val="00DF45A4"/>
    <w:rsid w:val="00DF51E8"/>
    <w:rsid w:val="00E005E6"/>
    <w:rsid w:val="00E00D0C"/>
    <w:rsid w:val="00E0286F"/>
    <w:rsid w:val="00E02ABC"/>
    <w:rsid w:val="00E03675"/>
    <w:rsid w:val="00E037B4"/>
    <w:rsid w:val="00E05CE0"/>
    <w:rsid w:val="00E07DBB"/>
    <w:rsid w:val="00E10CD3"/>
    <w:rsid w:val="00E1134A"/>
    <w:rsid w:val="00E11386"/>
    <w:rsid w:val="00E117D7"/>
    <w:rsid w:val="00E13AFB"/>
    <w:rsid w:val="00E14E2D"/>
    <w:rsid w:val="00E15B55"/>
    <w:rsid w:val="00E200CC"/>
    <w:rsid w:val="00E21526"/>
    <w:rsid w:val="00E23239"/>
    <w:rsid w:val="00E31C11"/>
    <w:rsid w:val="00E41314"/>
    <w:rsid w:val="00E43ACD"/>
    <w:rsid w:val="00E459B9"/>
    <w:rsid w:val="00E46847"/>
    <w:rsid w:val="00E46F8F"/>
    <w:rsid w:val="00E4783C"/>
    <w:rsid w:val="00E51B23"/>
    <w:rsid w:val="00E5243F"/>
    <w:rsid w:val="00E5519B"/>
    <w:rsid w:val="00E57E47"/>
    <w:rsid w:val="00E6178A"/>
    <w:rsid w:val="00E61CA7"/>
    <w:rsid w:val="00E651D4"/>
    <w:rsid w:val="00E65306"/>
    <w:rsid w:val="00E6623C"/>
    <w:rsid w:val="00E762A3"/>
    <w:rsid w:val="00E82067"/>
    <w:rsid w:val="00E85E80"/>
    <w:rsid w:val="00E85EA9"/>
    <w:rsid w:val="00E866F4"/>
    <w:rsid w:val="00E86F63"/>
    <w:rsid w:val="00E87C92"/>
    <w:rsid w:val="00E90293"/>
    <w:rsid w:val="00E910F1"/>
    <w:rsid w:val="00E94624"/>
    <w:rsid w:val="00E96AEF"/>
    <w:rsid w:val="00E977A5"/>
    <w:rsid w:val="00E9790A"/>
    <w:rsid w:val="00EA0558"/>
    <w:rsid w:val="00EA0DDF"/>
    <w:rsid w:val="00EA11C7"/>
    <w:rsid w:val="00EA23F3"/>
    <w:rsid w:val="00EA2488"/>
    <w:rsid w:val="00EB070C"/>
    <w:rsid w:val="00EB16F5"/>
    <w:rsid w:val="00EB1A17"/>
    <w:rsid w:val="00EB64C6"/>
    <w:rsid w:val="00EC1974"/>
    <w:rsid w:val="00EC4E69"/>
    <w:rsid w:val="00EC61A5"/>
    <w:rsid w:val="00EE270A"/>
    <w:rsid w:val="00EE3CDB"/>
    <w:rsid w:val="00EE53A5"/>
    <w:rsid w:val="00EE6946"/>
    <w:rsid w:val="00EE72BD"/>
    <w:rsid w:val="00EE7561"/>
    <w:rsid w:val="00EF08DF"/>
    <w:rsid w:val="00EF0972"/>
    <w:rsid w:val="00EF150F"/>
    <w:rsid w:val="00EF6481"/>
    <w:rsid w:val="00EF66B9"/>
    <w:rsid w:val="00EF6FA6"/>
    <w:rsid w:val="00F05792"/>
    <w:rsid w:val="00F05B22"/>
    <w:rsid w:val="00F12911"/>
    <w:rsid w:val="00F136C3"/>
    <w:rsid w:val="00F157B0"/>
    <w:rsid w:val="00F17BB7"/>
    <w:rsid w:val="00F200B7"/>
    <w:rsid w:val="00F20869"/>
    <w:rsid w:val="00F20FC8"/>
    <w:rsid w:val="00F22D98"/>
    <w:rsid w:val="00F236AB"/>
    <w:rsid w:val="00F23D19"/>
    <w:rsid w:val="00F262A3"/>
    <w:rsid w:val="00F33029"/>
    <w:rsid w:val="00F34E2F"/>
    <w:rsid w:val="00F36031"/>
    <w:rsid w:val="00F4072D"/>
    <w:rsid w:val="00F4221B"/>
    <w:rsid w:val="00F4304F"/>
    <w:rsid w:val="00F43B95"/>
    <w:rsid w:val="00F46CBE"/>
    <w:rsid w:val="00F51363"/>
    <w:rsid w:val="00F5333D"/>
    <w:rsid w:val="00F53DDE"/>
    <w:rsid w:val="00F54E65"/>
    <w:rsid w:val="00F56549"/>
    <w:rsid w:val="00F608BB"/>
    <w:rsid w:val="00F6197E"/>
    <w:rsid w:val="00F65447"/>
    <w:rsid w:val="00F658F5"/>
    <w:rsid w:val="00F67831"/>
    <w:rsid w:val="00F70A27"/>
    <w:rsid w:val="00F732D5"/>
    <w:rsid w:val="00F736FD"/>
    <w:rsid w:val="00F80802"/>
    <w:rsid w:val="00F85E0E"/>
    <w:rsid w:val="00F863F2"/>
    <w:rsid w:val="00F86D36"/>
    <w:rsid w:val="00F9043F"/>
    <w:rsid w:val="00F916BA"/>
    <w:rsid w:val="00F95010"/>
    <w:rsid w:val="00FA1DAE"/>
    <w:rsid w:val="00FA1FA8"/>
    <w:rsid w:val="00FA2081"/>
    <w:rsid w:val="00FA20A1"/>
    <w:rsid w:val="00FA3D2F"/>
    <w:rsid w:val="00FA6094"/>
    <w:rsid w:val="00FA70E7"/>
    <w:rsid w:val="00FA72A5"/>
    <w:rsid w:val="00FB2C84"/>
    <w:rsid w:val="00FB5A7C"/>
    <w:rsid w:val="00FB5C65"/>
    <w:rsid w:val="00FB6F66"/>
    <w:rsid w:val="00FB7A62"/>
    <w:rsid w:val="00FC1ED2"/>
    <w:rsid w:val="00FC26B5"/>
    <w:rsid w:val="00FC5491"/>
    <w:rsid w:val="00FC760F"/>
    <w:rsid w:val="00FD144B"/>
    <w:rsid w:val="00FD30B3"/>
    <w:rsid w:val="00FD30FF"/>
    <w:rsid w:val="00FD599B"/>
    <w:rsid w:val="00FD7AFF"/>
    <w:rsid w:val="00FE06E7"/>
    <w:rsid w:val="00FE0BA1"/>
    <w:rsid w:val="00FE4D4E"/>
    <w:rsid w:val="00FE4F1C"/>
    <w:rsid w:val="00FE5134"/>
    <w:rsid w:val="00FE5206"/>
    <w:rsid w:val="00FE543B"/>
    <w:rsid w:val="00FF7BCC"/>
    <w:rsid w:val="010B094E"/>
    <w:rsid w:val="01351016"/>
    <w:rsid w:val="01517A09"/>
    <w:rsid w:val="01571106"/>
    <w:rsid w:val="01752D51"/>
    <w:rsid w:val="017975A4"/>
    <w:rsid w:val="0186501F"/>
    <w:rsid w:val="018D5D32"/>
    <w:rsid w:val="01DD250A"/>
    <w:rsid w:val="01FC64FB"/>
    <w:rsid w:val="024F018A"/>
    <w:rsid w:val="026929FF"/>
    <w:rsid w:val="02741132"/>
    <w:rsid w:val="028019EA"/>
    <w:rsid w:val="02841FD6"/>
    <w:rsid w:val="02A97E39"/>
    <w:rsid w:val="02CF15B4"/>
    <w:rsid w:val="030F46AB"/>
    <w:rsid w:val="036D0DF1"/>
    <w:rsid w:val="03760E31"/>
    <w:rsid w:val="03B150BB"/>
    <w:rsid w:val="03E728AA"/>
    <w:rsid w:val="03ED664A"/>
    <w:rsid w:val="040A123A"/>
    <w:rsid w:val="041E2B0D"/>
    <w:rsid w:val="041E54FA"/>
    <w:rsid w:val="043208F6"/>
    <w:rsid w:val="043764FF"/>
    <w:rsid w:val="043E3FAE"/>
    <w:rsid w:val="04741D01"/>
    <w:rsid w:val="0483554C"/>
    <w:rsid w:val="049E0F81"/>
    <w:rsid w:val="04A237DA"/>
    <w:rsid w:val="04B54C82"/>
    <w:rsid w:val="04BD5452"/>
    <w:rsid w:val="04C4684B"/>
    <w:rsid w:val="04DE1A2F"/>
    <w:rsid w:val="04E0758D"/>
    <w:rsid w:val="04E9536D"/>
    <w:rsid w:val="04F54E15"/>
    <w:rsid w:val="050D5D58"/>
    <w:rsid w:val="0539426F"/>
    <w:rsid w:val="054C5166"/>
    <w:rsid w:val="055B528B"/>
    <w:rsid w:val="05670FDF"/>
    <w:rsid w:val="057144B6"/>
    <w:rsid w:val="05A62BEE"/>
    <w:rsid w:val="05AC1851"/>
    <w:rsid w:val="05B11D69"/>
    <w:rsid w:val="05EC5E79"/>
    <w:rsid w:val="05F576F1"/>
    <w:rsid w:val="05FB4763"/>
    <w:rsid w:val="061244FF"/>
    <w:rsid w:val="06152582"/>
    <w:rsid w:val="06152BE0"/>
    <w:rsid w:val="062055CC"/>
    <w:rsid w:val="063D4774"/>
    <w:rsid w:val="064D6F2A"/>
    <w:rsid w:val="065E2CDF"/>
    <w:rsid w:val="066E3B5B"/>
    <w:rsid w:val="068315B3"/>
    <w:rsid w:val="06BA2743"/>
    <w:rsid w:val="06BE6CFC"/>
    <w:rsid w:val="06CD662A"/>
    <w:rsid w:val="06FB7859"/>
    <w:rsid w:val="070B7325"/>
    <w:rsid w:val="070E7B89"/>
    <w:rsid w:val="070F65B7"/>
    <w:rsid w:val="07165E14"/>
    <w:rsid w:val="071F5CB8"/>
    <w:rsid w:val="072D57D8"/>
    <w:rsid w:val="072F5DE7"/>
    <w:rsid w:val="07347E2A"/>
    <w:rsid w:val="07590FFD"/>
    <w:rsid w:val="075C73CF"/>
    <w:rsid w:val="07662C4A"/>
    <w:rsid w:val="076B6BC4"/>
    <w:rsid w:val="07720AC5"/>
    <w:rsid w:val="079024B1"/>
    <w:rsid w:val="07A5554D"/>
    <w:rsid w:val="07BE5114"/>
    <w:rsid w:val="07DE7354"/>
    <w:rsid w:val="07EC5CC2"/>
    <w:rsid w:val="07EE1D3D"/>
    <w:rsid w:val="07F12F62"/>
    <w:rsid w:val="080B4815"/>
    <w:rsid w:val="08557604"/>
    <w:rsid w:val="08742405"/>
    <w:rsid w:val="08765A6D"/>
    <w:rsid w:val="087D3F16"/>
    <w:rsid w:val="089F427A"/>
    <w:rsid w:val="08A07814"/>
    <w:rsid w:val="08A50E61"/>
    <w:rsid w:val="08B71D4D"/>
    <w:rsid w:val="08EF7014"/>
    <w:rsid w:val="08F17241"/>
    <w:rsid w:val="091A69D1"/>
    <w:rsid w:val="091F1B26"/>
    <w:rsid w:val="09383D53"/>
    <w:rsid w:val="095255EA"/>
    <w:rsid w:val="095557D8"/>
    <w:rsid w:val="097C74D3"/>
    <w:rsid w:val="09822470"/>
    <w:rsid w:val="09840577"/>
    <w:rsid w:val="09915997"/>
    <w:rsid w:val="09A879BA"/>
    <w:rsid w:val="09AC453A"/>
    <w:rsid w:val="09B430BC"/>
    <w:rsid w:val="09BE05E5"/>
    <w:rsid w:val="09EC1535"/>
    <w:rsid w:val="09F33C67"/>
    <w:rsid w:val="09FF2321"/>
    <w:rsid w:val="0A042D31"/>
    <w:rsid w:val="0A171B56"/>
    <w:rsid w:val="0A1A72AB"/>
    <w:rsid w:val="0A4D33CC"/>
    <w:rsid w:val="0A4E24EB"/>
    <w:rsid w:val="0A5A6246"/>
    <w:rsid w:val="0A642C4E"/>
    <w:rsid w:val="0A681C77"/>
    <w:rsid w:val="0A6D3A51"/>
    <w:rsid w:val="0A7C3F14"/>
    <w:rsid w:val="0A7F4E1A"/>
    <w:rsid w:val="0A864007"/>
    <w:rsid w:val="0A8835CA"/>
    <w:rsid w:val="0ACA5A6E"/>
    <w:rsid w:val="0AD82DCC"/>
    <w:rsid w:val="0B080BFA"/>
    <w:rsid w:val="0B111681"/>
    <w:rsid w:val="0B2F43C1"/>
    <w:rsid w:val="0B5908F0"/>
    <w:rsid w:val="0B5915E4"/>
    <w:rsid w:val="0B8767DF"/>
    <w:rsid w:val="0B9F16EF"/>
    <w:rsid w:val="0BA52CC8"/>
    <w:rsid w:val="0BAE2E65"/>
    <w:rsid w:val="0BB42A98"/>
    <w:rsid w:val="0BDB2ECD"/>
    <w:rsid w:val="0BED00BE"/>
    <w:rsid w:val="0BFC7550"/>
    <w:rsid w:val="0BFD0CEA"/>
    <w:rsid w:val="0C0F5E5F"/>
    <w:rsid w:val="0C1252B8"/>
    <w:rsid w:val="0C25261E"/>
    <w:rsid w:val="0C5D15DD"/>
    <w:rsid w:val="0C6B0824"/>
    <w:rsid w:val="0CDF6BFD"/>
    <w:rsid w:val="0CE83127"/>
    <w:rsid w:val="0CF05C95"/>
    <w:rsid w:val="0CF3194A"/>
    <w:rsid w:val="0D0479CE"/>
    <w:rsid w:val="0D055E72"/>
    <w:rsid w:val="0D0F69E0"/>
    <w:rsid w:val="0D117D19"/>
    <w:rsid w:val="0D3421EA"/>
    <w:rsid w:val="0D3607D1"/>
    <w:rsid w:val="0D37771C"/>
    <w:rsid w:val="0D4760ED"/>
    <w:rsid w:val="0D711699"/>
    <w:rsid w:val="0D737D94"/>
    <w:rsid w:val="0D8C146B"/>
    <w:rsid w:val="0D97788C"/>
    <w:rsid w:val="0DB51D20"/>
    <w:rsid w:val="0DDD6667"/>
    <w:rsid w:val="0DEF4E3A"/>
    <w:rsid w:val="0DF358A2"/>
    <w:rsid w:val="0DF81EF2"/>
    <w:rsid w:val="0DF92A65"/>
    <w:rsid w:val="0E061020"/>
    <w:rsid w:val="0E654CA2"/>
    <w:rsid w:val="0E7F34BF"/>
    <w:rsid w:val="0EB04559"/>
    <w:rsid w:val="0EC451B5"/>
    <w:rsid w:val="0EE439FF"/>
    <w:rsid w:val="0EFD3824"/>
    <w:rsid w:val="0F191FB1"/>
    <w:rsid w:val="0F1A6774"/>
    <w:rsid w:val="0F1B0671"/>
    <w:rsid w:val="0F295CA3"/>
    <w:rsid w:val="0F4F1795"/>
    <w:rsid w:val="0F510323"/>
    <w:rsid w:val="0F523595"/>
    <w:rsid w:val="0F544B1D"/>
    <w:rsid w:val="0F590A0D"/>
    <w:rsid w:val="0F942D1C"/>
    <w:rsid w:val="0FBE10B7"/>
    <w:rsid w:val="0FD325B2"/>
    <w:rsid w:val="0FDD0C5B"/>
    <w:rsid w:val="0FE73532"/>
    <w:rsid w:val="0FF0600C"/>
    <w:rsid w:val="0FF90BC3"/>
    <w:rsid w:val="101314AD"/>
    <w:rsid w:val="103C3356"/>
    <w:rsid w:val="103D2787"/>
    <w:rsid w:val="103D3755"/>
    <w:rsid w:val="103E3E4E"/>
    <w:rsid w:val="107016E9"/>
    <w:rsid w:val="107923F7"/>
    <w:rsid w:val="11320CF3"/>
    <w:rsid w:val="11412247"/>
    <w:rsid w:val="115377A5"/>
    <w:rsid w:val="115637F9"/>
    <w:rsid w:val="1166076F"/>
    <w:rsid w:val="11953524"/>
    <w:rsid w:val="11AA6F50"/>
    <w:rsid w:val="11C806B4"/>
    <w:rsid w:val="11CC1E74"/>
    <w:rsid w:val="12346D0A"/>
    <w:rsid w:val="12482CF7"/>
    <w:rsid w:val="1256649A"/>
    <w:rsid w:val="1269031D"/>
    <w:rsid w:val="12AB7D9F"/>
    <w:rsid w:val="12AC07C0"/>
    <w:rsid w:val="12B10C97"/>
    <w:rsid w:val="12D0036B"/>
    <w:rsid w:val="12D720AC"/>
    <w:rsid w:val="12E36F14"/>
    <w:rsid w:val="12EF3A60"/>
    <w:rsid w:val="12EF3D4D"/>
    <w:rsid w:val="13151215"/>
    <w:rsid w:val="132C3866"/>
    <w:rsid w:val="133A4434"/>
    <w:rsid w:val="134F71D5"/>
    <w:rsid w:val="135350C1"/>
    <w:rsid w:val="138F7FD3"/>
    <w:rsid w:val="13B015C5"/>
    <w:rsid w:val="13D9057D"/>
    <w:rsid w:val="142121F7"/>
    <w:rsid w:val="142B356F"/>
    <w:rsid w:val="1438619F"/>
    <w:rsid w:val="143C195C"/>
    <w:rsid w:val="14456D00"/>
    <w:rsid w:val="144E0F24"/>
    <w:rsid w:val="1468750F"/>
    <w:rsid w:val="1473219D"/>
    <w:rsid w:val="147E62EC"/>
    <w:rsid w:val="1499024E"/>
    <w:rsid w:val="14B71FE1"/>
    <w:rsid w:val="14CA5AF5"/>
    <w:rsid w:val="14E1485C"/>
    <w:rsid w:val="14EB57EE"/>
    <w:rsid w:val="14F6713B"/>
    <w:rsid w:val="15141C55"/>
    <w:rsid w:val="151F3C76"/>
    <w:rsid w:val="153B160D"/>
    <w:rsid w:val="15476157"/>
    <w:rsid w:val="1562305B"/>
    <w:rsid w:val="156A6B04"/>
    <w:rsid w:val="156B576B"/>
    <w:rsid w:val="15730235"/>
    <w:rsid w:val="15773139"/>
    <w:rsid w:val="157D344D"/>
    <w:rsid w:val="15BB362B"/>
    <w:rsid w:val="15BC4236"/>
    <w:rsid w:val="15D66938"/>
    <w:rsid w:val="15DE5797"/>
    <w:rsid w:val="16045F7E"/>
    <w:rsid w:val="16084D64"/>
    <w:rsid w:val="160A084B"/>
    <w:rsid w:val="161A52FA"/>
    <w:rsid w:val="16235F5C"/>
    <w:rsid w:val="16296506"/>
    <w:rsid w:val="162A342B"/>
    <w:rsid w:val="165D19A0"/>
    <w:rsid w:val="166C6FB9"/>
    <w:rsid w:val="167D0BD0"/>
    <w:rsid w:val="168542EA"/>
    <w:rsid w:val="1689195E"/>
    <w:rsid w:val="169B13F4"/>
    <w:rsid w:val="16A60845"/>
    <w:rsid w:val="16A64E9A"/>
    <w:rsid w:val="16AC2D44"/>
    <w:rsid w:val="16AF2614"/>
    <w:rsid w:val="16C12D24"/>
    <w:rsid w:val="16EC4A13"/>
    <w:rsid w:val="16F101FB"/>
    <w:rsid w:val="16F508B4"/>
    <w:rsid w:val="17016E68"/>
    <w:rsid w:val="170727EC"/>
    <w:rsid w:val="17084916"/>
    <w:rsid w:val="17190FB7"/>
    <w:rsid w:val="171F1CC4"/>
    <w:rsid w:val="172443F6"/>
    <w:rsid w:val="17371DEE"/>
    <w:rsid w:val="17714DEB"/>
    <w:rsid w:val="1780598B"/>
    <w:rsid w:val="179C6093"/>
    <w:rsid w:val="17AC2445"/>
    <w:rsid w:val="1830215E"/>
    <w:rsid w:val="1840330A"/>
    <w:rsid w:val="184E58BA"/>
    <w:rsid w:val="186C1E67"/>
    <w:rsid w:val="188B7F5E"/>
    <w:rsid w:val="18B134BA"/>
    <w:rsid w:val="18DF7C4C"/>
    <w:rsid w:val="18F5554D"/>
    <w:rsid w:val="18F8077E"/>
    <w:rsid w:val="18FF43AA"/>
    <w:rsid w:val="19164AD0"/>
    <w:rsid w:val="191C1AE0"/>
    <w:rsid w:val="195046DF"/>
    <w:rsid w:val="19590507"/>
    <w:rsid w:val="195C1E1A"/>
    <w:rsid w:val="196A7B32"/>
    <w:rsid w:val="196B6C52"/>
    <w:rsid w:val="1975113E"/>
    <w:rsid w:val="197874D5"/>
    <w:rsid w:val="19A4516F"/>
    <w:rsid w:val="19AB3D81"/>
    <w:rsid w:val="19BB4090"/>
    <w:rsid w:val="19DA1AF8"/>
    <w:rsid w:val="19DD598F"/>
    <w:rsid w:val="19F61EEA"/>
    <w:rsid w:val="1A2E6FA4"/>
    <w:rsid w:val="1A3124AF"/>
    <w:rsid w:val="1A3416C3"/>
    <w:rsid w:val="1A431508"/>
    <w:rsid w:val="1A4D7A07"/>
    <w:rsid w:val="1A5A6471"/>
    <w:rsid w:val="1A645005"/>
    <w:rsid w:val="1A656C7F"/>
    <w:rsid w:val="1A683242"/>
    <w:rsid w:val="1A6D24F4"/>
    <w:rsid w:val="1A773844"/>
    <w:rsid w:val="1ACE1C68"/>
    <w:rsid w:val="1B460FBA"/>
    <w:rsid w:val="1B5E2F00"/>
    <w:rsid w:val="1B610ED8"/>
    <w:rsid w:val="1B940B1A"/>
    <w:rsid w:val="1B9674E0"/>
    <w:rsid w:val="1BA737F4"/>
    <w:rsid w:val="1BB83431"/>
    <w:rsid w:val="1BC07463"/>
    <w:rsid w:val="1BD51290"/>
    <w:rsid w:val="1BF7045A"/>
    <w:rsid w:val="1BFC0F15"/>
    <w:rsid w:val="1C261E70"/>
    <w:rsid w:val="1C4C7F83"/>
    <w:rsid w:val="1C647970"/>
    <w:rsid w:val="1C7851C9"/>
    <w:rsid w:val="1C991525"/>
    <w:rsid w:val="1CA13151"/>
    <w:rsid w:val="1CC2057A"/>
    <w:rsid w:val="1CCD2967"/>
    <w:rsid w:val="1D0815C2"/>
    <w:rsid w:val="1D1B1917"/>
    <w:rsid w:val="1D1D6D80"/>
    <w:rsid w:val="1D4414F9"/>
    <w:rsid w:val="1D466EE5"/>
    <w:rsid w:val="1D740A3B"/>
    <w:rsid w:val="1D772A03"/>
    <w:rsid w:val="1D815388"/>
    <w:rsid w:val="1D843A64"/>
    <w:rsid w:val="1DAB4D3C"/>
    <w:rsid w:val="1DCB3B09"/>
    <w:rsid w:val="1DEE56AA"/>
    <w:rsid w:val="1E0418FF"/>
    <w:rsid w:val="1E437BF1"/>
    <w:rsid w:val="1E5D1696"/>
    <w:rsid w:val="1E843339"/>
    <w:rsid w:val="1E9E575F"/>
    <w:rsid w:val="1EA25C26"/>
    <w:rsid w:val="1EA4144C"/>
    <w:rsid w:val="1EAF7B09"/>
    <w:rsid w:val="1EC34FA5"/>
    <w:rsid w:val="1ECA6B06"/>
    <w:rsid w:val="1EEC2070"/>
    <w:rsid w:val="1F0F61B1"/>
    <w:rsid w:val="1F451DB1"/>
    <w:rsid w:val="1F6B6BD0"/>
    <w:rsid w:val="1F76782A"/>
    <w:rsid w:val="1F7D6E36"/>
    <w:rsid w:val="1FA657A4"/>
    <w:rsid w:val="1FB44D91"/>
    <w:rsid w:val="200A5F5B"/>
    <w:rsid w:val="2012468D"/>
    <w:rsid w:val="202950DD"/>
    <w:rsid w:val="202F5850"/>
    <w:rsid w:val="203776CF"/>
    <w:rsid w:val="203C4B95"/>
    <w:rsid w:val="204C1C75"/>
    <w:rsid w:val="2052507E"/>
    <w:rsid w:val="2068176D"/>
    <w:rsid w:val="20752580"/>
    <w:rsid w:val="20764F02"/>
    <w:rsid w:val="20945297"/>
    <w:rsid w:val="20AE364B"/>
    <w:rsid w:val="20B02CF6"/>
    <w:rsid w:val="20BE7DC0"/>
    <w:rsid w:val="20C374F5"/>
    <w:rsid w:val="20C42750"/>
    <w:rsid w:val="20E06466"/>
    <w:rsid w:val="20EC2E5A"/>
    <w:rsid w:val="210033BF"/>
    <w:rsid w:val="21976E18"/>
    <w:rsid w:val="21996223"/>
    <w:rsid w:val="21E25983"/>
    <w:rsid w:val="22353B2B"/>
    <w:rsid w:val="22506269"/>
    <w:rsid w:val="2252759B"/>
    <w:rsid w:val="22667E7F"/>
    <w:rsid w:val="22A50B4E"/>
    <w:rsid w:val="22AF7492"/>
    <w:rsid w:val="22B26E48"/>
    <w:rsid w:val="22B84838"/>
    <w:rsid w:val="22D15707"/>
    <w:rsid w:val="22D57870"/>
    <w:rsid w:val="230424F2"/>
    <w:rsid w:val="23095363"/>
    <w:rsid w:val="231879A1"/>
    <w:rsid w:val="231D44C6"/>
    <w:rsid w:val="231D6ABC"/>
    <w:rsid w:val="23312902"/>
    <w:rsid w:val="23586A43"/>
    <w:rsid w:val="235F1A87"/>
    <w:rsid w:val="23617917"/>
    <w:rsid w:val="2369472E"/>
    <w:rsid w:val="237F39B4"/>
    <w:rsid w:val="23816C24"/>
    <w:rsid w:val="2383009A"/>
    <w:rsid w:val="238C44F3"/>
    <w:rsid w:val="23A52A88"/>
    <w:rsid w:val="23B50828"/>
    <w:rsid w:val="23B66052"/>
    <w:rsid w:val="23C47BBC"/>
    <w:rsid w:val="23E56FBD"/>
    <w:rsid w:val="23F12C7E"/>
    <w:rsid w:val="240241AC"/>
    <w:rsid w:val="240979F0"/>
    <w:rsid w:val="240F0804"/>
    <w:rsid w:val="24305A24"/>
    <w:rsid w:val="243802F2"/>
    <w:rsid w:val="246152AD"/>
    <w:rsid w:val="247862BE"/>
    <w:rsid w:val="248F2E41"/>
    <w:rsid w:val="249623ED"/>
    <w:rsid w:val="24CB1FC2"/>
    <w:rsid w:val="24D71651"/>
    <w:rsid w:val="24E1532B"/>
    <w:rsid w:val="24E81E75"/>
    <w:rsid w:val="24EB0BA1"/>
    <w:rsid w:val="250531F5"/>
    <w:rsid w:val="25273933"/>
    <w:rsid w:val="254C40BE"/>
    <w:rsid w:val="254C7CC6"/>
    <w:rsid w:val="256E4FB1"/>
    <w:rsid w:val="25796D6B"/>
    <w:rsid w:val="25897112"/>
    <w:rsid w:val="25BA46F2"/>
    <w:rsid w:val="25CE24B8"/>
    <w:rsid w:val="25D62BC3"/>
    <w:rsid w:val="25E0184B"/>
    <w:rsid w:val="260A5246"/>
    <w:rsid w:val="261772D2"/>
    <w:rsid w:val="26625B2A"/>
    <w:rsid w:val="2699628B"/>
    <w:rsid w:val="26A73B9A"/>
    <w:rsid w:val="26E62026"/>
    <w:rsid w:val="26E9143A"/>
    <w:rsid w:val="270C77C3"/>
    <w:rsid w:val="270E46D8"/>
    <w:rsid w:val="27233C28"/>
    <w:rsid w:val="272D51EB"/>
    <w:rsid w:val="273B5392"/>
    <w:rsid w:val="27473394"/>
    <w:rsid w:val="275F6716"/>
    <w:rsid w:val="276D4C1D"/>
    <w:rsid w:val="276D6E72"/>
    <w:rsid w:val="278456D2"/>
    <w:rsid w:val="27877ADC"/>
    <w:rsid w:val="27A72F5C"/>
    <w:rsid w:val="27C54CE8"/>
    <w:rsid w:val="27D86C64"/>
    <w:rsid w:val="27DB78CF"/>
    <w:rsid w:val="27E92D9F"/>
    <w:rsid w:val="27F15009"/>
    <w:rsid w:val="28113C89"/>
    <w:rsid w:val="28237372"/>
    <w:rsid w:val="282C0647"/>
    <w:rsid w:val="28383D84"/>
    <w:rsid w:val="284A0FF1"/>
    <w:rsid w:val="284F5C9D"/>
    <w:rsid w:val="286E230C"/>
    <w:rsid w:val="289A4FE8"/>
    <w:rsid w:val="28AD2D25"/>
    <w:rsid w:val="28D3381B"/>
    <w:rsid w:val="28EE1ED8"/>
    <w:rsid w:val="28F62399"/>
    <w:rsid w:val="29070822"/>
    <w:rsid w:val="291F3BBE"/>
    <w:rsid w:val="29377B4C"/>
    <w:rsid w:val="294352D5"/>
    <w:rsid w:val="294671E7"/>
    <w:rsid w:val="294D20D6"/>
    <w:rsid w:val="29803AAF"/>
    <w:rsid w:val="298967CF"/>
    <w:rsid w:val="29935FC6"/>
    <w:rsid w:val="29A31F36"/>
    <w:rsid w:val="29A3234A"/>
    <w:rsid w:val="29CF350A"/>
    <w:rsid w:val="29CF71B8"/>
    <w:rsid w:val="2A1C4B4E"/>
    <w:rsid w:val="2A260226"/>
    <w:rsid w:val="2A324BF4"/>
    <w:rsid w:val="2A332DAF"/>
    <w:rsid w:val="2A621B97"/>
    <w:rsid w:val="2A8147D1"/>
    <w:rsid w:val="2A845136"/>
    <w:rsid w:val="2A946151"/>
    <w:rsid w:val="2AA33154"/>
    <w:rsid w:val="2AAA0D81"/>
    <w:rsid w:val="2AB40232"/>
    <w:rsid w:val="2AD0397B"/>
    <w:rsid w:val="2ADE2D18"/>
    <w:rsid w:val="2AE47841"/>
    <w:rsid w:val="2AEF1A4A"/>
    <w:rsid w:val="2AFD155A"/>
    <w:rsid w:val="2B143CA5"/>
    <w:rsid w:val="2B1D4216"/>
    <w:rsid w:val="2B663D76"/>
    <w:rsid w:val="2BA96387"/>
    <w:rsid w:val="2BB64B2C"/>
    <w:rsid w:val="2BE40D53"/>
    <w:rsid w:val="2BE41156"/>
    <w:rsid w:val="2BF35741"/>
    <w:rsid w:val="2BF36CEB"/>
    <w:rsid w:val="2BF459EB"/>
    <w:rsid w:val="2C0F3BEA"/>
    <w:rsid w:val="2C1E763E"/>
    <w:rsid w:val="2C2004CD"/>
    <w:rsid w:val="2C2D4594"/>
    <w:rsid w:val="2C401128"/>
    <w:rsid w:val="2C536C69"/>
    <w:rsid w:val="2C617A4D"/>
    <w:rsid w:val="2C770F4E"/>
    <w:rsid w:val="2C806FB5"/>
    <w:rsid w:val="2C8B6C1C"/>
    <w:rsid w:val="2CC6499F"/>
    <w:rsid w:val="2CDD594E"/>
    <w:rsid w:val="2CED0D73"/>
    <w:rsid w:val="2D044988"/>
    <w:rsid w:val="2D1170D9"/>
    <w:rsid w:val="2D290BD2"/>
    <w:rsid w:val="2D306BEE"/>
    <w:rsid w:val="2D31356F"/>
    <w:rsid w:val="2D4A4B7C"/>
    <w:rsid w:val="2D54655C"/>
    <w:rsid w:val="2D684A45"/>
    <w:rsid w:val="2D722C6C"/>
    <w:rsid w:val="2D8F594D"/>
    <w:rsid w:val="2D976D39"/>
    <w:rsid w:val="2DC652D0"/>
    <w:rsid w:val="2DD81BF2"/>
    <w:rsid w:val="2DFB3CAB"/>
    <w:rsid w:val="2E1F05B0"/>
    <w:rsid w:val="2E273A99"/>
    <w:rsid w:val="2E3B4CF8"/>
    <w:rsid w:val="2E79281B"/>
    <w:rsid w:val="2E800178"/>
    <w:rsid w:val="2E84761D"/>
    <w:rsid w:val="2ED37C9F"/>
    <w:rsid w:val="2ED65A68"/>
    <w:rsid w:val="2EEB11AA"/>
    <w:rsid w:val="2EEE548D"/>
    <w:rsid w:val="2F1E0131"/>
    <w:rsid w:val="2F4C667E"/>
    <w:rsid w:val="2F5B2C2F"/>
    <w:rsid w:val="2F615964"/>
    <w:rsid w:val="2F7373E2"/>
    <w:rsid w:val="2FC12B14"/>
    <w:rsid w:val="300D4BEB"/>
    <w:rsid w:val="301D5FE0"/>
    <w:rsid w:val="30281BE6"/>
    <w:rsid w:val="30316E1F"/>
    <w:rsid w:val="303A0A37"/>
    <w:rsid w:val="30870046"/>
    <w:rsid w:val="308D4FA9"/>
    <w:rsid w:val="30C66F42"/>
    <w:rsid w:val="30DB4233"/>
    <w:rsid w:val="30DC5FCD"/>
    <w:rsid w:val="30DD697B"/>
    <w:rsid w:val="30ED531C"/>
    <w:rsid w:val="310155A8"/>
    <w:rsid w:val="3137510D"/>
    <w:rsid w:val="314F6D01"/>
    <w:rsid w:val="31531F0D"/>
    <w:rsid w:val="315A38DE"/>
    <w:rsid w:val="3173454C"/>
    <w:rsid w:val="31793F5A"/>
    <w:rsid w:val="31A04156"/>
    <w:rsid w:val="31D124A1"/>
    <w:rsid w:val="31F1423A"/>
    <w:rsid w:val="320B5C3E"/>
    <w:rsid w:val="32226E24"/>
    <w:rsid w:val="322C0A36"/>
    <w:rsid w:val="323E3A9D"/>
    <w:rsid w:val="326B1EA1"/>
    <w:rsid w:val="32A26665"/>
    <w:rsid w:val="32C70757"/>
    <w:rsid w:val="32CF2F49"/>
    <w:rsid w:val="32E728E9"/>
    <w:rsid w:val="33034EE7"/>
    <w:rsid w:val="331617B9"/>
    <w:rsid w:val="332961A8"/>
    <w:rsid w:val="332A7F49"/>
    <w:rsid w:val="33342C15"/>
    <w:rsid w:val="3385049D"/>
    <w:rsid w:val="338D6A86"/>
    <w:rsid w:val="33A2061F"/>
    <w:rsid w:val="33A46D1A"/>
    <w:rsid w:val="340F1AD2"/>
    <w:rsid w:val="34285604"/>
    <w:rsid w:val="342E1A49"/>
    <w:rsid w:val="3472744B"/>
    <w:rsid w:val="348651BC"/>
    <w:rsid w:val="348F514A"/>
    <w:rsid w:val="349973D4"/>
    <w:rsid w:val="349B1F71"/>
    <w:rsid w:val="34B9529E"/>
    <w:rsid w:val="34C20E8B"/>
    <w:rsid w:val="34E04320"/>
    <w:rsid w:val="34ED4990"/>
    <w:rsid w:val="34EF5757"/>
    <w:rsid w:val="35001896"/>
    <w:rsid w:val="350F39AD"/>
    <w:rsid w:val="352B3990"/>
    <w:rsid w:val="35350C30"/>
    <w:rsid w:val="358C5895"/>
    <w:rsid w:val="358D4D9C"/>
    <w:rsid w:val="359313CA"/>
    <w:rsid w:val="35C07A3B"/>
    <w:rsid w:val="35CA6E49"/>
    <w:rsid w:val="35E770B1"/>
    <w:rsid w:val="35EB0304"/>
    <w:rsid w:val="35ED5576"/>
    <w:rsid w:val="35F55D16"/>
    <w:rsid w:val="35F828B8"/>
    <w:rsid w:val="3627010F"/>
    <w:rsid w:val="36345037"/>
    <w:rsid w:val="3649353D"/>
    <w:rsid w:val="36640E31"/>
    <w:rsid w:val="36764DCF"/>
    <w:rsid w:val="368E5759"/>
    <w:rsid w:val="36CC1F48"/>
    <w:rsid w:val="36CC5153"/>
    <w:rsid w:val="36E339F0"/>
    <w:rsid w:val="37161AEC"/>
    <w:rsid w:val="37164D93"/>
    <w:rsid w:val="37284BBF"/>
    <w:rsid w:val="377D441E"/>
    <w:rsid w:val="37903540"/>
    <w:rsid w:val="3799683C"/>
    <w:rsid w:val="37AB7D73"/>
    <w:rsid w:val="37B95722"/>
    <w:rsid w:val="37CE3B6E"/>
    <w:rsid w:val="37D76DB8"/>
    <w:rsid w:val="37E340D5"/>
    <w:rsid w:val="3810380F"/>
    <w:rsid w:val="38272192"/>
    <w:rsid w:val="382C6761"/>
    <w:rsid w:val="382F584F"/>
    <w:rsid w:val="38321C52"/>
    <w:rsid w:val="383770A5"/>
    <w:rsid w:val="38377EC9"/>
    <w:rsid w:val="38881491"/>
    <w:rsid w:val="38902F63"/>
    <w:rsid w:val="38937799"/>
    <w:rsid w:val="38AC53F9"/>
    <w:rsid w:val="38AE33D1"/>
    <w:rsid w:val="38C2712E"/>
    <w:rsid w:val="38C933D0"/>
    <w:rsid w:val="38E938C8"/>
    <w:rsid w:val="38EC76F5"/>
    <w:rsid w:val="38FE3E72"/>
    <w:rsid w:val="39201FB2"/>
    <w:rsid w:val="392B5375"/>
    <w:rsid w:val="392C050A"/>
    <w:rsid w:val="394133C4"/>
    <w:rsid w:val="39701147"/>
    <w:rsid w:val="397E01CF"/>
    <w:rsid w:val="39974CBF"/>
    <w:rsid w:val="39A64434"/>
    <w:rsid w:val="39DC5AE0"/>
    <w:rsid w:val="39E00AD9"/>
    <w:rsid w:val="39E560E0"/>
    <w:rsid w:val="39ED5667"/>
    <w:rsid w:val="3A1734BB"/>
    <w:rsid w:val="3A1E0E3E"/>
    <w:rsid w:val="3A2A6F87"/>
    <w:rsid w:val="3A345BC1"/>
    <w:rsid w:val="3A3703F9"/>
    <w:rsid w:val="3A421DAA"/>
    <w:rsid w:val="3A4F584E"/>
    <w:rsid w:val="3A6245F6"/>
    <w:rsid w:val="3A9E34A5"/>
    <w:rsid w:val="3AAC7BA4"/>
    <w:rsid w:val="3ACF2D6D"/>
    <w:rsid w:val="3AD62023"/>
    <w:rsid w:val="3ADF3963"/>
    <w:rsid w:val="3B1D4EED"/>
    <w:rsid w:val="3B2D6B07"/>
    <w:rsid w:val="3B4D6D7B"/>
    <w:rsid w:val="3B5D02E3"/>
    <w:rsid w:val="3B6B34A3"/>
    <w:rsid w:val="3B9162A0"/>
    <w:rsid w:val="3B993A35"/>
    <w:rsid w:val="3BC25435"/>
    <w:rsid w:val="3BEB75A9"/>
    <w:rsid w:val="3C0C59F6"/>
    <w:rsid w:val="3C1E465B"/>
    <w:rsid w:val="3CA578E5"/>
    <w:rsid w:val="3CB839AD"/>
    <w:rsid w:val="3CF20922"/>
    <w:rsid w:val="3D040FD2"/>
    <w:rsid w:val="3D0467C1"/>
    <w:rsid w:val="3D5736B0"/>
    <w:rsid w:val="3D5A63B2"/>
    <w:rsid w:val="3D646729"/>
    <w:rsid w:val="3D762525"/>
    <w:rsid w:val="3D98059B"/>
    <w:rsid w:val="3D9A10CD"/>
    <w:rsid w:val="3DA11275"/>
    <w:rsid w:val="3DC40E6B"/>
    <w:rsid w:val="3DC8523D"/>
    <w:rsid w:val="3DF56AFB"/>
    <w:rsid w:val="3DFA733B"/>
    <w:rsid w:val="3E107561"/>
    <w:rsid w:val="3E175077"/>
    <w:rsid w:val="3E406B77"/>
    <w:rsid w:val="3E667BAE"/>
    <w:rsid w:val="3E820AA3"/>
    <w:rsid w:val="3E912FD0"/>
    <w:rsid w:val="3E921944"/>
    <w:rsid w:val="3EAC23FC"/>
    <w:rsid w:val="3EC520A6"/>
    <w:rsid w:val="3ED50B71"/>
    <w:rsid w:val="3EFE757A"/>
    <w:rsid w:val="3F04196D"/>
    <w:rsid w:val="3F0F62E6"/>
    <w:rsid w:val="3F3F09D6"/>
    <w:rsid w:val="3F5035B4"/>
    <w:rsid w:val="3F5E797C"/>
    <w:rsid w:val="3F656331"/>
    <w:rsid w:val="3FC9355F"/>
    <w:rsid w:val="40214373"/>
    <w:rsid w:val="403D5417"/>
    <w:rsid w:val="4048145A"/>
    <w:rsid w:val="4056520F"/>
    <w:rsid w:val="40657AAF"/>
    <w:rsid w:val="40961229"/>
    <w:rsid w:val="409A05F9"/>
    <w:rsid w:val="409B353C"/>
    <w:rsid w:val="40B145C5"/>
    <w:rsid w:val="40D67608"/>
    <w:rsid w:val="40E25C04"/>
    <w:rsid w:val="40E552E4"/>
    <w:rsid w:val="41047709"/>
    <w:rsid w:val="410B27A3"/>
    <w:rsid w:val="41217695"/>
    <w:rsid w:val="41222AEF"/>
    <w:rsid w:val="4125037C"/>
    <w:rsid w:val="41472380"/>
    <w:rsid w:val="415354D1"/>
    <w:rsid w:val="41555E70"/>
    <w:rsid w:val="415E238E"/>
    <w:rsid w:val="415F132D"/>
    <w:rsid w:val="418F2040"/>
    <w:rsid w:val="41907C62"/>
    <w:rsid w:val="41930D1A"/>
    <w:rsid w:val="419F3290"/>
    <w:rsid w:val="41AC50F2"/>
    <w:rsid w:val="41B407D4"/>
    <w:rsid w:val="41EA5032"/>
    <w:rsid w:val="41FC0930"/>
    <w:rsid w:val="4224788C"/>
    <w:rsid w:val="424C1040"/>
    <w:rsid w:val="428340F1"/>
    <w:rsid w:val="428B3283"/>
    <w:rsid w:val="42B235C1"/>
    <w:rsid w:val="42B2702B"/>
    <w:rsid w:val="42E16C65"/>
    <w:rsid w:val="42EB1C44"/>
    <w:rsid w:val="42F06ADE"/>
    <w:rsid w:val="431260BD"/>
    <w:rsid w:val="43164A43"/>
    <w:rsid w:val="433F5A39"/>
    <w:rsid w:val="434315B8"/>
    <w:rsid w:val="43494EF6"/>
    <w:rsid w:val="434A0065"/>
    <w:rsid w:val="43CD546A"/>
    <w:rsid w:val="43D94BB8"/>
    <w:rsid w:val="440C0A16"/>
    <w:rsid w:val="44366F2B"/>
    <w:rsid w:val="444C2577"/>
    <w:rsid w:val="44547298"/>
    <w:rsid w:val="445B63FE"/>
    <w:rsid w:val="44675017"/>
    <w:rsid w:val="446B3DCC"/>
    <w:rsid w:val="44D24AA0"/>
    <w:rsid w:val="44EB1D8C"/>
    <w:rsid w:val="44F1566E"/>
    <w:rsid w:val="45004359"/>
    <w:rsid w:val="450771EF"/>
    <w:rsid w:val="451A1A9E"/>
    <w:rsid w:val="456564B5"/>
    <w:rsid w:val="457A5EF9"/>
    <w:rsid w:val="45A72138"/>
    <w:rsid w:val="45A96964"/>
    <w:rsid w:val="45B164C2"/>
    <w:rsid w:val="45BE62AB"/>
    <w:rsid w:val="45FC5650"/>
    <w:rsid w:val="460133E9"/>
    <w:rsid w:val="460D47A5"/>
    <w:rsid w:val="46120C85"/>
    <w:rsid w:val="46162057"/>
    <w:rsid w:val="46216337"/>
    <w:rsid w:val="46274C08"/>
    <w:rsid w:val="463F6118"/>
    <w:rsid w:val="4640523E"/>
    <w:rsid w:val="46433B6F"/>
    <w:rsid w:val="46443112"/>
    <w:rsid w:val="46682FAF"/>
    <w:rsid w:val="466C454D"/>
    <w:rsid w:val="46744C93"/>
    <w:rsid w:val="468C73DC"/>
    <w:rsid w:val="469F4D11"/>
    <w:rsid w:val="46A34031"/>
    <w:rsid w:val="46B26DDF"/>
    <w:rsid w:val="46BF3842"/>
    <w:rsid w:val="46DF448E"/>
    <w:rsid w:val="46E51508"/>
    <w:rsid w:val="46F31815"/>
    <w:rsid w:val="46F4409F"/>
    <w:rsid w:val="46FD1D53"/>
    <w:rsid w:val="471B55E6"/>
    <w:rsid w:val="47251654"/>
    <w:rsid w:val="47625BB2"/>
    <w:rsid w:val="477B3309"/>
    <w:rsid w:val="477F1A13"/>
    <w:rsid w:val="47851F39"/>
    <w:rsid w:val="47AE05AA"/>
    <w:rsid w:val="47C17A67"/>
    <w:rsid w:val="47C94621"/>
    <w:rsid w:val="47DA6D05"/>
    <w:rsid w:val="47EA7B5F"/>
    <w:rsid w:val="47FF43FC"/>
    <w:rsid w:val="48424EB2"/>
    <w:rsid w:val="485A3457"/>
    <w:rsid w:val="485E035D"/>
    <w:rsid w:val="48696CAD"/>
    <w:rsid w:val="48723746"/>
    <w:rsid w:val="48752CC8"/>
    <w:rsid w:val="488C3D84"/>
    <w:rsid w:val="48C76FF8"/>
    <w:rsid w:val="48DA74C7"/>
    <w:rsid w:val="48EA102A"/>
    <w:rsid w:val="493422EA"/>
    <w:rsid w:val="49375BF6"/>
    <w:rsid w:val="493A33ED"/>
    <w:rsid w:val="497B5296"/>
    <w:rsid w:val="4985213C"/>
    <w:rsid w:val="49904267"/>
    <w:rsid w:val="49936468"/>
    <w:rsid w:val="499D09B0"/>
    <w:rsid w:val="49A83E14"/>
    <w:rsid w:val="49AF6973"/>
    <w:rsid w:val="4A0D0944"/>
    <w:rsid w:val="4A49293F"/>
    <w:rsid w:val="4A500C79"/>
    <w:rsid w:val="4A68765F"/>
    <w:rsid w:val="4AD8448B"/>
    <w:rsid w:val="4AE15FB4"/>
    <w:rsid w:val="4AF7197E"/>
    <w:rsid w:val="4B0F063B"/>
    <w:rsid w:val="4B1367B9"/>
    <w:rsid w:val="4B1B3D46"/>
    <w:rsid w:val="4B2F6B91"/>
    <w:rsid w:val="4B7B1C5A"/>
    <w:rsid w:val="4B855455"/>
    <w:rsid w:val="4BB27468"/>
    <w:rsid w:val="4BBA3C11"/>
    <w:rsid w:val="4BBF56BF"/>
    <w:rsid w:val="4BC23EAE"/>
    <w:rsid w:val="4BCA7C45"/>
    <w:rsid w:val="4BDE3F50"/>
    <w:rsid w:val="4BE60E22"/>
    <w:rsid w:val="4BEE638F"/>
    <w:rsid w:val="4BF1750D"/>
    <w:rsid w:val="4C0A67A7"/>
    <w:rsid w:val="4C2E5F34"/>
    <w:rsid w:val="4C39659B"/>
    <w:rsid w:val="4C58104F"/>
    <w:rsid w:val="4C626096"/>
    <w:rsid w:val="4C632C63"/>
    <w:rsid w:val="4C722B10"/>
    <w:rsid w:val="4C8663D7"/>
    <w:rsid w:val="4C880639"/>
    <w:rsid w:val="4C894BAB"/>
    <w:rsid w:val="4C967FA7"/>
    <w:rsid w:val="4CCB3956"/>
    <w:rsid w:val="4CCD08FB"/>
    <w:rsid w:val="4CD35610"/>
    <w:rsid w:val="4CD64FA3"/>
    <w:rsid w:val="4CF51268"/>
    <w:rsid w:val="4D261811"/>
    <w:rsid w:val="4D2A61CB"/>
    <w:rsid w:val="4D2F15C4"/>
    <w:rsid w:val="4D3E4CAB"/>
    <w:rsid w:val="4D643AAE"/>
    <w:rsid w:val="4D643DA5"/>
    <w:rsid w:val="4D66461C"/>
    <w:rsid w:val="4D9D4D14"/>
    <w:rsid w:val="4DCD0761"/>
    <w:rsid w:val="4E49359F"/>
    <w:rsid w:val="4E4A05ED"/>
    <w:rsid w:val="4E4D7DEC"/>
    <w:rsid w:val="4E9B34C9"/>
    <w:rsid w:val="4E9C4752"/>
    <w:rsid w:val="4EA0597F"/>
    <w:rsid w:val="4EA401A1"/>
    <w:rsid w:val="4EB73A02"/>
    <w:rsid w:val="4EC004B7"/>
    <w:rsid w:val="4ED65A3A"/>
    <w:rsid w:val="4F0907D1"/>
    <w:rsid w:val="4F0C7CF7"/>
    <w:rsid w:val="4F0E3064"/>
    <w:rsid w:val="4F0F3ED3"/>
    <w:rsid w:val="4F32611D"/>
    <w:rsid w:val="4F4E01B3"/>
    <w:rsid w:val="4F5F7B93"/>
    <w:rsid w:val="4F810427"/>
    <w:rsid w:val="4F966257"/>
    <w:rsid w:val="4FB52290"/>
    <w:rsid w:val="4FCC1D4D"/>
    <w:rsid w:val="4FD43E44"/>
    <w:rsid w:val="4FF921A2"/>
    <w:rsid w:val="5014646B"/>
    <w:rsid w:val="501A7335"/>
    <w:rsid w:val="50237389"/>
    <w:rsid w:val="5024701E"/>
    <w:rsid w:val="5036031C"/>
    <w:rsid w:val="505C637E"/>
    <w:rsid w:val="505E63D8"/>
    <w:rsid w:val="507037CC"/>
    <w:rsid w:val="507C2B30"/>
    <w:rsid w:val="507F18C4"/>
    <w:rsid w:val="50E65A2D"/>
    <w:rsid w:val="50EC0CEE"/>
    <w:rsid w:val="50EE45CA"/>
    <w:rsid w:val="510F7046"/>
    <w:rsid w:val="5112409D"/>
    <w:rsid w:val="511453A1"/>
    <w:rsid w:val="51640797"/>
    <w:rsid w:val="5186431B"/>
    <w:rsid w:val="52281C2F"/>
    <w:rsid w:val="523205D6"/>
    <w:rsid w:val="5243753B"/>
    <w:rsid w:val="5245158C"/>
    <w:rsid w:val="525A6C7D"/>
    <w:rsid w:val="52846701"/>
    <w:rsid w:val="528E19D1"/>
    <w:rsid w:val="52D11F6C"/>
    <w:rsid w:val="52D66E8E"/>
    <w:rsid w:val="52E86FCB"/>
    <w:rsid w:val="52F456D2"/>
    <w:rsid w:val="530B1DCC"/>
    <w:rsid w:val="530D53EB"/>
    <w:rsid w:val="53690196"/>
    <w:rsid w:val="538E7FD3"/>
    <w:rsid w:val="53AA1FDC"/>
    <w:rsid w:val="53D72180"/>
    <w:rsid w:val="54113878"/>
    <w:rsid w:val="54372E53"/>
    <w:rsid w:val="54411EB4"/>
    <w:rsid w:val="54635661"/>
    <w:rsid w:val="548B5FC1"/>
    <w:rsid w:val="54A74053"/>
    <w:rsid w:val="54C61C25"/>
    <w:rsid w:val="54CA53C2"/>
    <w:rsid w:val="54CB246C"/>
    <w:rsid w:val="54D200D4"/>
    <w:rsid w:val="54F11CBF"/>
    <w:rsid w:val="552208E3"/>
    <w:rsid w:val="552619D7"/>
    <w:rsid w:val="55462A3D"/>
    <w:rsid w:val="557A4C99"/>
    <w:rsid w:val="557F2904"/>
    <w:rsid w:val="55B20452"/>
    <w:rsid w:val="55CC31D4"/>
    <w:rsid w:val="55E13750"/>
    <w:rsid w:val="55E9132B"/>
    <w:rsid w:val="55FE1201"/>
    <w:rsid w:val="560C43D2"/>
    <w:rsid w:val="561C7810"/>
    <w:rsid w:val="562D0E76"/>
    <w:rsid w:val="562F3BF3"/>
    <w:rsid w:val="566B1F8E"/>
    <w:rsid w:val="567015E4"/>
    <w:rsid w:val="56781690"/>
    <w:rsid w:val="567D764F"/>
    <w:rsid w:val="56930229"/>
    <w:rsid w:val="56A22DED"/>
    <w:rsid w:val="56BB016B"/>
    <w:rsid w:val="56CE4BFD"/>
    <w:rsid w:val="56E72F91"/>
    <w:rsid w:val="56F74190"/>
    <w:rsid w:val="571647C5"/>
    <w:rsid w:val="57746489"/>
    <w:rsid w:val="577F481A"/>
    <w:rsid w:val="578111A0"/>
    <w:rsid w:val="579F151F"/>
    <w:rsid w:val="57AA1C33"/>
    <w:rsid w:val="57AB7D0B"/>
    <w:rsid w:val="57ED2758"/>
    <w:rsid w:val="58050F29"/>
    <w:rsid w:val="582628F7"/>
    <w:rsid w:val="58434D92"/>
    <w:rsid w:val="58622F88"/>
    <w:rsid w:val="58780E10"/>
    <w:rsid w:val="5895761A"/>
    <w:rsid w:val="58A4787A"/>
    <w:rsid w:val="58B31658"/>
    <w:rsid w:val="58BB5C34"/>
    <w:rsid w:val="58D33D79"/>
    <w:rsid w:val="58D974A5"/>
    <w:rsid w:val="58EB2793"/>
    <w:rsid w:val="58F11142"/>
    <w:rsid w:val="59014C2E"/>
    <w:rsid w:val="591207B3"/>
    <w:rsid w:val="59160DEC"/>
    <w:rsid w:val="59192B20"/>
    <w:rsid w:val="591A55A7"/>
    <w:rsid w:val="59212569"/>
    <w:rsid w:val="593B0C8A"/>
    <w:rsid w:val="59475C44"/>
    <w:rsid w:val="595F0C2D"/>
    <w:rsid w:val="597F201A"/>
    <w:rsid w:val="59A03EDE"/>
    <w:rsid w:val="59A07AC0"/>
    <w:rsid w:val="59E61814"/>
    <w:rsid w:val="59E81625"/>
    <w:rsid w:val="5A266078"/>
    <w:rsid w:val="5A385532"/>
    <w:rsid w:val="5A4F4825"/>
    <w:rsid w:val="5A590379"/>
    <w:rsid w:val="5A661F13"/>
    <w:rsid w:val="5A6E5882"/>
    <w:rsid w:val="5A8B713C"/>
    <w:rsid w:val="5AA339B1"/>
    <w:rsid w:val="5B030D07"/>
    <w:rsid w:val="5B092BBB"/>
    <w:rsid w:val="5B3D5E56"/>
    <w:rsid w:val="5B5848CE"/>
    <w:rsid w:val="5B68200C"/>
    <w:rsid w:val="5B8B05B4"/>
    <w:rsid w:val="5B913D4A"/>
    <w:rsid w:val="5B937A18"/>
    <w:rsid w:val="5B9E3A7E"/>
    <w:rsid w:val="5BB943D0"/>
    <w:rsid w:val="5BCE0BBE"/>
    <w:rsid w:val="5BF84988"/>
    <w:rsid w:val="5C301B0D"/>
    <w:rsid w:val="5C440275"/>
    <w:rsid w:val="5C745B1B"/>
    <w:rsid w:val="5CC1261E"/>
    <w:rsid w:val="5CDF6B87"/>
    <w:rsid w:val="5CE67DEB"/>
    <w:rsid w:val="5D00424E"/>
    <w:rsid w:val="5D082CA8"/>
    <w:rsid w:val="5D180872"/>
    <w:rsid w:val="5D3B1D9D"/>
    <w:rsid w:val="5D4445EC"/>
    <w:rsid w:val="5D55084D"/>
    <w:rsid w:val="5DB004C1"/>
    <w:rsid w:val="5DB96925"/>
    <w:rsid w:val="5DCD0B07"/>
    <w:rsid w:val="5DED7038"/>
    <w:rsid w:val="5E0660C6"/>
    <w:rsid w:val="5E095650"/>
    <w:rsid w:val="5E236F88"/>
    <w:rsid w:val="5E2D275A"/>
    <w:rsid w:val="5E5011F1"/>
    <w:rsid w:val="5E5B1502"/>
    <w:rsid w:val="5E695F12"/>
    <w:rsid w:val="5E742035"/>
    <w:rsid w:val="5E77529C"/>
    <w:rsid w:val="5E7B041E"/>
    <w:rsid w:val="5E7E36E2"/>
    <w:rsid w:val="5E82401C"/>
    <w:rsid w:val="5E871DB4"/>
    <w:rsid w:val="5E8F5718"/>
    <w:rsid w:val="5E906ED0"/>
    <w:rsid w:val="5EB91A43"/>
    <w:rsid w:val="5EC06B0A"/>
    <w:rsid w:val="5ED432A4"/>
    <w:rsid w:val="5EEE3070"/>
    <w:rsid w:val="5F0F3CA2"/>
    <w:rsid w:val="5F2723A4"/>
    <w:rsid w:val="5F452AF3"/>
    <w:rsid w:val="5F597CB5"/>
    <w:rsid w:val="5F841BF9"/>
    <w:rsid w:val="5F8C712D"/>
    <w:rsid w:val="5FA57823"/>
    <w:rsid w:val="5FB713A2"/>
    <w:rsid w:val="5FC74D03"/>
    <w:rsid w:val="5FD35251"/>
    <w:rsid w:val="5FE94798"/>
    <w:rsid w:val="5FF45B68"/>
    <w:rsid w:val="60276841"/>
    <w:rsid w:val="603A11F0"/>
    <w:rsid w:val="60456C21"/>
    <w:rsid w:val="60684388"/>
    <w:rsid w:val="606F0754"/>
    <w:rsid w:val="607E3555"/>
    <w:rsid w:val="609F0817"/>
    <w:rsid w:val="60A719A3"/>
    <w:rsid w:val="60AD04D0"/>
    <w:rsid w:val="60BE192C"/>
    <w:rsid w:val="60D05C4E"/>
    <w:rsid w:val="60D6069A"/>
    <w:rsid w:val="60DD4F76"/>
    <w:rsid w:val="60E01D5A"/>
    <w:rsid w:val="60EB1859"/>
    <w:rsid w:val="60FE4448"/>
    <w:rsid w:val="61005EB0"/>
    <w:rsid w:val="61073BA1"/>
    <w:rsid w:val="611F397F"/>
    <w:rsid w:val="612B681D"/>
    <w:rsid w:val="61700EFA"/>
    <w:rsid w:val="617C3FB0"/>
    <w:rsid w:val="618A2AE1"/>
    <w:rsid w:val="618C4F52"/>
    <w:rsid w:val="61D84114"/>
    <w:rsid w:val="61EB4661"/>
    <w:rsid w:val="62107454"/>
    <w:rsid w:val="62334F52"/>
    <w:rsid w:val="624A5567"/>
    <w:rsid w:val="62883972"/>
    <w:rsid w:val="62A91509"/>
    <w:rsid w:val="62C4793A"/>
    <w:rsid w:val="62E266F6"/>
    <w:rsid w:val="62E57C5A"/>
    <w:rsid w:val="62FB188C"/>
    <w:rsid w:val="63062796"/>
    <w:rsid w:val="630C0C08"/>
    <w:rsid w:val="631665E6"/>
    <w:rsid w:val="632905BE"/>
    <w:rsid w:val="63340102"/>
    <w:rsid w:val="636546C4"/>
    <w:rsid w:val="63741BF9"/>
    <w:rsid w:val="63754CCA"/>
    <w:rsid w:val="637C2585"/>
    <w:rsid w:val="63D22032"/>
    <w:rsid w:val="63D6116A"/>
    <w:rsid w:val="63E86A03"/>
    <w:rsid w:val="63F42678"/>
    <w:rsid w:val="63F54659"/>
    <w:rsid w:val="63F8319B"/>
    <w:rsid w:val="63F947C1"/>
    <w:rsid w:val="640C18FE"/>
    <w:rsid w:val="64357CD7"/>
    <w:rsid w:val="64374EF8"/>
    <w:rsid w:val="64474AEE"/>
    <w:rsid w:val="64527253"/>
    <w:rsid w:val="64601085"/>
    <w:rsid w:val="646329F7"/>
    <w:rsid w:val="64636AD3"/>
    <w:rsid w:val="64642EBF"/>
    <w:rsid w:val="64687BF8"/>
    <w:rsid w:val="648E2C7C"/>
    <w:rsid w:val="649429C1"/>
    <w:rsid w:val="64B96D49"/>
    <w:rsid w:val="64BC3FC5"/>
    <w:rsid w:val="64BD7BE4"/>
    <w:rsid w:val="64D3455A"/>
    <w:rsid w:val="64E500E3"/>
    <w:rsid w:val="64E751BB"/>
    <w:rsid w:val="65225348"/>
    <w:rsid w:val="652C1B75"/>
    <w:rsid w:val="653308B6"/>
    <w:rsid w:val="65332215"/>
    <w:rsid w:val="654366C6"/>
    <w:rsid w:val="656960F3"/>
    <w:rsid w:val="65707E5D"/>
    <w:rsid w:val="65807D8D"/>
    <w:rsid w:val="65851C45"/>
    <w:rsid w:val="658713A2"/>
    <w:rsid w:val="658D290D"/>
    <w:rsid w:val="65A312C8"/>
    <w:rsid w:val="65C81BBA"/>
    <w:rsid w:val="65D624EA"/>
    <w:rsid w:val="65ED2582"/>
    <w:rsid w:val="65FC0B92"/>
    <w:rsid w:val="662226BE"/>
    <w:rsid w:val="663D6B2C"/>
    <w:rsid w:val="664107D0"/>
    <w:rsid w:val="66782E16"/>
    <w:rsid w:val="668429AB"/>
    <w:rsid w:val="669B7DB4"/>
    <w:rsid w:val="66AC6DC1"/>
    <w:rsid w:val="66B33504"/>
    <w:rsid w:val="66B44865"/>
    <w:rsid w:val="66B83C92"/>
    <w:rsid w:val="66E0375F"/>
    <w:rsid w:val="66F20CAA"/>
    <w:rsid w:val="66FD0D69"/>
    <w:rsid w:val="67131B7D"/>
    <w:rsid w:val="673C004F"/>
    <w:rsid w:val="673C08CB"/>
    <w:rsid w:val="67520B66"/>
    <w:rsid w:val="67576376"/>
    <w:rsid w:val="676174A8"/>
    <w:rsid w:val="6776651F"/>
    <w:rsid w:val="67862545"/>
    <w:rsid w:val="67B0451E"/>
    <w:rsid w:val="67F72431"/>
    <w:rsid w:val="680E6333"/>
    <w:rsid w:val="68190577"/>
    <w:rsid w:val="681C4C4B"/>
    <w:rsid w:val="682A4360"/>
    <w:rsid w:val="683048BC"/>
    <w:rsid w:val="683D7490"/>
    <w:rsid w:val="68790FAE"/>
    <w:rsid w:val="688B085B"/>
    <w:rsid w:val="688C3295"/>
    <w:rsid w:val="689175CE"/>
    <w:rsid w:val="689E7138"/>
    <w:rsid w:val="68A560D7"/>
    <w:rsid w:val="68AB7C29"/>
    <w:rsid w:val="68AC67AA"/>
    <w:rsid w:val="68B27DFC"/>
    <w:rsid w:val="68CA206B"/>
    <w:rsid w:val="68D404A2"/>
    <w:rsid w:val="68F203FD"/>
    <w:rsid w:val="69133C5B"/>
    <w:rsid w:val="691702F9"/>
    <w:rsid w:val="693D5000"/>
    <w:rsid w:val="696A42AA"/>
    <w:rsid w:val="699053D3"/>
    <w:rsid w:val="69944454"/>
    <w:rsid w:val="69A93959"/>
    <w:rsid w:val="69AE0A96"/>
    <w:rsid w:val="69B82AF8"/>
    <w:rsid w:val="69C00A49"/>
    <w:rsid w:val="69D125E1"/>
    <w:rsid w:val="69D4610A"/>
    <w:rsid w:val="6A0A3C46"/>
    <w:rsid w:val="6A0B703D"/>
    <w:rsid w:val="6A2C45C5"/>
    <w:rsid w:val="6A460807"/>
    <w:rsid w:val="6AB634A4"/>
    <w:rsid w:val="6AF146AC"/>
    <w:rsid w:val="6AF24CE7"/>
    <w:rsid w:val="6B065E03"/>
    <w:rsid w:val="6B0F5701"/>
    <w:rsid w:val="6B115A56"/>
    <w:rsid w:val="6B342E6D"/>
    <w:rsid w:val="6B647C2F"/>
    <w:rsid w:val="6B6F03D4"/>
    <w:rsid w:val="6B770D5D"/>
    <w:rsid w:val="6B773232"/>
    <w:rsid w:val="6B7A0376"/>
    <w:rsid w:val="6B7E743A"/>
    <w:rsid w:val="6B80102A"/>
    <w:rsid w:val="6B873E81"/>
    <w:rsid w:val="6B9B7315"/>
    <w:rsid w:val="6BC623F9"/>
    <w:rsid w:val="6BCA3551"/>
    <w:rsid w:val="6BD4041C"/>
    <w:rsid w:val="6BDA4D0B"/>
    <w:rsid w:val="6C2B23BB"/>
    <w:rsid w:val="6C4F65AD"/>
    <w:rsid w:val="6C796D14"/>
    <w:rsid w:val="6C8E25EB"/>
    <w:rsid w:val="6C9E192F"/>
    <w:rsid w:val="6CA32051"/>
    <w:rsid w:val="6CA6347D"/>
    <w:rsid w:val="6CAA49E7"/>
    <w:rsid w:val="6CAC714F"/>
    <w:rsid w:val="6CAF7517"/>
    <w:rsid w:val="6CBE7235"/>
    <w:rsid w:val="6CC63991"/>
    <w:rsid w:val="6CF473C1"/>
    <w:rsid w:val="6D095C70"/>
    <w:rsid w:val="6D0D2DA3"/>
    <w:rsid w:val="6D605E36"/>
    <w:rsid w:val="6D6A5877"/>
    <w:rsid w:val="6D6B0293"/>
    <w:rsid w:val="6D71797C"/>
    <w:rsid w:val="6D8E2973"/>
    <w:rsid w:val="6D8F53CA"/>
    <w:rsid w:val="6D8F56FA"/>
    <w:rsid w:val="6D9B1ADA"/>
    <w:rsid w:val="6DA1296C"/>
    <w:rsid w:val="6DB27660"/>
    <w:rsid w:val="6DBA0C23"/>
    <w:rsid w:val="6DCC02D6"/>
    <w:rsid w:val="6DD91726"/>
    <w:rsid w:val="6DE63451"/>
    <w:rsid w:val="6DF06347"/>
    <w:rsid w:val="6DFE1D39"/>
    <w:rsid w:val="6E2A25B6"/>
    <w:rsid w:val="6E2C5640"/>
    <w:rsid w:val="6E3157FE"/>
    <w:rsid w:val="6E4C1202"/>
    <w:rsid w:val="6E4D7CAA"/>
    <w:rsid w:val="6E614F20"/>
    <w:rsid w:val="6E8A325F"/>
    <w:rsid w:val="6EB91009"/>
    <w:rsid w:val="6EC17941"/>
    <w:rsid w:val="6ED05AF2"/>
    <w:rsid w:val="6ED90EB8"/>
    <w:rsid w:val="6ED96BE5"/>
    <w:rsid w:val="6EED7B5E"/>
    <w:rsid w:val="6F0110FF"/>
    <w:rsid w:val="6F0F7908"/>
    <w:rsid w:val="6F133456"/>
    <w:rsid w:val="6F542FC2"/>
    <w:rsid w:val="6F8257FF"/>
    <w:rsid w:val="6FA3523A"/>
    <w:rsid w:val="6FBB1A76"/>
    <w:rsid w:val="6FE37A15"/>
    <w:rsid w:val="700A3BDB"/>
    <w:rsid w:val="700C47ED"/>
    <w:rsid w:val="70213A33"/>
    <w:rsid w:val="702E6D96"/>
    <w:rsid w:val="703A7312"/>
    <w:rsid w:val="703C426A"/>
    <w:rsid w:val="704E56CD"/>
    <w:rsid w:val="70586D4C"/>
    <w:rsid w:val="70736794"/>
    <w:rsid w:val="70924268"/>
    <w:rsid w:val="70984BC8"/>
    <w:rsid w:val="709E0C55"/>
    <w:rsid w:val="70CA5D4E"/>
    <w:rsid w:val="70DA4F31"/>
    <w:rsid w:val="70F76CAF"/>
    <w:rsid w:val="712676F2"/>
    <w:rsid w:val="713C31D9"/>
    <w:rsid w:val="713E266D"/>
    <w:rsid w:val="714942AA"/>
    <w:rsid w:val="71512087"/>
    <w:rsid w:val="71542C73"/>
    <w:rsid w:val="71550A68"/>
    <w:rsid w:val="716303CF"/>
    <w:rsid w:val="717A3AD5"/>
    <w:rsid w:val="7187112E"/>
    <w:rsid w:val="718D3F98"/>
    <w:rsid w:val="719E2AA8"/>
    <w:rsid w:val="71A23860"/>
    <w:rsid w:val="71B620B3"/>
    <w:rsid w:val="71CA259C"/>
    <w:rsid w:val="71CD41B3"/>
    <w:rsid w:val="72014FE5"/>
    <w:rsid w:val="72207884"/>
    <w:rsid w:val="72207D06"/>
    <w:rsid w:val="72242572"/>
    <w:rsid w:val="723257FB"/>
    <w:rsid w:val="725B461B"/>
    <w:rsid w:val="72EC6871"/>
    <w:rsid w:val="72F90EAF"/>
    <w:rsid w:val="72FB1895"/>
    <w:rsid w:val="72FF231D"/>
    <w:rsid w:val="73150997"/>
    <w:rsid w:val="7316547C"/>
    <w:rsid w:val="73276E31"/>
    <w:rsid w:val="73356F0E"/>
    <w:rsid w:val="735A056A"/>
    <w:rsid w:val="73651863"/>
    <w:rsid w:val="73694174"/>
    <w:rsid w:val="736F1B58"/>
    <w:rsid w:val="73757817"/>
    <w:rsid w:val="73925C38"/>
    <w:rsid w:val="73BC3944"/>
    <w:rsid w:val="73D26CB2"/>
    <w:rsid w:val="73D86360"/>
    <w:rsid w:val="73DD77BE"/>
    <w:rsid w:val="73F443C3"/>
    <w:rsid w:val="74024C8F"/>
    <w:rsid w:val="74426413"/>
    <w:rsid w:val="74451D35"/>
    <w:rsid w:val="746234E8"/>
    <w:rsid w:val="74717FAD"/>
    <w:rsid w:val="747867A2"/>
    <w:rsid w:val="7479137C"/>
    <w:rsid w:val="74A959E9"/>
    <w:rsid w:val="74E157EF"/>
    <w:rsid w:val="75072079"/>
    <w:rsid w:val="750C1820"/>
    <w:rsid w:val="751B51E2"/>
    <w:rsid w:val="751D11F1"/>
    <w:rsid w:val="754755B0"/>
    <w:rsid w:val="75750C36"/>
    <w:rsid w:val="758A1BB4"/>
    <w:rsid w:val="75B41312"/>
    <w:rsid w:val="75B52929"/>
    <w:rsid w:val="75CF1A48"/>
    <w:rsid w:val="75E83D18"/>
    <w:rsid w:val="75EF5E81"/>
    <w:rsid w:val="76072D30"/>
    <w:rsid w:val="76085D47"/>
    <w:rsid w:val="761E39C0"/>
    <w:rsid w:val="76222DAB"/>
    <w:rsid w:val="767633AA"/>
    <w:rsid w:val="76766F2E"/>
    <w:rsid w:val="768919E5"/>
    <w:rsid w:val="768B0C69"/>
    <w:rsid w:val="7690575B"/>
    <w:rsid w:val="769B01D8"/>
    <w:rsid w:val="76A86FB9"/>
    <w:rsid w:val="76C53BB5"/>
    <w:rsid w:val="76C56DBC"/>
    <w:rsid w:val="772C338C"/>
    <w:rsid w:val="77361223"/>
    <w:rsid w:val="775A361F"/>
    <w:rsid w:val="77765999"/>
    <w:rsid w:val="77F20FC8"/>
    <w:rsid w:val="780A68B1"/>
    <w:rsid w:val="78225AC0"/>
    <w:rsid w:val="783E7173"/>
    <w:rsid w:val="784A6D2E"/>
    <w:rsid w:val="784C3424"/>
    <w:rsid w:val="78746ADB"/>
    <w:rsid w:val="78926EA9"/>
    <w:rsid w:val="78A422B0"/>
    <w:rsid w:val="78AD2707"/>
    <w:rsid w:val="78CA1C71"/>
    <w:rsid w:val="78E832A7"/>
    <w:rsid w:val="78F256F2"/>
    <w:rsid w:val="790A0441"/>
    <w:rsid w:val="791C42B7"/>
    <w:rsid w:val="795D0587"/>
    <w:rsid w:val="79986666"/>
    <w:rsid w:val="799B6432"/>
    <w:rsid w:val="799E7555"/>
    <w:rsid w:val="79CD540C"/>
    <w:rsid w:val="79DC0EA9"/>
    <w:rsid w:val="79E41E1A"/>
    <w:rsid w:val="7A1B386A"/>
    <w:rsid w:val="7A2A0F00"/>
    <w:rsid w:val="7A316B40"/>
    <w:rsid w:val="7A4675B0"/>
    <w:rsid w:val="7A6F4903"/>
    <w:rsid w:val="7A6F776C"/>
    <w:rsid w:val="7A7B25E1"/>
    <w:rsid w:val="7A9B6C75"/>
    <w:rsid w:val="7AA22FFA"/>
    <w:rsid w:val="7AA8137A"/>
    <w:rsid w:val="7ABD3582"/>
    <w:rsid w:val="7AD35AF8"/>
    <w:rsid w:val="7AD85A3A"/>
    <w:rsid w:val="7AE168D1"/>
    <w:rsid w:val="7AE3112C"/>
    <w:rsid w:val="7AEA332A"/>
    <w:rsid w:val="7B074467"/>
    <w:rsid w:val="7B116D74"/>
    <w:rsid w:val="7B271D12"/>
    <w:rsid w:val="7B284C07"/>
    <w:rsid w:val="7B2A1176"/>
    <w:rsid w:val="7B3C282E"/>
    <w:rsid w:val="7B5E3F9F"/>
    <w:rsid w:val="7B68000C"/>
    <w:rsid w:val="7B6C19BC"/>
    <w:rsid w:val="7B9056E4"/>
    <w:rsid w:val="7BBF3C16"/>
    <w:rsid w:val="7BF95883"/>
    <w:rsid w:val="7C201BB7"/>
    <w:rsid w:val="7C4C46BE"/>
    <w:rsid w:val="7C5C5B2B"/>
    <w:rsid w:val="7C722F1C"/>
    <w:rsid w:val="7C941DE2"/>
    <w:rsid w:val="7C9608E3"/>
    <w:rsid w:val="7CA665EE"/>
    <w:rsid w:val="7CBB7DD3"/>
    <w:rsid w:val="7CC06DBF"/>
    <w:rsid w:val="7CC12C06"/>
    <w:rsid w:val="7CC62DE7"/>
    <w:rsid w:val="7CCB7ABB"/>
    <w:rsid w:val="7CEC7A3D"/>
    <w:rsid w:val="7CF67993"/>
    <w:rsid w:val="7CFA342B"/>
    <w:rsid w:val="7D1C55E1"/>
    <w:rsid w:val="7D5F66CB"/>
    <w:rsid w:val="7D623473"/>
    <w:rsid w:val="7D633FB4"/>
    <w:rsid w:val="7D661037"/>
    <w:rsid w:val="7D674EEF"/>
    <w:rsid w:val="7D715D15"/>
    <w:rsid w:val="7D8036DC"/>
    <w:rsid w:val="7D973CED"/>
    <w:rsid w:val="7E1620A0"/>
    <w:rsid w:val="7E1672EC"/>
    <w:rsid w:val="7E1B4A9A"/>
    <w:rsid w:val="7E236C24"/>
    <w:rsid w:val="7E332266"/>
    <w:rsid w:val="7E377990"/>
    <w:rsid w:val="7E3C32A3"/>
    <w:rsid w:val="7E436817"/>
    <w:rsid w:val="7E5723A5"/>
    <w:rsid w:val="7EA023D2"/>
    <w:rsid w:val="7EA11750"/>
    <w:rsid w:val="7EBD7FBB"/>
    <w:rsid w:val="7EF72A9A"/>
    <w:rsid w:val="7EFE1896"/>
    <w:rsid w:val="7F0D1D7E"/>
    <w:rsid w:val="7F0F1C74"/>
    <w:rsid w:val="7F397DA6"/>
    <w:rsid w:val="7F3F078E"/>
    <w:rsid w:val="7F4C4AA1"/>
    <w:rsid w:val="7F507707"/>
    <w:rsid w:val="7F507A8E"/>
    <w:rsid w:val="7F79005E"/>
    <w:rsid w:val="7FC67AED"/>
    <w:rsid w:val="7FD90E29"/>
    <w:rsid w:val="7FEB19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iPriority="0" w:semiHidden="0" w:name="annotation text"/>
    <w:lsdException w:qFormat="1" w:uiPriority="99" w:semiHidden="0" w:name="header"/>
    <w:lsdException w:qFormat="1" w:uiPriority="0" w:semiHidden="0" w:name="footer"/>
    <w:lsdException w:uiPriority="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qFormat="1"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0" w:name="List 4"/>
    <w:lsdException w:uiPriority="0" w:name="List 5"/>
    <w:lsdException w:uiPriority="0" w:name="List Bullet 2"/>
    <w:lsdException w:qFormat="1" w:uiPriority="0" w:semiHidden="0" w:name="List Bullet 3"/>
    <w:lsdException w:qFormat="1" w:unhideWhenUsed="0" w:uiPriority="0" w:semiHidden="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qFormat="1" w:unhideWhenUsed="0" w:uiPriority="0" w:semiHidden="0" w:name="Closing"/>
    <w:lsdException w:uiPriority="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8"/>
    <w:qFormat/>
    <w:uiPriority w:val="0"/>
    <w:pPr>
      <w:keepNext/>
      <w:keepLines/>
      <w:widowControl/>
      <w:spacing w:before="340" w:after="330" w:line="576" w:lineRule="auto"/>
      <w:jc w:val="left"/>
      <w:outlineLvl w:val="0"/>
    </w:pPr>
    <w:rPr>
      <w:b/>
      <w:bCs/>
      <w:kern w:val="44"/>
      <w:sz w:val="44"/>
      <w:szCs w:val="44"/>
    </w:rPr>
  </w:style>
  <w:style w:type="paragraph" w:styleId="4">
    <w:name w:val="heading 2"/>
    <w:basedOn w:val="1"/>
    <w:next w:val="1"/>
    <w:link w:val="69"/>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70"/>
    <w:qFormat/>
    <w:uiPriority w:val="0"/>
    <w:pPr>
      <w:keepNext/>
      <w:keepLines/>
      <w:spacing w:before="260" w:after="260" w:line="415" w:lineRule="auto"/>
      <w:outlineLvl w:val="2"/>
    </w:pPr>
    <w:rPr>
      <w:b/>
      <w:bCs/>
      <w:kern w:val="0"/>
      <w:sz w:val="32"/>
      <w:szCs w:val="32"/>
    </w:rPr>
  </w:style>
  <w:style w:type="paragraph" w:styleId="6">
    <w:name w:val="heading 4"/>
    <w:basedOn w:val="1"/>
    <w:next w:val="1"/>
    <w:link w:val="71"/>
    <w:qFormat/>
    <w:uiPriority w:val="0"/>
    <w:pPr>
      <w:keepNext/>
      <w:keepLines/>
      <w:spacing w:before="280" w:after="290" w:line="374" w:lineRule="auto"/>
      <w:outlineLvl w:val="3"/>
    </w:pPr>
    <w:rPr>
      <w:rFonts w:ascii="Arial" w:hAnsi="Arial" w:eastAsia="黑体"/>
      <w:b/>
      <w:bCs/>
      <w:kern w:val="0"/>
      <w:sz w:val="28"/>
      <w:szCs w:val="28"/>
    </w:rPr>
  </w:style>
  <w:style w:type="paragraph" w:styleId="7">
    <w:name w:val="heading 5"/>
    <w:basedOn w:val="1"/>
    <w:next w:val="1"/>
    <w:link w:val="72"/>
    <w:qFormat/>
    <w:uiPriority w:val="0"/>
    <w:pPr>
      <w:keepNext/>
      <w:keepLines/>
      <w:spacing w:before="280" w:after="290" w:line="376" w:lineRule="auto"/>
      <w:outlineLvl w:val="4"/>
    </w:pPr>
    <w:rPr>
      <w:rFonts w:ascii="Calibri" w:hAnsi="Calibri"/>
      <w:b/>
      <w:bCs/>
      <w:sz w:val="28"/>
      <w:szCs w:val="28"/>
    </w:rPr>
  </w:style>
  <w:style w:type="paragraph" w:styleId="8">
    <w:name w:val="heading 6"/>
    <w:basedOn w:val="1"/>
    <w:next w:val="1"/>
    <w:link w:val="73"/>
    <w:qFormat/>
    <w:uiPriority w:val="0"/>
    <w:pPr>
      <w:keepNext/>
      <w:keepLines/>
      <w:widowControl/>
      <w:tabs>
        <w:tab w:val="left" w:pos="1320"/>
        <w:tab w:val="left" w:pos="1440"/>
        <w:tab w:val="left" w:pos="3480"/>
      </w:tabs>
      <w:spacing w:before="240" w:after="64" w:line="320" w:lineRule="auto"/>
      <w:ind w:left="3480" w:hanging="420"/>
      <w:jc w:val="left"/>
      <w:outlineLvl w:val="5"/>
    </w:pPr>
    <w:rPr>
      <w:rFonts w:ascii="Arial" w:hAnsi="Arial" w:eastAsia="黑体"/>
      <w:b/>
      <w:bCs/>
      <w:kern w:val="0"/>
      <w:sz w:val="24"/>
    </w:rPr>
  </w:style>
  <w:style w:type="paragraph" w:styleId="9">
    <w:name w:val="heading 7"/>
    <w:basedOn w:val="1"/>
    <w:next w:val="1"/>
    <w:link w:val="74"/>
    <w:qFormat/>
    <w:uiPriority w:val="0"/>
    <w:pPr>
      <w:keepNext/>
      <w:keepLines/>
      <w:widowControl/>
      <w:tabs>
        <w:tab w:val="left" w:pos="1320"/>
        <w:tab w:val="left" w:pos="2520"/>
        <w:tab w:val="left" w:pos="3900"/>
      </w:tabs>
      <w:spacing w:before="240" w:after="64" w:line="320" w:lineRule="auto"/>
      <w:ind w:left="3900" w:hanging="420"/>
      <w:jc w:val="left"/>
      <w:outlineLvl w:val="6"/>
    </w:pPr>
    <w:rPr>
      <w:b/>
      <w:bCs/>
      <w:kern w:val="0"/>
      <w:sz w:val="24"/>
    </w:rPr>
  </w:style>
  <w:style w:type="paragraph" w:styleId="10">
    <w:name w:val="heading 8"/>
    <w:basedOn w:val="1"/>
    <w:next w:val="1"/>
    <w:link w:val="75"/>
    <w:qFormat/>
    <w:uiPriority w:val="0"/>
    <w:pPr>
      <w:keepNext/>
      <w:keepLines/>
      <w:widowControl/>
      <w:tabs>
        <w:tab w:val="left" w:pos="1320"/>
        <w:tab w:val="left" w:pos="1440"/>
        <w:tab w:val="left" w:pos="4320"/>
      </w:tabs>
      <w:spacing w:before="240" w:after="64" w:line="320" w:lineRule="auto"/>
      <w:ind w:left="4320" w:hanging="420"/>
      <w:jc w:val="left"/>
      <w:outlineLvl w:val="7"/>
    </w:pPr>
    <w:rPr>
      <w:rFonts w:ascii="Arial" w:hAnsi="Arial" w:eastAsia="黑体"/>
      <w:kern w:val="0"/>
      <w:sz w:val="24"/>
    </w:rPr>
  </w:style>
  <w:style w:type="paragraph" w:styleId="11">
    <w:name w:val="heading 9"/>
    <w:basedOn w:val="1"/>
    <w:next w:val="1"/>
    <w:link w:val="76"/>
    <w:qFormat/>
    <w:uiPriority w:val="0"/>
    <w:pPr>
      <w:keepNext/>
      <w:keepLines/>
      <w:widowControl/>
      <w:tabs>
        <w:tab w:val="left" w:pos="1320"/>
        <w:tab w:val="left" w:pos="1584"/>
        <w:tab w:val="left" w:pos="4740"/>
      </w:tabs>
      <w:spacing w:before="240" w:after="64" w:line="320" w:lineRule="auto"/>
      <w:ind w:left="4740" w:hanging="420"/>
      <w:jc w:val="left"/>
      <w:outlineLvl w:val="8"/>
    </w:pPr>
    <w:rPr>
      <w:rFonts w:ascii="Arial" w:hAnsi="Arial" w:eastAsia="黑体"/>
      <w:kern w:val="0"/>
      <w:szCs w:val="21"/>
    </w:rPr>
  </w:style>
  <w:style w:type="character" w:default="1" w:styleId="61">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2"/>
    <w:qFormat/>
    <w:uiPriority w:val="0"/>
    <w:pPr>
      <w:widowControl/>
      <w:jc w:val="left"/>
    </w:pPr>
    <w:rPr>
      <w:kern w:val="0"/>
      <w:sz w:val="24"/>
      <w:szCs w:val="20"/>
    </w:rPr>
  </w:style>
  <w:style w:type="paragraph" w:styleId="12">
    <w:name w:val="List 3"/>
    <w:basedOn w:val="1"/>
    <w:qFormat/>
    <w:uiPriority w:val="0"/>
    <w:pPr>
      <w:ind w:left="100" w:leftChars="400" w:hanging="200" w:hangingChars="200"/>
    </w:pPr>
  </w:style>
  <w:style w:type="paragraph" w:styleId="13">
    <w:name w:val="toc 7"/>
    <w:basedOn w:val="1"/>
    <w:next w:val="1"/>
    <w:qFormat/>
    <w:uiPriority w:val="39"/>
    <w:pPr>
      <w:ind w:left="1260"/>
      <w:jc w:val="left"/>
    </w:pPr>
    <w:rPr>
      <w:sz w:val="18"/>
      <w:szCs w:val="18"/>
    </w:rPr>
  </w:style>
  <w:style w:type="paragraph" w:styleId="14">
    <w:name w:val="table of authorities"/>
    <w:basedOn w:val="1"/>
    <w:next w:val="1"/>
    <w:qFormat/>
    <w:uiPriority w:val="0"/>
    <w:pPr>
      <w:ind w:left="420" w:leftChars="200"/>
    </w:pPr>
    <w:rPr>
      <w:szCs w:val="20"/>
    </w:rPr>
  </w:style>
  <w:style w:type="paragraph" w:styleId="15">
    <w:name w:val="List Bullet 4"/>
    <w:basedOn w:val="1"/>
    <w:qFormat/>
    <w:uiPriority w:val="0"/>
    <w:pPr>
      <w:tabs>
        <w:tab w:val="left" w:pos="980"/>
      </w:tabs>
      <w:spacing w:beforeLines="50" w:afterLines="50" w:line="360" w:lineRule="auto"/>
      <w:ind w:left="980" w:hanging="420"/>
    </w:pPr>
    <w:rPr>
      <w:sz w:val="24"/>
    </w:rPr>
  </w:style>
  <w:style w:type="paragraph" w:styleId="16">
    <w:name w:val="List Number"/>
    <w:basedOn w:val="1"/>
    <w:qFormat/>
    <w:uiPriority w:val="0"/>
    <w:pPr>
      <w:tabs>
        <w:tab w:val="left" w:pos="360"/>
        <w:tab w:val="left" w:pos="567"/>
        <w:tab w:val="left" w:pos="840"/>
      </w:tabs>
      <w:ind w:left="567" w:hanging="567"/>
    </w:pPr>
    <w:rPr>
      <w:rFonts w:ascii="Calibri" w:hAnsi="Calibri"/>
      <w:sz w:val="28"/>
      <w:szCs w:val="22"/>
    </w:rPr>
  </w:style>
  <w:style w:type="paragraph" w:styleId="17">
    <w:name w:val="Normal Indent"/>
    <w:basedOn w:val="1"/>
    <w:link w:val="78"/>
    <w:qFormat/>
    <w:uiPriority w:val="0"/>
    <w:pPr>
      <w:widowControl/>
      <w:ind w:firstLine="420"/>
      <w:jc w:val="left"/>
    </w:pPr>
    <w:rPr>
      <w:rFonts w:ascii="Calibri" w:hAnsi="Calibri" w:cs="黑体"/>
      <w:szCs w:val="22"/>
    </w:rPr>
  </w:style>
  <w:style w:type="paragraph" w:styleId="18">
    <w:name w:val="caption"/>
    <w:basedOn w:val="1"/>
    <w:next w:val="1"/>
    <w:qFormat/>
    <w:uiPriority w:val="0"/>
    <w:pPr>
      <w:spacing w:before="152" w:after="160"/>
    </w:pPr>
    <w:rPr>
      <w:rFonts w:ascii="Arial" w:hAnsi="Arial" w:eastAsia="黑体" w:cs="Arial"/>
      <w:sz w:val="20"/>
      <w:szCs w:val="20"/>
    </w:rPr>
  </w:style>
  <w:style w:type="paragraph" w:styleId="19">
    <w:name w:val="List Bullet"/>
    <w:basedOn w:val="1"/>
    <w:qFormat/>
    <w:uiPriority w:val="0"/>
    <w:pPr>
      <w:spacing w:beforeLines="50" w:afterLines="50" w:line="360" w:lineRule="auto"/>
      <w:ind w:firstLine="482" w:firstLineChars="200"/>
    </w:pPr>
    <w:rPr>
      <w:rFonts w:ascii="宋体" w:hAnsi="宋体"/>
      <w:b/>
      <w:kern w:val="0"/>
      <w:sz w:val="24"/>
    </w:rPr>
  </w:style>
  <w:style w:type="paragraph" w:styleId="20">
    <w:name w:val="envelope address"/>
    <w:basedOn w:val="1"/>
    <w:qFormat/>
    <w:uiPriority w:val="0"/>
    <w:pPr>
      <w:framePr w:w="7920" w:h="1980" w:hRule="exact" w:hSpace="180" w:wrap="around" w:vAnchor="margin" w:hAnchor="page" w:xAlign="center" w:yAlign="bottom"/>
      <w:adjustRightInd w:val="0"/>
      <w:spacing w:line="480" w:lineRule="atLeast"/>
      <w:ind w:left="2880"/>
      <w:textAlignment w:val="baseline"/>
    </w:pPr>
    <w:rPr>
      <w:rFonts w:eastAsia="魏碑体"/>
      <w:spacing w:val="10"/>
      <w:kern w:val="0"/>
      <w:sz w:val="32"/>
      <w:szCs w:val="20"/>
    </w:rPr>
  </w:style>
  <w:style w:type="paragraph" w:styleId="21">
    <w:name w:val="Document Map"/>
    <w:basedOn w:val="1"/>
    <w:link w:val="223"/>
    <w:qFormat/>
    <w:uiPriority w:val="0"/>
    <w:pPr>
      <w:shd w:val="clear" w:color="auto" w:fill="000080"/>
    </w:pPr>
  </w:style>
  <w:style w:type="paragraph" w:styleId="22">
    <w:name w:val="annotation text"/>
    <w:basedOn w:val="1"/>
    <w:link w:val="88"/>
    <w:unhideWhenUsed/>
    <w:qFormat/>
    <w:uiPriority w:val="0"/>
    <w:pPr>
      <w:jc w:val="left"/>
    </w:pPr>
  </w:style>
  <w:style w:type="paragraph" w:styleId="23">
    <w:name w:val="Salutation"/>
    <w:basedOn w:val="1"/>
    <w:next w:val="1"/>
    <w:link w:val="77"/>
    <w:qFormat/>
    <w:uiPriority w:val="0"/>
    <w:rPr>
      <w:kern w:val="0"/>
      <w:sz w:val="20"/>
    </w:rPr>
  </w:style>
  <w:style w:type="paragraph" w:styleId="24">
    <w:name w:val="Body Text 3"/>
    <w:basedOn w:val="1"/>
    <w:link w:val="234"/>
    <w:unhideWhenUsed/>
    <w:qFormat/>
    <w:uiPriority w:val="0"/>
    <w:pPr>
      <w:spacing w:beforeLines="50" w:afterLines="50" w:line="360" w:lineRule="auto"/>
    </w:pPr>
    <w:rPr>
      <w:kern w:val="0"/>
      <w:sz w:val="16"/>
      <w:szCs w:val="16"/>
    </w:rPr>
  </w:style>
  <w:style w:type="paragraph" w:styleId="25">
    <w:name w:val="Closing"/>
    <w:basedOn w:val="1"/>
    <w:link w:val="91"/>
    <w:qFormat/>
    <w:uiPriority w:val="0"/>
    <w:pPr>
      <w:ind w:left="100" w:leftChars="2100"/>
    </w:pPr>
    <w:rPr>
      <w:kern w:val="0"/>
      <w:sz w:val="20"/>
    </w:rPr>
  </w:style>
  <w:style w:type="paragraph" w:styleId="26">
    <w:name w:val="List Bullet 3"/>
    <w:basedOn w:val="1"/>
    <w:unhideWhenUsed/>
    <w:qFormat/>
    <w:uiPriority w:val="0"/>
    <w:pPr>
      <w:tabs>
        <w:tab w:val="left" w:pos="1200"/>
      </w:tabs>
      <w:ind w:left="1200" w:leftChars="400" w:hanging="360" w:hangingChars="200"/>
      <w:contextualSpacing/>
    </w:pPr>
    <w:rPr>
      <w:szCs w:val="20"/>
    </w:rPr>
  </w:style>
  <w:style w:type="paragraph" w:styleId="27">
    <w:name w:val="Body Text Indent"/>
    <w:basedOn w:val="1"/>
    <w:link w:val="100"/>
    <w:qFormat/>
    <w:uiPriority w:val="99"/>
    <w:pPr>
      <w:spacing w:after="120"/>
      <w:ind w:left="420" w:leftChars="200"/>
    </w:pPr>
    <w:rPr>
      <w:kern w:val="0"/>
      <w:sz w:val="20"/>
    </w:rPr>
  </w:style>
  <w:style w:type="paragraph" w:styleId="28">
    <w:name w:val="List 2"/>
    <w:basedOn w:val="1"/>
    <w:qFormat/>
    <w:uiPriority w:val="0"/>
    <w:pPr>
      <w:spacing w:beforeLines="50" w:afterLines="50" w:line="360" w:lineRule="auto"/>
      <w:ind w:left="100" w:leftChars="200" w:hanging="200" w:hangingChars="200"/>
    </w:pPr>
    <w:rPr>
      <w:sz w:val="24"/>
    </w:rPr>
  </w:style>
  <w:style w:type="paragraph" w:styleId="29">
    <w:name w:val="Block Text"/>
    <w:basedOn w:val="1"/>
    <w:qFormat/>
    <w:uiPriority w:val="0"/>
    <w:pPr>
      <w:autoSpaceDE w:val="0"/>
      <w:autoSpaceDN w:val="0"/>
      <w:adjustRightInd w:val="0"/>
      <w:spacing w:line="360" w:lineRule="atLeast"/>
      <w:ind w:left="1418" w:right="1800" w:rightChars="857" w:firstLine="540"/>
    </w:pPr>
    <w:rPr>
      <w:rFonts w:ascii="宋体"/>
      <w:color w:val="000000"/>
      <w:kern w:val="0"/>
      <w:sz w:val="24"/>
    </w:rPr>
  </w:style>
  <w:style w:type="paragraph" w:styleId="30">
    <w:name w:val="toc 5"/>
    <w:basedOn w:val="1"/>
    <w:next w:val="1"/>
    <w:qFormat/>
    <w:uiPriority w:val="39"/>
    <w:pPr>
      <w:ind w:left="840"/>
      <w:jc w:val="left"/>
    </w:pPr>
    <w:rPr>
      <w:sz w:val="18"/>
      <w:szCs w:val="18"/>
    </w:rPr>
  </w:style>
  <w:style w:type="paragraph" w:styleId="31">
    <w:name w:val="toc 3"/>
    <w:basedOn w:val="1"/>
    <w:next w:val="1"/>
    <w:qFormat/>
    <w:uiPriority w:val="39"/>
    <w:pPr>
      <w:ind w:left="420"/>
      <w:jc w:val="left"/>
    </w:pPr>
    <w:rPr>
      <w:i/>
      <w:iCs/>
      <w:sz w:val="20"/>
      <w:szCs w:val="20"/>
    </w:rPr>
  </w:style>
  <w:style w:type="paragraph" w:styleId="32">
    <w:name w:val="Plain Text"/>
    <w:basedOn w:val="1"/>
    <w:link w:val="93"/>
    <w:qFormat/>
    <w:uiPriority w:val="0"/>
    <w:rPr>
      <w:rFonts w:ascii="宋体" w:hAnsi="Courier New"/>
      <w:kern w:val="0"/>
      <w:sz w:val="20"/>
      <w:szCs w:val="20"/>
    </w:rPr>
  </w:style>
  <w:style w:type="paragraph" w:styleId="33">
    <w:name w:val="toc 8"/>
    <w:basedOn w:val="1"/>
    <w:next w:val="1"/>
    <w:qFormat/>
    <w:uiPriority w:val="39"/>
    <w:pPr>
      <w:ind w:left="1470"/>
      <w:jc w:val="left"/>
    </w:pPr>
    <w:rPr>
      <w:sz w:val="18"/>
      <w:szCs w:val="18"/>
    </w:rPr>
  </w:style>
  <w:style w:type="paragraph" w:styleId="34">
    <w:name w:val="Date"/>
    <w:basedOn w:val="1"/>
    <w:next w:val="1"/>
    <w:link w:val="95"/>
    <w:qFormat/>
    <w:uiPriority w:val="0"/>
    <w:pPr>
      <w:ind w:left="100" w:leftChars="2500"/>
    </w:pPr>
    <w:rPr>
      <w:kern w:val="0"/>
      <w:sz w:val="20"/>
    </w:rPr>
  </w:style>
  <w:style w:type="paragraph" w:styleId="35">
    <w:name w:val="Body Text Indent 2"/>
    <w:basedOn w:val="1"/>
    <w:link w:val="99"/>
    <w:qFormat/>
    <w:uiPriority w:val="0"/>
    <w:pPr>
      <w:spacing w:line="360" w:lineRule="auto"/>
      <w:ind w:left="839" w:hanging="839" w:hangingChars="355"/>
    </w:pPr>
    <w:rPr>
      <w:b/>
      <w:kern w:val="0"/>
      <w:sz w:val="24"/>
    </w:rPr>
  </w:style>
  <w:style w:type="paragraph" w:styleId="36">
    <w:name w:val="endnote text"/>
    <w:basedOn w:val="1"/>
    <w:link w:val="209"/>
    <w:qFormat/>
    <w:uiPriority w:val="0"/>
    <w:pPr>
      <w:snapToGrid w:val="0"/>
      <w:jc w:val="left"/>
    </w:pPr>
    <w:rPr>
      <w:kern w:val="0"/>
      <w:sz w:val="20"/>
      <w:szCs w:val="20"/>
    </w:rPr>
  </w:style>
  <w:style w:type="paragraph" w:styleId="37">
    <w:name w:val="Balloon Text"/>
    <w:basedOn w:val="1"/>
    <w:link w:val="85"/>
    <w:qFormat/>
    <w:uiPriority w:val="0"/>
    <w:rPr>
      <w:kern w:val="0"/>
      <w:sz w:val="18"/>
      <w:szCs w:val="18"/>
    </w:rPr>
  </w:style>
  <w:style w:type="paragraph" w:styleId="38">
    <w:name w:val="footer"/>
    <w:basedOn w:val="1"/>
    <w:link w:val="80"/>
    <w:unhideWhenUsed/>
    <w:qFormat/>
    <w:uiPriority w:val="0"/>
    <w:pPr>
      <w:tabs>
        <w:tab w:val="center" w:pos="4153"/>
        <w:tab w:val="right" w:pos="8306"/>
      </w:tabs>
      <w:snapToGrid w:val="0"/>
      <w:jc w:val="left"/>
    </w:pPr>
    <w:rPr>
      <w:kern w:val="0"/>
      <w:sz w:val="18"/>
      <w:szCs w:val="18"/>
    </w:rPr>
  </w:style>
  <w:style w:type="paragraph" w:styleId="39">
    <w:name w:val="header"/>
    <w:basedOn w:val="1"/>
    <w:link w:val="97"/>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40">
    <w:name w:val="toc 1"/>
    <w:basedOn w:val="1"/>
    <w:next w:val="1"/>
    <w:qFormat/>
    <w:uiPriority w:val="39"/>
    <w:pPr>
      <w:tabs>
        <w:tab w:val="left" w:pos="840"/>
        <w:tab w:val="right" w:leader="dot" w:pos="8210"/>
      </w:tabs>
      <w:jc w:val="left"/>
    </w:pPr>
    <w:rPr>
      <w:rFonts w:ascii="仿宋_GB2312" w:hAnsi="宋体" w:eastAsia="仿宋_GB2312"/>
      <w:b/>
      <w:bCs/>
      <w:caps/>
      <w:sz w:val="32"/>
      <w:szCs w:val="32"/>
    </w:rPr>
  </w:style>
  <w:style w:type="paragraph" w:styleId="41">
    <w:name w:val="toc 4"/>
    <w:basedOn w:val="1"/>
    <w:next w:val="1"/>
    <w:qFormat/>
    <w:uiPriority w:val="39"/>
    <w:pPr>
      <w:ind w:left="630"/>
      <w:jc w:val="left"/>
    </w:pPr>
    <w:rPr>
      <w:sz w:val="18"/>
      <w:szCs w:val="18"/>
    </w:rPr>
  </w:style>
  <w:style w:type="paragraph" w:styleId="42">
    <w:name w:val="Subtitle"/>
    <w:basedOn w:val="1"/>
    <w:next w:val="1"/>
    <w:link w:val="206"/>
    <w:qFormat/>
    <w:uiPriority w:val="0"/>
    <w:pPr>
      <w:spacing w:before="240" w:after="60" w:line="312" w:lineRule="auto"/>
      <w:jc w:val="center"/>
      <w:outlineLvl w:val="1"/>
    </w:pPr>
    <w:rPr>
      <w:rFonts w:ascii="Cambria" w:hAnsi="Cambria"/>
      <w:b/>
      <w:bCs/>
      <w:kern w:val="28"/>
      <w:sz w:val="32"/>
      <w:szCs w:val="32"/>
    </w:rPr>
  </w:style>
  <w:style w:type="paragraph" w:styleId="43">
    <w:name w:val="List"/>
    <w:basedOn w:val="1"/>
    <w:qFormat/>
    <w:uiPriority w:val="0"/>
    <w:pPr>
      <w:ind w:left="420" w:hanging="420"/>
    </w:pPr>
    <w:rPr>
      <w:sz w:val="24"/>
      <w:szCs w:val="20"/>
    </w:rPr>
  </w:style>
  <w:style w:type="paragraph" w:styleId="44">
    <w:name w:val="toc 6"/>
    <w:basedOn w:val="1"/>
    <w:next w:val="1"/>
    <w:qFormat/>
    <w:uiPriority w:val="39"/>
    <w:pPr>
      <w:ind w:left="1050"/>
      <w:jc w:val="left"/>
    </w:pPr>
    <w:rPr>
      <w:sz w:val="18"/>
      <w:szCs w:val="18"/>
    </w:rPr>
  </w:style>
  <w:style w:type="paragraph" w:styleId="45">
    <w:name w:val="Body Text Indent 3"/>
    <w:basedOn w:val="1"/>
    <w:link w:val="215"/>
    <w:qFormat/>
    <w:uiPriority w:val="0"/>
    <w:pPr>
      <w:ind w:firstLine="480" w:firstLineChars="200"/>
    </w:pPr>
    <w:rPr>
      <w:rFonts w:ascii="幼圆" w:eastAsia="幼圆"/>
      <w:sz w:val="24"/>
      <w:szCs w:val="32"/>
    </w:rPr>
  </w:style>
  <w:style w:type="paragraph" w:styleId="46">
    <w:name w:val="table of figures"/>
    <w:basedOn w:val="1"/>
    <w:next w:val="1"/>
    <w:qFormat/>
    <w:uiPriority w:val="0"/>
    <w:pPr>
      <w:adjustRightInd w:val="0"/>
      <w:ind w:left="420" w:hanging="420"/>
      <w:jc w:val="left"/>
      <w:textAlignment w:val="baseline"/>
    </w:pPr>
    <w:rPr>
      <w:rFonts w:eastAsia="楷体_GB2312"/>
      <w:smallCaps/>
      <w:sz w:val="24"/>
      <w:szCs w:val="20"/>
    </w:rPr>
  </w:style>
  <w:style w:type="paragraph" w:styleId="47">
    <w:name w:val="toc 2"/>
    <w:basedOn w:val="1"/>
    <w:next w:val="1"/>
    <w:qFormat/>
    <w:uiPriority w:val="39"/>
    <w:pPr>
      <w:ind w:left="210"/>
      <w:jc w:val="left"/>
    </w:pPr>
    <w:rPr>
      <w:smallCaps/>
      <w:sz w:val="20"/>
      <w:szCs w:val="20"/>
    </w:rPr>
  </w:style>
  <w:style w:type="paragraph" w:styleId="48">
    <w:name w:val="toc 9"/>
    <w:basedOn w:val="1"/>
    <w:next w:val="1"/>
    <w:qFormat/>
    <w:uiPriority w:val="39"/>
    <w:pPr>
      <w:ind w:left="1680"/>
      <w:jc w:val="left"/>
    </w:pPr>
    <w:rPr>
      <w:sz w:val="18"/>
      <w:szCs w:val="18"/>
    </w:rPr>
  </w:style>
  <w:style w:type="paragraph" w:styleId="49">
    <w:name w:val="Body Text 2"/>
    <w:basedOn w:val="1"/>
    <w:link w:val="201"/>
    <w:qFormat/>
    <w:uiPriority w:val="0"/>
    <w:pPr>
      <w:jc w:val="center"/>
    </w:pPr>
    <w:rPr>
      <w:rFonts w:ascii="宋体" w:hAnsi="宋体"/>
      <w:sz w:val="24"/>
    </w:rPr>
  </w:style>
  <w:style w:type="paragraph" w:styleId="50">
    <w:name w:val="List Continue 2"/>
    <w:basedOn w:val="1"/>
    <w:qFormat/>
    <w:uiPriority w:val="0"/>
    <w:pPr>
      <w:spacing w:after="120"/>
      <w:ind w:left="840" w:leftChars="400"/>
    </w:pPr>
  </w:style>
  <w:style w:type="paragraph" w:styleId="51">
    <w:name w:val="HTML Preformatted"/>
    <w:basedOn w:val="1"/>
    <w:link w:val="8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52">
    <w:name w:val="Normal (Web)"/>
    <w:basedOn w:val="1"/>
    <w:link w:val="120"/>
    <w:qFormat/>
    <w:uiPriority w:val="99"/>
    <w:pPr>
      <w:widowControl/>
      <w:spacing w:before="100" w:beforeAutospacing="1" w:after="100" w:afterAutospacing="1"/>
      <w:jc w:val="left"/>
    </w:pPr>
    <w:rPr>
      <w:rFonts w:ascii="宋体" w:hAnsi="宋体"/>
      <w:kern w:val="0"/>
      <w:sz w:val="24"/>
    </w:rPr>
  </w:style>
  <w:style w:type="paragraph" w:styleId="53">
    <w:name w:val="index 1"/>
    <w:basedOn w:val="1"/>
    <w:next w:val="1"/>
    <w:qFormat/>
    <w:uiPriority w:val="0"/>
  </w:style>
  <w:style w:type="paragraph" w:styleId="54">
    <w:name w:val="Title"/>
    <w:basedOn w:val="1"/>
    <w:next w:val="1"/>
    <w:link w:val="187"/>
    <w:qFormat/>
    <w:uiPriority w:val="99"/>
    <w:pPr>
      <w:spacing w:before="240" w:after="60"/>
      <w:jc w:val="center"/>
      <w:outlineLvl w:val="0"/>
    </w:pPr>
    <w:rPr>
      <w:rFonts w:ascii="Arial" w:hAnsi="Arial"/>
      <w:b/>
      <w:bCs/>
      <w:kern w:val="0"/>
      <w:sz w:val="32"/>
      <w:szCs w:val="32"/>
    </w:rPr>
  </w:style>
  <w:style w:type="paragraph" w:styleId="55">
    <w:name w:val="annotation subject"/>
    <w:basedOn w:val="22"/>
    <w:next w:val="22"/>
    <w:link w:val="87"/>
    <w:unhideWhenUsed/>
    <w:qFormat/>
    <w:uiPriority w:val="0"/>
    <w:rPr>
      <w:b/>
      <w:bCs/>
    </w:rPr>
  </w:style>
  <w:style w:type="paragraph" w:styleId="56">
    <w:name w:val="Body Text First Indent"/>
    <w:basedOn w:val="2"/>
    <w:link w:val="200"/>
    <w:qFormat/>
    <w:uiPriority w:val="0"/>
    <w:pPr>
      <w:widowControl w:val="0"/>
      <w:spacing w:after="120"/>
      <w:ind w:firstLine="420" w:firstLineChars="100"/>
      <w:jc w:val="both"/>
    </w:pPr>
    <w:rPr>
      <w:rFonts w:ascii="宋体"/>
      <w:color w:val="000000"/>
      <w:kern w:val="2"/>
      <w:sz w:val="21"/>
      <w:szCs w:val="32"/>
    </w:rPr>
  </w:style>
  <w:style w:type="paragraph" w:styleId="57">
    <w:name w:val="Body Text First Indent 2"/>
    <w:basedOn w:val="27"/>
    <w:link w:val="190"/>
    <w:unhideWhenUsed/>
    <w:qFormat/>
    <w:uiPriority w:val="0"/>
    <w:pPr>
      <w:ind w:firstLine="420" w:firstLineChars="200"/>
    </w:pPr>
    <w:rPr>
      <w:rFonts w:ascii="仿宋_GB2312" w:eastAsia="仿宋_GB2312"/>
      <w:color w:val="000000"/>
      <w:sz w:val="24"/>
    </w:rPr>
  </w:style>
  <w:style w:type="table" w:styleId="59">
    <w:name w:val="Table Grid"/>
    <w:basedOn w:val="5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0">
    <w:name w:val="Table Theme"/>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2">
    <w:name w:val="Strong"/>
    <w:qFormat/>
    <w:uiPriority w:val="22"/>
    <w:rPr>
      <w:b/>
      <w:bCs/>
    </w:rPr>
  </w:style>
  <w:style w:type="character" w:styleId="63">
    <w:name w:val="page number"/>
    <w:basedOn w:val="61"/>
    <w:qFormat/>
    <w:uiPriority w:val="0"/>
  </w:style>
  <w:style w:type="character" w:styleId="64">
    <w:name w:val="FollowedHyperlink"/>
    <w:basedOn w:val="61"/>
    <w:semiHidden/>
    <w:unhideWhenUsed/>
    <w:qFormat/>
    <w:uiPriority w:val="99"/>
    <w:rPr>
      <w:color w:val="800080"/>
      <w:u w:val="single"/>
    </w:rPr>
  </w:style>
  <w:style w:type="character" w:styleId="65">
    <w:name w:val="Emphasis"/>
    <w:qFormat/>
    <w:uiPriority w:val="0"/>
    <w:rPr>
      <w:i/>
      <w:iCs/>
    </w:rPr>
  </w:style>
  <w:style w:type="character" w:styleId="66">
    <w:name w:val="Hyperlink"/>
    <w:qFormat/>
    <w:uiPriority w:val="99"/>
    <w:rPr>
      <w:color w:val="0000FF"/>
      <w:u w:val="single"/>
    </w:rPr>
  </w:style>
  <w:style w:type="character" w:styleId="67">
    <w:name w:val="annotation reference"/>
    <w:unhideWhenUsed/>
    <w:qFormat/>
    <w:uiPriority w:val="0"/>
    <w:rPr>
      <w:sz w:val="21"/>
      <w:szCs w:val="21"/>
    </w:rPr>
  </w:style>
  <w:style w:type="character" w:customStyle="1" w:styleId="68">
    <w:name w:val="标题 1 Char"/>
    <w:link w:val="3"/>
    <w:qFormat/>
    <w:uiPriority w:val="0"/>
    <w:rPr>
      <w:rFonts w:ascii="Times New Roman" w:hAnsi="Times New Roman" w:eastAsia="宋体" w:cs="Times New Roman"/>
      <w:b/>
      <w:bCs/>
      <w:kern w:val="44"/>
      <w:sz w:val="44"/>
      <w:szCs w:val="44"/>
    </w:rPr>
  </w:style>
  <w:style w:type="character" w:customStyle="1" w:styleId="69">
    <w:name w:val="标题 2 Char"/>
    <w:link w:val="4"/>
    <w:qFormat/>
    <w:uiPriority w:val="0"/>
    <w:rPr>
      <w:rFonts w:ascii="Arial" w:hAnsi="Arial" w:eastAsia="黑体" w:cs="Times New Roman"/>
      <w:b/>
      <w:bCs/>
      <w:sz w:val="32"/>
      <w:szCs w:val="32"/>
    </w:rPr>
  </w:style>
  <w:style w:type="character" w:customStyle="1" w:styleId="70">
    <w:name w:val="标题 3 Char"/>
    <w:link w:val="5"/>
    <w:qFormat/>
    <w:uiPriority w:val="0"/>
    <w:rPr>
      <w:rFonts w:ascii="Times New Roman" w:hAnsi="Times New Roman" w:eastAsia="宋体" w:cs="Times New Roman"/>
      <w:b/>
      <w:bCs/>
      <w:sz w:val="32"/>
      <w:szCs w:val="32"/>
    </w:rPr>
  </w:style>
  <w:style w:type="character" w:customStyle="1" w:styleId="71">
    <w:name w:val="标题 4 Char"/>
    <w:link w:val="6"/>
    <w:qFormat/>
    <w:uiPriority w:val="0"/>
    <w:rPr>
      <w:rFonts w:ascii="Arial" w:hAnsi="Arial" w:eastAsia="黑体" w:cs="Times New Roman"/>
      <w:b/>
      <w:bCs/>
      <w:sz w:val="28"/>
      <w:szCs w:val="28"/>
    </w:rPr>
  </w:style>
  <w:style w:type="character" w:customStyle="1" w:styleId="72">
    <w:name w:val="标题 5 Char"/>
    <w:basedOn w:val="61"/>
    <w:link w:val="7"/>
    <w:qFormat/>
    <w:uiPriority w:val="0"/>
    <w:rPr>
      <w:rFonts w:ascii="Calibri" w:hAnsi="Calibri"/>
      <w:b/>
      <w:bCs/>
      <w:kern w:val="2"/>
      <w:sz w:val="28"/>
      <w:szCs w:val="28"/>
    </w:rPr>
  </w:style>
  <w:style w:type="character" w:customStyle="1" w:styleId="73">
    <w:name w:val="标题 6 Char"/>
    <w:basedOn w:val="61"/>
    <w:link w:val="8"/>
    <w:qFormat/>
    <w:uiPriority w:val="0"/>
    <w:rPr>
      <w:rFonts w:ascii="Arial" w:hAnsi="Arial" w:eastAsia="黑体"/>
      <w:b/>
      <w:bCs/>
      <w:sz w:val="24"/>
      <w:szCs w:val="24"/>
    </w:rPr>
  </w:style>
  <w:style w:type="character" w:customStyle="1" w:styleId="74">
    <w:name w:val="标题 7 Char"/>
    <w:basedOn w:val="61"/>
    <w:link w:val="9"/>
    <w:qFormat/>
    <w:uiPriority w:val="0"/>
    <w:rPr>
      <w:b/>
      <w:bCs/>
      <w:sz w:val="24"/>
      <w:szCs w:val="24"/>
    </w:rPr>
  </w:style>
  <w:style w:type="character" w:customStyle="1" w:styleId="75">
    <w:name w:val="标题 8 Char"/>
    <w:basedOn w:val="61"/>
    <w:link w:val="10"/>
    <w:qFormat/>
    <w:uiPriority w:val="0"/>
    <w:rPr>
      <w:rFonts w:ascii="Arial" w:hAnsi="Arial" w:eastAsia="黑体"/>
      <w:sz w:val="24"/>
      <w:szCs w:val="24"/>
    </w:rPr>
  </w:style>
  <w:style w:type="character" w:customStyle="1" w:styleId="76">
    <w:name w:val="标题 9 Char"/>
    <w:basedOn w:val="61"/>
    <w:link w:val="11"/>
    <w:qFormat/>
    <w:uiPriority w:val="0"/>
    <w:rPr>
      <w:rFonts w:ascii="Arial" w:hAnsi="Arial" w:eastAsia="黑体"/>
      <w:sz w:val="21"/>
      <w:szCs w:val="21"/>
    </w:rPr>
  </w:style>
  <w:style w:type="character" w:customStyle="1" w:styleId="77">
    <w:name w:val="称呼 Char"/>
    <w:link w:val="23"/>
    <w:qFormat/>
    <w:uiPriority w:val="0"/>
    <w:rPr>
      <w:rFonts w:ascii="Times New Roman" w:hAnsi="Times New Roman" w:eastAsia="宋体" w:cs="Times New Roman"/>
      <w:szCs w:val="24"/>
    </w:rPr>
  </w:style>
  <w:style w:type="character" w:customStyle="1" w:styleId="78">
    <w:name w:val="正文缩进 Char"/>
    <w:basedOn w:val="61"/>
    <w:link w:val="17"/>
    <w:qFormat/>
    <w:uiPriority w:val="0"/>
  </w:style>
  <w:style w:type="character" w:customStyle="1" w:styleId="79">
    <w:name w:val="纯文本 Char1"/>
    <w:qFormat/>
    <w:uiPriority w:val="0"/>
    <w:rPr>
      <w:rFonts w:ascii="宋体" w:hAnsi="Courier New" w:eastAsia="宋体" w:cs="Courier New"/>
      <w:szCs w:val="21"/>
    </w:rPr>
  </w:style>
  <w:style w:type="character" w:customStyle="1" w:styleId="80">
    <w:name w:val="页脚 Char"/>
    <w:link w:val="38"/>
    <w:qFormat/>
    <w:uiPriority w:val="0"/>
    <w:rPr>
      <w:sz w:val="18"/>
      <w:szCs w:val="18"/>
    </w:rPr>
  </w:style>
  <w:style w:type="character" w:customStyle="1" w:styleId="81">
    <w:name w:val="HTML 预设格式 Char"/>
    <w:link w:val="51"/>
    <w:qFormat/>
    <w:uiPriority w:val="99"/>
    <w:rPr>
      <w:rFonts w:ascii="宋体" w:hAnsi="宋体" w:eastAsia="宋体" w:cs="宋体"/>
      <w:kern w:val="0"/>
      <w:sz w:val="24"/>
      <w:szCs w:val="24"/>
    </w:rPr>
  </w:style>
  <w:style w:type="character" w:customStyle="1" w:styleId="82">
    <w:name w:val="正文文本 Char"/>
    <w:link w:val="2"/>
    <w:qFormat/>
    <w:uiPriority w:val="0"/>
    <w:rPr>
      <w:rFonts w:ascii="Times New Roman" w:hAnsi="Times New Roman" w:eastAsia="宋体" w:cs="Times New Roman"/>
      <w:kern w:val="0"/>
      <w:sz w:val="24"/>
      <w:szCs w:val="20"/>
    </w:rPr>
  </w:style>
  <w:style w:type="character" w:customStyle="1" w:styleId="83">
    <w:name w:val="日期 Char"/>
    <w:qFormat/>
    <w:uiPriority w:val="0"/>
    <w:rPr>
      <w:rFonts w:ascii="仿宋体" w:eastAsia="仿宋体"/>
      <w:kern w:val="2"/>
      <w:sz w:val="24"/>
      <w:szCs w:val="24"/>
    </w:rPr>
  </w:style>
  <w:style w:type="character" w:customStyle="1" w:styleId="84">
    <w:name w:val="正文文本缩进 Char1"/>
    <w:qFormat/>
    <w:uiPriority w:val="0"/>
    <w:rPr>
      <w:rFonts w:ascii="Times New Roman" w:hAnsi="Times New Roman" w:eastAsia="宋体" w:cs="Times New Roman"/>
      <w:szCs w:val="24"/>
    </w:rPr>
  </w:style>
  <w:style w:type="character" w:customStyle="1" w:styleId="85">
    <w:name w:val="批注框文本 Char"/>
    <w:link w:val="37"/>
    <w:qFormat/>
    <w:uiPriority w:val="0"/>
    <w:rPr>
      <w:rFonts w:ascii="Times New Roman" w:hAnsi="Times New Roman" w:eastAsia="宋体" w:cs="Times New Roman"/>
      <w:sz w:val="18"/>
      <w:szCs w:val="18"/>
    </w:rPr>
  </w:style>
  <w:style w:type="character" w:customStyle="1" w:styleId="86">
    <w:name w:val="font11"/>
    <w:qFormat/>
    <w:uiPriority w:val="0"/>
    <w:rPr>
      <w:rFonts w:hint="eastAsia" w:ascii="仿宋_GB2312" w:eastAsia="仿宋_GB2312" w:cs="仿宋_GB2312"/>
      <w:color w:val="000000"/>
      <w:sz w:val="22"/>
      <w:szCs w:val="22"/>
      <w:u w:val="none"/>
    </w:rPr>
  </w:style>
  <w:style w:type="character" w:customStyle="1" w:styleId="87">
    <w:name w:val="批注主题 Char"/>
    <w:link w:val="55"/>
    <w:qFormat/>
    <w:uiPriority w:val="0"/>
    <w:rPr>
      <w:b/>
      <w:bCs/>
      <w:kern w:val="2"/>
      <w:sz w:val="21"/>
      <w:szCs w:val="24"/>
    </w:rPr>
  </w:style>
  <w:style w:type="character" w:customStyle="1" w:styleId="88">
    <w:name w:val="批注文字 Char"/>
    <w:link w:val="22"/>
    <w:qFormat/>
    <w:uiPriority w:val="0"/>
    <w:rPr>
      <w:kern w:val="2"/>
      <w:sz w:val="21"/>
      <w:szCs w:val="24"/>
    </w:rPr>
  </w:style>
  <w:style w:type="character" w:customStyle="1" w:styleId="89">
    <w:name w:val="正文缩进 Char1"/>
    <w:qFormat/>
    <w:uiPriority w:val="0"/>
    <w:rPr>
      <w:rFonts w:eastAsia="宋体"/>
      <w:kern w:val="2"/>
      <w:sz w:val="21"/>
      <w:szCs w:val="24"/>
      <w:lang w:val="en-US" w:eastAsia="zh-CN" w:bidi="ar-SA"/>
    </w:rPr>
  </w:style>
  <w:style w:type="character" w:customStyle="1" w:styleId="90">
    <w:name w:val="p31"/>
    <w:qFormat/>
    <w:uiPriority w:val="0"/>
    <w:rPr>
      <w:sz w:val="20"/>
      <w:szCs w:val="20"/>
    </w:rPr>
  </w:style>
  <w:style w:type="character" w:customStyle="1" w:styleId="91">
    <w:name w:val="结束语 Char"/>
    <w:link w:val="25"/>
    <w:qFormat/>
    <w:uiPriority w:val="0"/>
    <w:rPr>
      <w:rFonts w:ascii="Times New Roman" w:hAnsi="Times New Roman" w:eastAsia="宋体" w:cs="Times New Roman"/>
      <w:szCs w:val="24"/>
    </w:rPr>
  </w:style>
  <w:style w:type="character" w:customStyle="1" w:styleId="92">
    <w:name w:val="日期 Char1"/>
    <w:semiHidden/>
    <w:qFormat/>
    <w:uiPriority w:val="99"/>
    <w:rPr>
      <w:rFonts w:ascii="Times New Roman" w:hAnsi="Times New Roman" w:eastAsia="宋体" w:cs="Times New Roman"/>
      <w:szCs w:val="24"/>
    </w:rPr>
  </w:style>
  <w:style w:type="character" w:customStyle="1" w:styleId="93">
    <w:name w:val="纯文本 Char2"/>
    <w:link w:val="32"/>
    <w:qFormat/>
    <w:uiPriority w:val="0"/>
    <w:rPr>
      <w:rFonts w:ascii="宋体" w:hAnsi="Courier New"/>
    </w:rPr>
  </w:style>
  <w:style w:type="character" w:customStyle="1" w:styleId="94">
    <w:name w:val="apple-converted-space"/>
    <w:qFormat/>
    <w:uiPriority w:val="0"/>
  </w:style>
  <w:style w:type="character" w:customStyle="1" w:styleId="95">
    <w:name w:val="日期 Char2"/>
    <w:link w:val="34"/>
    <w:qFormat/>
    <w:uiPriority w:val="0"/>
    <w:rPr>
      <w:szCs w:val="24"/>
    </w:rPr>
  </w:style>
  <w:style w:type="character" w:customStyle="1" w:styleId="96">
    <w:name w:val="纯文本 Char"/>
    <w:qFormat/>
    <w:uiPriority w:val="0"/>
    <w:rPr>
      <w:rFonts w:ascii="宋体" w:hAnsi="Courier New" w:eastAsia="宋体" w:cs="Courier New"/>
      <w:kern w:val="2"/>
      <w:sz w:val="21"/>
      <w:szCs w:val="21"/>
      <w:lang w:val="en-US" w:eastAsia="zh-CN" w:bidi="ar-SA"/>
    </w:rPr>
  </w:style>
  <w:style w:type="character" w:customStyle="1" w:styleId="97">
    <w:name w:val="页眉 Char"/>
    <w:link w:val="39"/>
    <w:qFormat/>
    <w:uiPriority w:val="99"/>
    <w:rPr>
      <w:sz w:val="18"/>
      <w:szCs w:val="18"/>
    </w:rPr>
  </w:style>
  <w:style w:type="character" w:customStyle="1" w:styleId="98">
    <w:name w:val="hei"/>
    <w:basedOn w:val="61"/>
    <w:qFormat/>
    <w:uiPriority w:val="0"/>
  </w:style>
  <w:style w:type="character" w:customStyle="1" w:styleId="99">
    <w:name w:val="正文文本缩进 2 Char"/>
    <w:link w:val="35"/>
    <w:qFormat/>
    <w:uiPriority w:val="0"/>
    <w:rPr>
      <w:rFonts w:ascii="Times New Roman" w:hAnsi="Times New Roman" w:eastAsia="宋体" w:cs="Times New Roman"/>
      <w:b/>
      <w:sz w:val="24"/>
      <w:szCs w:val="24"/>
    </w:rPr>
  </w:style>
  <w:style w:type="character" w:customStyle="1" w:styleId="100">
    <w:name w:val="正文文本缩进 Char"/>
    <w:link w:val="27"/>
    <w:qFormat/>
    <w:uiPriority w:val="99"/>
    <w:rPr>
      <w:szCs w:val="24"/>
    </w:rPr>
  </w:style>
  <w:style w:type="character" w:customStyle="1" w:styleId="101">
    <w:name w:val="列出段落 Char"/>
    <w:link w:val="102"/>
    <w:qFormat/>
    <w:locked/>
    <w:uiPriority w:val="34"/>
    <w:rPr>
      <w:kern w:val="2"/>
      <w:sz w:val="21"/>
      <w:szCs w:val="24"/>
    </w:rPr>
  </w:style>
  <w:style w:type="paragraph" w:customStyle="1" w:styleId="102">
    <w:name w:val="列出段落1"/>
    <w:basedOn w:val="1"/>
    <w:link w:val="101"/>
    <w:qFormat/>
    <w:uiPriority w:val="34"/>
    <w:pPr>
      <w:ind w:firstLine="420" w:firstLineChars="200"/>
    </w:pPr>
  </w:style>
  <w:style w:type="paragraph" w:customStyle="1" w:styleId="103">
    <w:name w:val="缺省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04">
    <w:name w:val="0"/>
    <w:basedOn w:val="1"/>
    <w:qFormat/>
    <w:uiPriority w:val="0"/>
    <w:pPr>
      <w:widowControl/>
      <w:snapToGrid w:val="0"/>
    </w:pPr>
    <w:rPr>
      <w:kern w:val="0"/>
      <w:szCs w:val="21"/>
    </w:rPr>
  </w:style>
  <w:style w:type="paragraph" w:customStyle="1" w:styleId="105">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6">
    <w:name w:val="纯文本1"/>
    <w:basedOn w:val="1"/>
    <w:qFormat/>
    <w:uiPriority w:val="0"/>
    <w:pPr>
      <w:adjustRightInd w:val="0"/>
      <w:textAlignment w:val="baseline"/>
    </w:pPr>
    <w:rPr>
      <w:rFonts w:ascii="宋体" w:hAnsi="Courier New" w:eastAsia="楷体_GB2312"/>
      <w:sz w:val="26"/>
      <w:szCs w:val="20"/>
    </w:rPr>
  </w:style>
  <w:style w:type="paragraph" w:customStyle="1" w:styleId="107">
    <w:name w:val="xl83"/>
    <w:basedOn w:val="1"/>
    <w:qFormat/>
    <w:uiPriority w:val="0"/>
    <w:pPr>
      <w:widowControl/>
      <w:spacing w:before="100" w:beforeAutospacing="1" w:after="100" w:afterAutospacing="1"/>
      <w:jc w:val="center"/>
      <w:textAlignment w:val="center"/>
    </w:pPr>
    <w:rPr>
      <w:rFonts w:ascii="宋体" w:hAnsi="宋体" w:cs="宋体"/>
      <w:b/>
      <w:bCs/>
      <w:color w:val="000000"/>
      <w:kern w:val="0"/>
      <w:sz w:val="36"/>
      <w:szCs w:val="36"/>
    </w:rPr>
  </w:style>
  <w:style w:type="paragraph" w:customStyle="1" w:styleId="108">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09">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0">
    <w:name w:val="默认段落字体 Para Char"/>
    <w:basedOn w:val="1"/>
    <w:qFormat/>
    <w:uiPriority w:val="0"/>
    <w:pPr>
      <w:adjustRightInd w:val="0"/>
      <w:spacing w:line="360" w:lineRule="auto"/>
    </w:pPr>
    <w:rPr>
      <w:rFonts w:ascii="宋体" w:hAnsi="宋体" w:cs="宋体"/>
      <w:kern w:val="0"/>
      <w:sz w:val="24"/>
      <w:szCs w:val="20"/>
    </w:rPr>
  </w:style>
  <w:style w:type="paragraph" w:customStyle="1" w:styleId="111">
    <w:name w:val="默认段落字体 Para Char Char Char Char"/>
    <w:basedOn w:val="1"/>
    <w:qFormat/>
    <w:uiPriority w:val="0"/>
  </w:style>
  <w:style w:type="paragraph" w:customStyle="1" w:styleId="112">
    <w:name w:val="text9"/>
    <w:basedOn w:val="1"/>
    <w:qFormat/>
    <w:uiPriority w:val="0"/>
    <w:pPr>
      <w:widowControl/>
      <w:spacing w:before="100" w:beforeAutospacing="1" w:after="100" w:afterAutospacing="1"/>
      <w:jc w:val="left"/>
    </w:pPr>
    <w:rPr>
      <w:rFonts w:ascii="宋体" w:hAnsi="宋体"/>
      <w:kern w:val="0"/>
      <w:sz w:val="24"/>
    </w:rPr>
  </w:style>
  <w:style w:type="paragraph" w:customStyle="1" w:styleId="113">
    <w:name w:val="正文无缩进"/>
    <w:basedOn w:val="1"/>
    <w:qFormat/>
    <w:uiPriority w:val="0"/>
    <w:pPr>
      <w:widowControl/>
      <w:autoSpaceDE w:val="0"/>
      <w:autoSpaceDN w:val="0"/>
      <w:spacing w:line="300" w:lineRule="auto"/>
      <w:textAlignment w:val="bottom"/>
    </w:pPr>
    <w:rPr>
      <w:rFonts w:eastAsia="楷体_GB2312"/>
      <w:szCs w:val="20"/>
    </w:rPr>
  </w:style>
  <w:style w:type="paragraph" w:customStyle="1" w:styleId="114">
    <w:name w:val="封面字体4"/>
    <w:basedOn w:val="1"/>
    <w:qFormat/>
    <w:uiPriority w:val="0"/>
    <w:pPr>
      <w:spacing w:line="240" w:lineRule="atLeast"/>
    </w:pPr>
    <w:rPr>
      <w:rFonts w:ascii="黑体" w:hAnsi="华文细黑" w:eastAsia="黑体" w:cs="Arial"/>
      <w:b/>
      <w:bCs/>
      <w:spacing w:val="100"/>
      <w:kern w:val="0"/>
      <w:sz w:val="44"/>
      <w:szCs w:val="28"/>
    </w:rPr>
  </w:style>
  <w:style w:type="paragraph" w:customStyle="1" w:styleId="115">
    <w:name w:val="Default Text:1"/>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116">
    <w:name w:val="纯文本2"/>
    <w:basedOn w:val="1"/>
    <w:qFormat/>
    <w:uiPriority w:val="0"/>
    <w:pPr>
      <w:adjustRightInd w:val="0"/>
      <w:textAlignment w:val="baseline"/>
    </w:pPr>
    <w:rPr>
      <w:rFonts w:ascii="宋体" w:hAnsi="Courier New" w:eastAsia="楷体_GB2312"/>
      <w:sz w:val="26"/>
      <w:szCs w:val="20"/>
    </w:rPr>
  </w:style>
  <w:style w:type="paragraph" w:customStyle="1" w:styleId="117">
    <w:name w:val="列出段落11"/>
    <w:basedOn w:val="1"/>
    <w:qFormat/>
    <w:uiPriority w:val="0"/>
    <w:pPr>
      <w:ind w:firstLine="420" w:firstLineChars="200"/>
    </w:pPr>
    <w:rPr>
      <w:rFonts w:ascii="Calibri" w:hAnsi="Calibri"/>
      <w:szCs w:val="22"/>
    </w:rPr>
  </w:style>
  <w:style w:type="paragraph" w:customStyle="1" w:styleId="118">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19">
    <w:name w:val="xl36"/>
    <w:basedOn w:val="1"/>
    <w:qFormat/>
    <w:uiPriority w:val="0"/>
    <w:pPr>
      <w:widowControl/>
      <w:spacing w:before="100" w:after="100"/>
      <w:jc w:val="center"/>
    </w:pPr>
    <w:rPr>
      <w:rFonts w:ascii="宋体" w:hAnsi="宋体"/>
      <w:kern w:val="0"/>
      <w:sz w:val="24"/>
      <w:szCs w:val="20"/>
    </w:rPr>
  </w:style>
  <w:style w:type="character" w:customStyle="1" w:styleId="120">
    <w:name w:val="普通(网站) Char"/>
    <w:link w:val="52"/>
    <w:qFormat/>
    <w:uiPriority w:val="99"/>
    <w:rPr>
      <w:rFonts w:ascii="宋体" w:hAnsi="宋体" w:cs="宋体"/>
      <w:sz w:val="24"/>
      <w:szCs w:val="24"/>
    </w:rPr>
  </w:style>
  <w:style w:type="paragraph" w:customStyle="1" w:styleId="121">
    <w:name w:val="封面字体3"/>
    <w:basedOn w:val="1"/>
    <w:qFormat/>
    <w:uiPriority w:val="0"/>
    <w:pPr>
      <w:spacing w:line="240" w:lineRule="atLeast"/>
    </w:pPr>
    <w:rPr>
      <w:rFonts w:ascii="黑体" w:hAnsi="华文细黑" w:eastAsia="黑体" w:cs="Arial"/>
      <w:bCs/>
      <w:spacing w:val="100"/>
      <w:kern w:val="0"/>
      <w:sz w:val="44"/>
      <w:szCs w:val="28"/>
    </w:rPr>
  </w:style>
  <w:style w:type="paragraph" w:customStyle="1" w:styleId="122">
    <w:name w:val="文档正文"/>
    <w:basedOn w:val="1"/>
    <w:qFormat/>
    <w:uiPriority w:val="0"/>
    <w:pPr>
      <w:adjustRightInd w:val="0"/>
      <w:spacing w:line="480" w:lineRule="atLeast"/>
      <w:ind w:firstLine="567"/>
      <w:textAlignment w:val="baseline"/>
    </w:pPr>
    <w:rPr>
      <w:rFonts w:ascii="仿宋_GB2312" w:eastAsia="仿宋_GB2312"/>
      <w:kern w:val="0"/>
      <w:sz w:val="28"/>
      <w:szCs w:val="20"/>
    </w:rPr>
  </w:style>
  <w:style w:type="paragraph" w:customStyle="1" w:styleId="123">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124">
    <w:name w:val="2"/>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25">
    <w:name w:val="line14pj"/>
    <w:basedOn w:val="61"/>
    <w:qFormat/>
    <w:uiPriority w:val="0"/>
  </w:style>
  <w:style w:type="character" w:customStyle="1" w:styleId="126">
    <w:name w:val="正文文本 2 Char"/>
    <w:qFormat/>
    <w:uiPriority w:val="0"/>
    <w:rPr>
      <w:rFonts w:ascii="宋体" w:hAnsi="宋体"/>
      <w:kern w:val="2"/>
      <w:sz w:val="24"/>
      <w:szCs w:val="24"/>
    </w:rPr>
  </w:style>
  <w:style w:type="character" w:customStyle="1" w:styleId="127">
    <w:name w:val="正文文本缩进 Char2"/>
    <w:qFormat/>
    <w:uiPriority w:val="0"/>
    <w:rPr>
      <w:rFonts w:ascii="宋体"/>
      <w:color w:val="000000"/>
      <w:sz w:val="32"/>
      <w:szCs w:val="32"/>
    </w:rPr>
  </w:style>
  <w:style w:type="character" w:customStyle="1" w:styleId="128">
    <w:name w:val="3zw1"/>
    <w:qFormat/>
    <w:uiPriority w:val="0"/>
    <w:rPr>
      <w:color w:val="000000"/>
      <w:sz w:val="21"/>
      <w:szCs w:val="21"/>
    </w:rPr>
  </w:style>
  <w:style w:type="character" w:customStyle="1" w:styleId="129">
    <w:name w:val="font101"/>
    <w:qFormat/>
    <w:uiPriority w:val="0"/>
    <w:rPr>
      <w:rFonts w:hint="eastAsia" w:ascii="宋体" w:hAnsi="宋体" w:eastAsia="宋体"/>
      <w:color w:val="000000"/>
      <w:sz w:val="20"/>
      <w:szCs w:val="20"/>
      <w:u w:val="none"/>
    </w:rPr>
  </w:style>
  <w:style w:type="character" w:customStyle="1" w:styleId="130">
    <w:name w:val="批注框文本 Char1"/>
    <w:qFormat/>
    <w:locked/>
    <w:uiPriority w:val="0"/>
    <w:rPr>
      <w:kern w:val="2"/>
      <w:sz w:val="18"/>
      <w:szCs w:val="18"/>
    </w:rPr>
  </w:style>
  <w:style w:type="character" w:customStyle="1" w:styleId="131">
    <w:name w:val="正文首行缩进 2 Char"/>
    <w:qFormat/>
    <w:uiPriority w:val="0"/>
    <w:rPr>
      <w:rFonts w:ascii="仿宋_GB2312" w:eastAsia="仿宋_GB2312"/>
      <w:color w:val="000000"/>
      <w:sz w:val="24"/>
      <w:szCs w:val="24"/>
    </w:rPr>
  </w:style>
  <w:style w:type="character" w:customStyle="1" w:styleId="132">
    <w:name w:val="hang1"/>
    <w:basedOn w:val="61"/>
    <w:qFormat/>
    <w:uiPriority w:val="0"/>
  </w:style>
  <w:style w:type="character" w:customStyle="1" w:styleId="133">
    <w:name w:val="param-name"/>
    <w:qFormat/>
    <w:uiPriority w:val="0"/>
  </w:style>
  <w:style w:type="character" w:customStyle="1" w:styleId="134">
    <w:name w:val="font21"/>
    <w:qFormat/>
    <w:uiPriority w:val="0"/>
    <w:rPr>
      <w:rFonts w:hint="eastAsia" w:ascii="宋体" w:hAnsi="宋体" w:eastAsia="宋体" w:cs="宋体"/>
      <w:color w:val="000000"/>
      <w:sz w:val="24"/>
      <w:szCs w:val="24"/>
      <w:u w:val="none"/>
    </w:rPr>
  </w:style>
  <w:style w:type="character" w:customStyle="1" w:styleId="135">
    <w:name w:val="正文文本 Char2"/>
    <w:qFormat/>
    <w:uiPriority w:val="0"/>
    <w:rPr>
      <w:rFonts w:ascii="宋体"/>
      <w:color w:val="000000"/>
      <w:sz w:val="28"/>
      <w:szCs w:val="32"/>
    </w:rPr>
  </w:style>
  <w:style w:type="character" w:customStyle="1" w:styleId="136">
    <w:name w:val="段 Char"/>
    <w:link w:val="137"/>
    <w:qFormat/>
    <w:locked/>
    <w:uiPriority w:val="0"/>
    <w:rPr>
      <w:rFonts w:ascii="宋体" w:hAnsi="宋体"/>
      <w:kern w:val="2"/>
      <w:sz w:val="21"/>
      <w:szCs w:val="22"/>
      <w:lang w:val="en-US" w:eastAsia="zh-CN" w:bidi="ar-SA"/>
    </w:rPr>
  </w:style>
  <w:style w:type="paragraph" w:customStyle="1" w:styleId="137">
    <w:name w:val="段"/>
    <w:link w:val="136"/>
    <w:qFormat/>
    <w:uiPriority w:val="0"/>
    <w:pPr>
      <w:tabs>
        <w:tab w:val="center" w:pos="4201"/>
        <w:tab w:val="right" w:leader="dot" w:pos="9298"/>
      </w:tabs>
      <w:autoSpaceDE w:val="0"/>
      <w:autoSpaceDN w:val="0"/>
      <w:ind w:firstLine="420" w:firstLineChars="200"/>
      <w:jc w:val="both"/>
    </w:pPr>
    <w:rPr>
      <w:rFonts w:ascii="宋体" w:hAnsi="宋体" w:eastAsia="宋体" w:cs="Times New Roman"/>
      <w:kern w:val="2"/>
      <w:sz w:val="21"/>
      <w:szCs w:val="22"/>
      <w:lang w:val="en-US" w:eastAsia="zh-CN" w:bidi="ar-SA"/>
    </w:rPr>
  </w:style>
  <w:style w:type="character" w:customStyle="1" w:styleId="138">
    <w:name w:val="正文首行缩进 2 Char1"/>
    <w:basedOn w:val="84"/>
    <w:qFormat/>
    <w:uiPriority w:val="0"/>
    <w:rPr>
      <w:rFonts w:ascii="楷体_GB2312" w:hAnsi="Times New Roman" w:eastAsia="楷体_GB2312" w:cs="Times New Roman"/>
      <w:kern w:val="2"/>
      <w:sz w:val="28"/>
      <w:szCs w:val="31"/>
    </w:rPr>
  </w:style>
  <w:style w:type="character" w:customStyle="1" w:styleId="139">
    <w:name w:val="正文文本 Char1"/>
    <w:qFormat/>
    <w:uiPriority w:val="0"/>
    <w:rPr>
      <w:rFonts w:ascii="楷体_GB2312" w:eastAsia="楷体_GB2312"/>
      <w:kern w:val="2"/>
      <w:sz w:val="28"/>
    </w:rPr>
  </w:style>
  <w:style w:type="character" w:customStyle="1" w:styleId="140">
    <w:name w:val="contentheaderrev1"/>
    <w:qFormat/>
    <w:uiPriority w:val="0"/>
    <w:rPr>
      <w:rFonts w:hint="default" w:ascii="Arial" w:hAnsi="Arial" w:cs="Arial"/>
      <w:b/>
      <w:bCs/>
      <w:color w:val="FFFFFF"/>
      <w:sz w:val="18"/>
      <w:szCs w:val="18"/>
      <w:u w:val="none"/>
    </w:rPr>
  </w:style>
  <w:style w:type="character" w:customStyle="1" w:styleId="141">
    <w:name w:val="text_12_black1"/>
    <w:qFormat/>
    <w:uiPriority w:val="0"/>
    <w:rPr>
      <w:rFonts w:hint="default" w:ascii="ˎ̥" w:hAnsi="ˎ̥"/>
      <w:color w:val="333333"/>
      <w:sz w:val="18"/>
      <w:szCs w:val="18"/>
      <w:u w:val="none"/>
    </w:rPr>
  </w:style>
  <w:style w:type="character" w:customStyle="1" w:styleId="142">
    <w:name w:val="font51"/>
    <w:qFormat/>
    <w:uiPriority w:val="0"/>
    <w:rPr>
      <w:rFonts w:hint="eastAsia" w:ascii="宋体" w:hAnsi="宋体" w:eastAsia="宋体"/>
      <w:b/>
      <w:bCs/>
      <w:color w:val="000000"/>
      <w:sz w:val="18"/>
      <w:szCs w:val="18"/>
      <w:u w:val="none"/>
    </w:rPr>
  </w:style>
  <w:style w:type="character" w:customStyle="1" w:styleId="143">
    <w:name w:val="副标题 Char1"/>
    <w:qFormat/>
    <w:uiPriority w:val="11"/>
    <w:rPr>
      <w:rFonts w:ascii="Cambria" w:hAnsi="Cambria" w:cs="Times New Roman"/>
      <w:b/>
      <w:bCs/>
      <w:kern w:val="28"/>
      <w:sz w:val="32"/>
      <w:szCs w:val="32"/>
    </w:rPr>
  </w:style>
  <w:style w:type="character" w:customStyle="1" w:styleId="144">
    <w:name w:val="unnamed11"/>
    <w:qFormat/>
    <w:uiPriority w:val="0"/>
    <w:rPr>
      <w:sz w:val="20"/>
      <w:szCs w:val="20"/>
    </w:rPr>
  </w:style>
  <w:style w:type="character" w:customStyle="1" w:styleId="145">
    <w:name w:val="ca-131"/>
    <w:qFormat/>
    <w:uiPriority w:val="0"/>
    <w:rPr>
      <w:rFonts w:hint="default" w:ascii="Times New Roman" w:hAnsi="Times New Roman" w:cs="Times New Roman"/>
      <w:sz w:val="21"/>
      <w:szCs w:val="21"/>
    </w:rPr>
  </w:style>
  <w:style w:type="character" w:customStyle="1" w:styleId="146">
    <w:name w:val="正文文本 3 Char"/>
    <w:qFormat/>
    <w:uiPriority w:val="0"/>
    <w:rPr>
      <w:sz w:val="16"/>
      <w:szCs w:val="16"/>
    </w:rPr>
  </w:style>
  <w:style w:type="character" w:customStyle="1" w:styleId="147">
    <w:name w:val="z71"/>
    <w:qFormat/>
    <w:uiPriority w:val="0"/>
    <w:rPr>
      <w:spacing w:val="300"/>
      <w:sz w:val="18"/>
      <w:szCs w:val="18"/>
    </w:rPr>
  </w:style>
  <w:style w:type="character" w:customStyle="1" w:styleId="148">
    <w:name w:val="副标题 Char"/>
    <w:qFormat/>
    <w:uiPriority w:val="0"/>
    <w:rPr>
      <w:rFonts w:ascii="Cambria" w:hAnsi="Cambria"/>
      <w:b/>
      <w:bCs/>
      <w:kern w:val="28"/>
      <w:sz w:val="32"/>
      <w:szCs w:val="32"/>
    </w:rPr>
  </w:style>
  <w:style w:type="character" w:customStyle="1" w:styleId="149">
    <w:name w:val="ca-231"/>
    <w:qFormat/>
    <w:uiPriority w:val="0"/>
    <w:rPr>
      <w:rFonts w:hint="eastAsia" w:ascii="宋体" w:hAnsi="宋体" w:eastAsia="宋体"/>
      <w:sz w:val="24"/>
      <w:szCs w:val="24"/>
    </w:rPr>
  </w:style>
  <w:style w:type="character" w:customStyle="1" w:styleId="150">
    <w:name w:val="ca-251"/>
    <w:qFormat/>
    <w:uiPriority w:val="0"/>
    <w:rPr>
      <w:rFonts w:hint="default" w:ascii="Times New Roman" w:hAnsi="Times New Roman" w:cs="Times New Roman"/>
      <w:sz w:val="24"/>
      <w:szCs w:val="24"/>
    </w:rPr>
  </w:style>
  <w:style w:type="character" w:customStyle="1" w:styleId="151">
    <w:name w:val="正文文本 3 Char1"/>
    <w:qFormat/>
    <w:uiPriority w:val="0"/>
    <w:rPr>
      <w:kern w:val="2"/>
      <w:sz w:val="16"/>
      <w:szCs w:val="16"/>
    </w:rPr>
  </w:style>
  <w:style w:type="character" w:customStyle="1" w:styleId="152">
    <w:name w:val="标题 3 Char1"/>
    <w:qFormat/>
    <w:uiPriority w:val="0"/>
    <w:rPr>
      <w:b/>
      <w:bCs/>
      <w:kern w:val="2"/>
      <w:sz w:val="32"/>
      <w:szCs w:val="32"/>
    </w:rPr>
  </w:style>
  <w:style w:type="character" w:customStyle="1" w:styleId="153">
    <w:name w:val="本级3 Char"/>
    <w:link w:val="154"/>
    <w:qFormat/>
    <w:uiPriority w:val="0"/>
    <w:rPr>
      <w:rFonts w:ascii="仿宋_GB2312" w:hAnsi="仿宋" w:eastAsia="仿宋_GB2312"/>
      <w:b/>
      <w:bCs/>
      <w:kern w:val="2"/>
      <w:sz w:val="32"/>
      <w:szCs w:val="24"/>
    </w:rPr>
  </w:style>
  <w:style w:type="paragraph" w:customStyle="1" w:styleId="154">
    <w:name w:val="本级3"/>
    <w:basedOn w:val="1"/>
    <w:next w:val="1"/>
    <w:link w:val="153"/>
    <w:qFormat/>
    <w:uiPriority w:val="0"/>
    <w:pPr>
      <w:keepNext/>
      <w:keepLines/>
      <w:tabs>
        <w:tab w:val="left" w:pos="567"/>
      </w:tabs>
      <w:spacing w:line="360" w:lineRule="auto"/>
      <w:ind w:left="1827" w:leftChars="100" w:right="100" w:rightChars="100" w:hanging="567"/>
      <w:outlineLvl w:val="2"/>
    </w:pPr>
    <w:rPr>
      <w:rFonts w:ascii="仿宋_GB2312" w:hAnsi="仿宋" w:eastAsia="仿宋_GB2312"/>
      <w:b/>
      <w:bCs/>
      <w:sz w:val="32"/>
    </w:rPr>
  </w:style>
  <w:style w:type="character" w:customStyle="1" w:styleId="155">
    <w:name w:val="正文文本缩进 3 Char"/>
    <w:qFormat/>
    <w:locked/>
    <w:uiPriority w:val="0"/>
    <w:rPr>
      <w:rFonts w:ascii="幼圆" w:eastAsia="幼圆"/>
      <w:kern w:val="2"/>
      <w:sz w:val="24"/>
      <w:szCs w:val="32"/>
    </w:rPr>
  </w:style>
  <w:style w:type="character" w:customStyle="1" w:styleId="156">
    <w:name w:val="首行缩进 Char Char1"/>
    <w:link w:val="157"/>
    <w:qFormat/>
    <w:locked/>
    <w:uiPriority w:val="0"/>
    <w:rPr>
      <w:sz w:val="24"/>
      <w:szCs w:val="24"/>
    </w:rPr>
  </w:style>
  <w:style w:type="paragraph" w:customStyle="1" w:styleId="157">
    <w:name w:val="首行缩进 Char"/>
    <w:basedOn w:val="1"/>
    <w:next w:val="17"/>
    <w:link w:val="156"/>
    <w:qFormat/>
    <w:uiPriority w:val="0"/>
    <w:pPr>
      <w:spacing w:line="300" w:lineRule="auto"/>
      <w:ind w:firstLine="420"/>
    </w:pPr>
    <w:rPr>
      <w:kern w:val="0"/>
      <w:sz w:val="24"/>
    </w:rPr>
  </w:style>
  <w:style w:type="character" w:customStyle="1" w:styleId="158">
    <w:name w:val="text_12_subject1"/>
    <w:qFormat/>
    <w:uiPriority w:val="0"/>
    <w:rPr>
      <w:rFonts w:hint="default" w:ascii="ˎ̥" w:hAnsi="ˎ̥"/>
      <w:b/>
      <w:bCs/>
      <w:color w:val="006699"/>
      <w:sz w:val="18"/>
      <w:szCs w:val="18"/>
      <w:u w:val="none"/>
    </w:rPr>
  </w:style>
  <w:style w:type="character" w:customStyle="1" w:styleId="159">
    <w:name w:val="标题 Char1"/>
    <w:qFormat/>
    <w:uiPriority w:val="10"/>
    <w:rPr>
      <w:rFonts w:ascii="Cambria" w:hAnsi="Cambria" w:cs="Times New Roman"/>
      <w:b/>
      <w:bCs/>
      <w:kern w:val="2"/>
      <w:sz w:val="32"/>
      <w:szCs w:val="32"/>
    </w:rPr>
  </w:style>
  <w:style w:type="character" w:customStyle="1" w:styleId="160">
    <w:name w:val="常规 Char"/>
    <w:link w:val="161"/>
    <w:qFormat/>
    <w:uiPriority w:val="0"/>
    <w:rPr>
      <w:rFonts w:ascii="Tahoma" w:hAnsi="Tahoma"/>
      <w:color w:val="000000"/>
      <w:kern w:val="2"/>
      <w:sz w:val="28"/>
      <w:szCs w:val="21"/>
    </w:rPr>
  </w:style>
  <w:style w:type="paragraph" w:customStyle="1" w:styleId="161">
    <w:name w:val="常规"/>
    <w:basedOn w:val="1"/>
    <w:link w:val="160"/>
    <w:qFormat/>
    <w:uiPriority w:val="0"/>
    <w:pPr>
      <w:spacing w:beforeLines="100" w:afterLines="100" w:line="360" w:lineRule="auto"/>
      <w:ind w:firstLine="560" w:firstLineChars="200"/>
      <w:jc w:val="center"/>
    </w:pPr>
    <w:rPr>
      <w:rFonts w:ascii="Tahoma" w:hAnsi="Tahoma"/>
      <w:color w:val="000000"/>
      <w:sz w:val="28"/>
      <w:szCs w:val="21"/>
    </w:rPr>
  </w:style>
  <w:style w:type="character" w:customStyle="1" w:styleId="162">
    <w:name w:val="文档结构图 Char"/>
    <w:qFormat/>
    <w:uiPriority w:val="0"/>
    <w:rPr>
      <w:kern w:val="2"/>
      <w:sz w:val="21"/>
      <w:szCs w:val="24"/>
      <w:shd w:val="clear" w:color="auto" w:fill="000080"/>
    </w:rPr>
  </w:style>
  <w:style w:type="character" w:customStyle="1" w:styleId="163">
    <w:name w:val="正文新 Char"/>
    <w:link w:val="164"/>
    <w:qFormat/>
    <w:uiPriority w:val="0"/>
    <w:rPr>
      <w:rFonts w:ascii="宋体" w:hAnsi="宋体"/>
      <w:sz w:val="28"/>
    </w:rPr>
  </w:style>
  <w:style w:type="paragraph" w:customStyle="1" w:styleId="164">
    <w:name w:val="正文新"/>
    <w:basedOn w:val="1"/>
    <w:link w:val="163"/>
    <w:qFormat/>
    <w:uiPriority w:val="0"/>
    <w:pPr>
      <w:spacing w:line="360" w:lineRule="auto"/>
      <w:ind w:firstLine="200" w:firstLineChars="200"/>
      <w:jc w:val="left"/>
    </w:pPr>
    <w:rPr>
      <w:rFonts w:ascii="宋体" w:hAnsi="宋体"/>
      <w:kern w:val="0"/>
      <w:sz w:val="28"/>
      <w:szCs w:val="20"/>
    </w:rPr>
  </w:style>
  <w:style w:type="character" w:customStyle="1" w:styleId="165">
    <w:name w:val="font41"/>
    <w:qFormat/>
    <w:uiPriority w:val="0"/>
    <w:rPr>
      <w:rFonts w:hint="eastAsia" w:ascii="宋体" w:hAnsi="宋体" w:eastAsia="宋体"/>
      <w:b/>
      <w:bCs/>
      <w:color w:val="000000"/>
      <w:sz w:val="20"/>
      <w:szCs w:val="20"/>
      <w:u w:val="none"/>
    </w:rPr>
  </w:style>
  <w:style w:type="character" w:customStyle="1" w:styleId="166">
    <w:name w:val="myp1111"/>
    <w:qFormat/>
    <w:uiPriority w:val="0"/>
    <w:rPr>
      <w:rFonts w:hint="default" w:ascii="ˎ̥" w:hAnsi="ˎ̥"/>
      <w:color w:val="000000"/>
      <w:sz w:val="15"/>
      <w:szCs w:val="15"/>
      <w:u w:val="none"/>
    </w:rPr>
  </w:style>
  <w:style w:type="character" w:customStyle="1" w:styleId="167">
    <w:name w:val="尾注文本 Char1"/>
    <w:qFormat/>
    <w:uiPriority w:val="99"/>
    <w:rPr>
      <w:kern w:val="2"/>
      <w:sz w:val="21"/>
      <w:szCs w:val="24"/>
    </w:rPr>
  </w:style>
  <w:style w:type="character" w:customStyle="1" w:styleId="168">
    <w:name w:val="尾注文本 Char"/>
    <w:basedOn w:val="61"/>
    <w:qFormat/>
    <w:uiPriority w:val="0"/>
  </w:style>
  <w:style w:type="character" w:customStyle="1" w:styleId="169">
    <w:name w:val="font01"/>
    <w:qFormat/>
    <w:uiPriority w:val="0"/>
    <w:rPr>
      <w:rFonts w:hint="eastAsia" w:ascii="宋体" w:hAnsi="宋体" w:eastAsia="宋体" w:cs="宋体"/>
      <w:color w:val="000000"/>
      <w:sz w:val="24"/>
      <w:szCs w:val="24"/>
      <w:u w:val="none"/>
      <w:vertAlign w:val="superscript"/>
    </w:rPr>
  </w:style>
  <w:style w:type="character" w:customStyle="1" w:styleId="170">
    <w:name w:val="font61"/>
    <w:qFormat/>
    <w:uiPriority w:val="0"/>
    <w:rPr>
      <w:rFonts w:hint="eastAsia" w:ascii="宋体" w:hAnsi="宋体" w:eastAsia="宋体"/>
      <w:b/>
      <w:bCs/>
      <w:color w:val="000000"/>
      <w:sz w:val="20"/>
      <w:szCs w:val="20"/>
      <w:u w:val="none"/>
    </w:rPr>
  </w:style>
  <w:style w:type="character" w:customStyle="1" w:styleId="171">
    <w:name w:val="正文缩进2格 Char"/>
    <w:link w:val="172"/>
    <w:qFormat/>
    <w:uiPriority w:val="0"/>
    <w:rPr>
      <w:rFonts w:ascii="仿宋_GB2312" w:hAnsi="宋体" w:eastAsia="仿宋_GB2312"/>
      <w:kern w:val="2"/>
      <w:sz w:val="31"/>
    </w:rPr>
  </w:style>
  <w:style w:type="paragraph" w:customStyle="1" w:styleId="172">
    <w:name w:val="正文缩进2格"/>
    <w:basedOn w:val="1"/>
    <w:link w:val="171"/>
    <w:qFormat/>
    <w:uiPriority w:val="0"/>
    <w:pPr>
      <w:spacing w:line="600" w:lineRule="exact"/>
      <w:ind w:firstLine="639" w:firstLineChars="206"/>
    </w:pPr>
    <w:rPr>
      <w:rFonts w:ascii="仿宋_GB2312" w:hAnsi="宋体" w:eastAsia="仿宋_GB2312"/>
      <w:sz w:val="31"/>
      <w:szCs w:val="20"/>
    </w:rPr>
  </w:style>
  <w:style w:type="character" w:customStyle="1" w:styleId="173">
    <w:name w:val="word21"/>
    <w:qFormat/>
    <w:uiPriority w:val="0"/>
    <w:rPr>
      <w:b/>
      <w:bCs/>
      <w:color w:val="194D7C"/>
      <w:spacing w:val="400"/>
      <w:sz w:val="24"/>
      <w:szCs w:val="24"/>
    </w:rPr>
  </w:style>
  <w:style w:type="character" w:customStyle="1" w:styleId="174">
    <w:name w:val="content021"/>
    <w:qFormat/>
    <w:uiPriority w:val="0"/>
    <w:rPr>
      <w:color w:val="444444"/>
      <w:spacing w:val="330"/>
      <w:sz w:val="21"/>
      <w:szCs w:val="21"/>
      <w:u w:val="none"/>
    </w:rPr>
  </w:style>
  <w:style w:type="character" w:customStyle="1" w:styleId="175">
    <w:name w:val="Char Char5"/>
    <w:qFormat/>
    <w:uiPriority w:val="0"/>
    <w:rPr>
      <w:rFonts w:ascii="Times New Roman" w:hAnsi="Times New Roman" w:eastAsia="宋体"/>
      <w:sz w:val="18"/>
    </w:rPr>
  </w:style>
  <w:style w:type="character" w:customStyle="1" w:styleId="176">
    <w:name w:val="正文首行缩进 Char"/>
    <w:qFormat/>
    <w:uiPriority w:val="0"/>
    <w:rPr>
      <w:rFonts w:ascii="宋体"/>
      <w:color w:val="000000"/>
      <w:kern w:val="2"/>
      <w:sz w:val="21"/>
      <w:szCs w:val="32"/>
    </w:rPr>
  </w:style>
  <w:style w:type="character" w:customStyle="1" w:styleId="177">
    <w:name w:val="hei12"/>
    <w:basedOn w:val="61"/>
    <w:qFormat/>
    <w:uiPriority w:val="0"/>
  </w:style>
  <w:style w:type="character" w:customStyle="1" w:styleId="178">
    <w:name w:val="ca-121"/>
    <w:qFormat/>
    <w:uiPriority w:val="0"/>
    <w:rPr>
      <w:rFonts w:hint="eastAsia" w:ascii="宋体" w:hAnsi="宋体" w:eastAsia="宋体"/>
      <w:sz w:val="21"/>
      <w:szCs w:val="21"/>
    </w:rPr>
  </w:style>
  <w:style w:type="character" w:customStyle="1" w:styleId="179">
    <w:name w:val="font31"/>
    <w:qFormat/>
    <w:uiPriority w:val="0"/>
    <w:rPr>
      <w:rFonts w:hint="eastAsia" w:ascii="宋体" w:hAnsi="宋体" w:eastAsia="宋体"/>
      <w:color w:val="000000"/>
      <w:sz w:val="18"/>
      <w:szCs w:val="18"/>
      <w:u w:val="none"/>
    </w:rPr>
  </w:style>
  <w:style w:type="character" w:customStyle="1" w:styleId="180">
    <w:name w:val="z21"/>
    <w:qFormat/>
    <w:uiPriority w:val="0"/>
    <w:rPr>
      <w:color w:val="000000"/>
      <w:spacing w:val="255"/>
      <w:sz w:val="18"/>
      <w:szCs w:val="18"/>
    </w:rPr>
  </w:style>
  <w:style w:type="character" w:customStyle="1" w:styleId="181">
    <w:name w:val="标题 Char"/>
    <w:qFormat/>
    <w:uiPriority w:val="99"/>
    <w:rPr>
      <w:rFonts w:ascii="Arial" w:hAnsi="Arial"/>
      <w:b/>
      <w:bCs/>
      <w:sz w:val="32"/>
      <w:szCs w:val="32"/>
    </w:rPr>
  </w:style>
  <w:style w:type="character" w:customStyle="1" w:styleId="182">
    <w:name w:val="样式 目录 2 + 宋体 Char"/>
    <w:link w:val="183"/>
    <w:qFormat/>
    <w:uiPriority w:val="0"/>
    <w:rPr>
      <w:rFonts w:ascii="宋体" w:hAnsi="宋体"/>
      <w:sz w:val="28"/>
    </w:rPr>
  </w:style>
  <w:style w:type="paragraph" w:customStyle="1" w:styleId="183">
    <w:name w:val="样式 目录 2 + 宋体"/>
    <w:basedOn w:val="2"/>
    <w:next w:val="2"/>
    <w:link w:val="182"/>
    <w:qFormat/>
    <w:uiPriority w:val="0"/>
    <w:pPr>
      <w:widowControl w:val="0"/>
      <w:spacing w:after="120"/>
      <w:jc w:val="both"/>
    </w:pPr>
    <w:rPr>
      <w:rFonts w:ascii="宋体" w:hAnsi="宋体"/>
      <w:sz w:val="28"/>
    </w:rPr>
  </w:style>
  <w:style w:type="character" w:customStyle="1" w:styleId="184">
    <w:name w:val="abcde1"/>
    <w:qFormat/>
    <w:uiPriority w:val="0"/>
    <w:rPr>
      <w:spacing w:val="400"/>
      <w:sz w:val="26"/>
      <w:szCs w:val="26"/>
    </w:rPr>
  </w:style>
  <w:style w:type="paragraph" w:customStyle="1" w:styleId="185">
    <w:name w:val="Char1"/>
    <w:basedOn w:val="1"/>
    <w:qFormat/>
    <w:uiPriority w:val="0"/>
    <w:rPr>
      <w:rFonts w:ascii="Tahoma" w:hAnsi="Tahoma"/>
      <w:sz w:val="24"/>
      <w:szCs w:val="20"/>
    </w:rPr>
  </w:style>
  <w:style w:type="paragraph" w:customStyle="1" w:styleId="186">
    <w:name w:val="xl11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character" w:customStyle="1" w:styleId="187">
    <w:name w:val="标题 Char2"/>
    <w:basedOn w:val="61"/>
    <w:link w:val="54"/>
    <w:qFormat/>
    <w:uiPriority w:val="10"/>
    <w:rPr>
      <w:rFonts w:ascii="Cambria" w:hAnsi="Cambria" w:cs="Times New Roman"/>
      <w:b/>
      <w:bCs/>
      <w:kern w:val="2"/>
      <w:sz w:val="32"/>
      <w:szCs w:val="32"/>
    </w:rPr>
  </w:style>
  <w:style w:type="paragraph" w:customStyle="1" w:styleId="188">
    <w:name w:val="Char Char1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9">
    <w:name w:val="正文 New New"/>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character" w:customStyle="1" w:styleId="190">
    <w:name w:val="正文首行缩进 2 Char2"/>
    <w:basedOn w:val="100"/>
    <w:link w:val="57"/>
    <w:semiHidden/>
    <w:qFormat/>
    <w:uiPriority w:val="0"/>
    <w:rPr>
      <w:kern w:val="2"/>
      <w:sz w:val="21"/>
      <w:szCs w:val="24"/>
    </w:rPr>
  </w:style>
  <w:style w:type="paragraph" w:customStyle="1" w:styleId="191">
    <w:name w:val="样式3"/>
    <w:qFormat/>
    <w:uiPriority w:val="0"/>
    <w:pPr>
      <w:spacing w:line="300" w:lineRule="auto"/>
    </w:pPr>
    <w:rPr>
      <w:rFonts w:ascii="Times New Roman" w:hAnsi="Times New Roman" w:eastAsia="宋体" w:cs="Times New Roman"/>
      <w:lang w:val="en-US" w:eastAsia="zh-CN" w:bidi="ar-SA"/>
    </w:rPr>
  </w:style>
  <w:style w:type="paragraph" w:customStyle="1" w:styleId="192">
    <w:name w:val="xl9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MingLiU" w:hAnsi="MingLiU" w:eastAsia="MingLiU" w:cs="宋体"/>
      <w:kern w:val="0"/>
      <w:sz w:val="24"/>
    </w:rPr>
  </w:style>
  <w:style w:type="paragraph" w:customStyle="1" w:styleId="193">
    <w:name w:val="表项"/>
    <w:next w:val="194"/>
    <w:qFormat/>
    <w:uiPriority w:val="0"/>
    <w:pPr>
      <w:adjustRightInd w:val="0"/>
      <w:snapToGrid w:val="0"/>
      <w:spacing w:line="300" w:lineRule="auto"/>
      <w:jc w:val="center"/>
    </w:pPr>
    <w:rPr>
      <w:rFonts w:ascii="Arial" w:hAnsi="Arial" w:eastAsia="黑体" w:cs="Arial"/>
      <w:iCs/>
      <w:kern w:val="2"/>
      <w:sz w:val="16"/>
      <w:lang w:val="en-US" w:eastAsia="zh-CN" w:bidi="ar-SA"/>
    </w:rPr>
  </w:style>
  <w:style w:type="paragraph" w:customStyle="1" w:styleId="194">
    <w:name w:val="表身（左）"/>
    <w:qFormat/>
    <w:uiPriority w:val="0"/>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195">
    <w:name w:val="xl43"/>
    <w:basedOn w:val="1"/>
    <w:qFormat/>
    <w:uiPriority w:val="0"/>
    <w:pPr>
      <w:widowControl/>
      <w:pBdr>
        <w:top w:val="single" w:color="auto" w:sz="4" w:space="0"/>
        <w:left w:val="single" w:color="auto" w:sz="4" w:space="0"/>
        <w:right w:val="single" w:color="auto" w:sz="8"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196">
    <w:name w:val="Block"/>
    <w:basedOn w:val="1"/>
    <w:next w:val="161"/>
    <w:qFormat/>
    <w:uiPriority w:val="0"/>
    <w:pPr>
      <w:tabs>
        <w:tab w:val="left" w:pos="0"/>
      </w:tabs>
    </w:pPr>
    <w:rPr>
      <w:rFonts w:ascii="Arial" w:hAnsi="Arial" w:eastAsia="楷体_GB2312"/>
      <w:color w:val="000080"/>
      <w:sz w:val="28"/>
      <w:szCs w:val="28"/>
    </w:rPr>
  </w:style>
  <w:style w:type="paragraph" w:customStyle="1" w:styleId="197">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98">
    <w:name w:val="样式 标题 5 + 段前: 0.5 行 段后: 0.5 行"/>
    <w:basedOn w:val="7"/>
    <w:qFormat/>
    <w:uiPriority w:val="0"/>
    <w:pPr>
      <w:tabs>
        <w:tab w:val="left" w:pos="2580"/>
      </w:tabs>
      <w:spacing w:beforeLines="50" w:afterLines="50" w:line="360" w:lineRule="auto"/>
      <w:ind w:left="2580" w:hanging="420"/>
    </w:pPr>
    <w:rPr>
      <w:rFonts w:ascii="Times New Roman" w:hAnsi="Times New Roman" w:eastAsia="黑体" w:cs="宋体"/>
      <w:b w:val="0"/>
      <w:kern w:val="0"/>
      <w:szCs w:val="20"/>
    </w:rPr>
  </w:style>
  <w:style w:type="paragraph" w:customStyle="1" w:styleId="199">
    <w:name w:val="样式5"/>
    <w:basedOn w:val="157"/>
    <w:qFormat/>
    <w:uiPriority w:val="0"/>
    <w:pPr>
      <w:snapToGrid w:val="0"/>
      <w:spacing w:line="360" w:lineRule="auto"/>
      <w:ind w:firstLine="456" w:firstLineChars="200"/>
      <w:jc w:val="left"/>
    </w:pPr>
    <w:rPr>
      <w:rFonts w:ascii="楷体_GB2312" w:hAnsi="楷体_GB2312" w:eastAsia="楷体_GB2312" w:cs="宋体"/>
      <w:b/>
      <w:spacing w:val="-6"/>
    </w:rPr>
  </w:style>
  <w:style w:type="character" w:customStyle="1" w:styleId="200">
    <w:name w:val="正文首行缩进 Char1"/>
    <w:basedOn w:val="82"/>
    <w:link w:val="56"/>
    <w:semiHidden/>
    <w:qFormat/>
    <w:uiPriority w:val="0"/>
    <w:rPr>
      <w:rFonts w:ascii="Times New Roman" w:hAnsi="Times New Roman" w:eastAsia="宋体" w:cs="Times New Roman"/>
      <w:kern w:val="2"/>
      <w:sz w:val="21"/>
      <w:szCs w:val="24"/>
    </w:rPr>
  </w:style>
  <w:style w:type="character" w:customStyle="1" w:styleId="201">
    <w:name w:val="正文文本 2 Char1"/>
    <w:basedOn w:val="61"/>
    <w:link w:val="49"/>
    <w:semiHidden/>
    <w:qFormat/>
    <w:uiPriority w:val="0"/>
    <w:rPr>
      <w:kern w:val="2"/>
      <w:sz w:val="21"/>
      <w:szCs w:val="24"/>
    </w:rPr>
  </w:style>
  <w:style w:type="paragraph" w:customStyle="1" w:styleId="202">
    <w:name w:val="样式 标题 3H3h3h31第二层条3Bold Headbh章标题1小标题level_3PIM 3Lev...2"/>
    <w:basedOn w:val="5"/>
    <w:qFormat/>
    <w:uiPriority w:val="0"/>
    <w:pPr>
      <w:tabs>
        <w:tab w:val="left" w:pos="1740"/>
      </w:tabs>
      <w:spacing w:beforeLines="50" w:afterLines="50" w:line="540" w:lineRule="auto"/>
      <w:ind w:left="1740" w:hanging="420"/>
    </w:pPr>
    <w:rPr>
      <w:rFonts w:ascii="宋体" w:hAnsi="宋体" w:eastAsia="黑体" w:cs="宋体"/>
      <w:b w:val="0"/>
      <w:szCs w:val="20"/>
    </w:rPr>
  </w:style>
  <w:style w:type="paragraph" w:customStyle="1" w:styleId="203">
    <w:name w:val="_Style 56"/>
    <w:basedOn w:val="1"/>
    <w:qFormat/>
    <w:uiPriority w:val="0"/>
    <w:pPr>
      <w:ind w:firstLine="420" w:firstLineChars="200"/>
    </w:pPr>
    <w:rPr>
      <w:rFonts w:ascii="Calibri" w:hAnsi="Calibri"/>
      <w:szCs w:val="22"/>
    </w:rPr>
  </w:style>
  <w:style w:type="paragraph" w:customStyle="1" w:styleId="204">
    <w:name w:val="列出段落2"/>
    <w:basedOn w:val="1"/>
    <w:qFormat/>
    <w:uiPriority w:val="0"/>
    <w:pPr>
      <w:ind w:firstLine="420" w:firstLineChars="200"/>
    </w:pPr>
  </w:style>
  <w:style w:type="paragraph" w:customStyle="1" w:styleId="205">
    <w:name w:val="样式 样式 标题 3H3h3h31Heading 3 - old3Heading 3 hidden2hh32Sect... + ..."/>
    <w:basedOn w:val="1"/>
    <w:qFormat/>
    <w:uiPriority w:val="0"/>
    <w:pPr>
      <w:keepNext/>
      <w:keepLines/>
      <w:tabs>
        <w:tab w:val="left" w:pos="1931"/>
      </w:tabs>
      <w:spacing w:before="100" w:beforeAutospacing="1" w:afterLines="100"/>
      <w:ind w:left="1418" w:hanging="567"/>
      <w:outlineLvl w:val="2"/>
    </w:pPr>
    <w:rPr>
      <w:rFonts w:ascii="Arial Unicode MS" w:hAnsi="Arial Unicode MS" w:eastAsia="楷体_GB2312" w:cs="宋体"/>
      <w:b/>
      <w:bCs/>
      <w:sz w:val="30"/>
      <w:szCs w:val="20"/>
    </w:rPr>
  </w:style>
  <w:style w:type="character" w:customStyle="1" w:styleId="206">
    <w:name w:val="副标题 Char2"/>
    <w:basedOn w:val="61"/>
    <w:link w:val="42"/>
    <w:qFormat/>
    <w:uiPriority w:val="11"/>
    <w:rPr>
      <w:rFonts w:ascii="Cambria" w:hAnsi="Cambria" w:cs="Times New Roman"/>
      <w:b/>
      <w:bCs/>
      <w:kern w:val="28"/>
      <w:sz w:val="32"/>
      <w:szCs w:val="32"/>
    </w:rPr>
  </w:style>
  <w:style w:type="paragraph" w:customStyle="1" w:styleId="207">
    <w:name w:val="xl51"/>
    <w:basedOn w:val="1"/>
    <w:qFormat/>
    <w:uiPriority w:val="0"/>
    <w:pPr>
      <w:widowControl/>
      <w:pBdr>
        <w:top w:val="single" w:color="auto" w:sz="4" w:space="0"/>
        <w:lef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208">
    <w:name w:val="CM2"/>
    <w:basedOn w:val="118"/>
    <w:next w:val="118"/>
    <w:qFormat/>
    <w:uiPriority w:val="0"/>
    <w:pPr>
      <w:spacing w:line="623" w:lineRule="atLeast"/>
    </w:pPr>
    <w:rPr>
      <w:rFonts w:ascii=".a..DD.." w:hAnsi="Times New Roman" w:eastAsia=".a..DD.." w:cs="Times New Roman"/>
      <w:color w:val="auto"/>
    </w:rPr>
  </w:style>
  <w:style w:type="character" w:customStyle="1" w:styleId="209">
    <w:name w:val="尾注文本 Char2"/>
    <w:basedOn w:val="61"/>
    <w:link w:val="36"/>
    <w:semiHidden/>
    <w:qFormat/>
    <w:uiPriority w:val="0"/>
    <w:rPr>
      <w:kern w:val="2"/>
      <w:sz w:val="21"/>
      <w:szCs w:val="24"/>
    </w:rPr>
  </w:style>
  <w:style w:type="paragraph" w:customStyle="1" w:styleId="210">
    <w:name w:val="Char1 Char Char Char"/>
    <w:basedOn w:val="1"/>
    <w:qFormat/>
    <w:uiPriority w:val="0"/>
    <w:rPr>
      <w:rFonts w:ascii="Tahoma" w:hAnsi="Tahoma"/>
      <w:sz w:val="24"/>
      <w:szCs w:val="20"/>
    </w:rPr>
  </w:style>
  <w:style w:type="paragraph" w:customStyle="1" w:styleId="211">
    <w:name w:val="zw_12_25"/>
    <w:basedOn w:val="1"/>
    <w:qFormat/>
    <w:uiPriority w:val="0"/>
    <w:pPr>
      <w:widowControl/>
      <w:spacing w:before="100" w:beforeAutospacing="1" w:after="100" w:afterAutospacing="1" w:line="300" w:lineRule="atLeast"/>
      <w:jc w:val="left"/>
    </w:pPr>
    <w:rPr>
      <w:color w:val="333399"/>
      <w:kern w:val="0"/>
      <w:sz w:val="23"/>
      <w:szCs w:val="23"/>
    </w:rPr>
  </w:style>
  <w:style w:type="paragraph" w:customStyle="1" w:styleId="212">
    <w:name w:val="样式 标题 4 + 段前: 0.5 行 段后: 0.5 行 行距: 多倍行距 1.57 字行"/>
    <w:basedOn w:val="6"/>
    <w:qFormat/>
    <w:uiPriority w:val="0"/>
    <w:pPr>
      <w:tabs>
        <w:tab w:val="left" w:pos="2160"/>
      </w:tabs>
      <w:spacing w:beforeLines="50" w:afterLines="50"/>
      <w:ind w:left="2160" w:hanging="420"/>
    </w:pPr>
    <w:rPr>
      <w:rFonts w:cs="宋体"/>
      <w:b w:val="0"/>
      <w:sz w:val="30"/>
      <w:szCs w:val="30"/>
    </w:rPr>
  </w:style>
  <w:style w:type="paragraph" w:customStyle="1" w:styleId="213">
    <w:name w:val="xl10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214">
    <w:name w:val="正文缩进2"/>
    <w:basedOn w:val="1"/>
    <w:qFormat/>
    <w:uiPriority w:val="0"/>
    <w:pPr>
      <w:spacing w:line="360" w:lineRule="auto"/>
      <w:ind w:firstLine="200" w:firstLineChars="200"/>
    </w:pPr>
  </w:style>
  <w:style w:type="character" w:customStyle="1" w:styleId="215">
    <w:name w:val="正文文本缩进 3 Char1"/>
    <w:basedOn w:val="61"/>
    <w:link w:val="45"/>
    <w:semiHidden/>
    <w:qFormat/>
    <w:uiPriority w:val="0"/>
    <w:rPr>
      <w:kern w:val="2"/>
      <w:sz w:val="16"/>
      <w:szCs w:val="16"/>
    </w:rPr>
  </w:style>
  <w:style w:type="paragraph" w:customStyle="1" w:styleId="216">
    <w:name w:val="打印正文1"/>
    <w:basedOn w:val="1"/>
    <w:qFormat/>
    <w:uiPriority w:val="0"/>
    <w:pPr>
      <w:tabs>
        <w:tab w:val="left" w:pos="705"/>
        <w:tab w:val="left" w:pos="1440"/>
      </w:tabs>
      <w:spacing w:line="480" w:lineRule="atLeast"/>
      <w:ind w:left="1440" w:hanging="360"/>
    </w:pPr>
    <w:rPr>
      <w:rFonts w:ascii="宋体" w:hAnsi="宋体"/>
      <w:bCs/>
      <w:spacing w:val="10"/>
      <w:kern w:val="28"/>
      <w:szCs w:val="21"/>
    </w:rPr>
  </w:style>
  <w:style w:type="paragraph" w:customStyle="1" w:styleId="217">
    <w:name w:val="表身（中）"/>
    <w:basedOn w:val="194"/>
    <w:qFormat/>
    <w:uiPriority w:val="0"/>
    <w:pPr>
      <w:jc w:val="center"/>
    </w:pPr>
  </w:style>
  <w:style w:type="paragraph" w:customStyle="1" w:styleId="218">
    <w:name w:val="项目编号1级"/>
    <w:basedOn w:val="214"/>
    <w:qFormat/>
    <w:uiPriority w:val="0"/>
    <w:pPr>
      <w:tabs>
        <w:tab w:val="left" w:pos="840"/>
      </w:tabs>
      <w:ind w:left="840" w:hanging="420" w:firstLineChars="0"/>
    </w:pPr>
  </w:style>
  <w:style w:type="paragraph" w:customStyle="1" w:styleId="219">
    <w:name w:val="一级无"/>
    <w:basedOn w:val="220"/>
    <w:qFormat/>
    <w:uiPriority w:val="0"/>
    <w:pPr>
      <w:spacing w:beforeLines="0" w:afterLines="0"/>
    </w:pPr>
    <w:rPr>
      <w:rFonts w:ascii="宋体" w:eastAsia="宋体"/>
    </w:rPr>
  </w:style>
  <w:style w:type="paragraph" w:customStyle="1" w:styleId="220">
    <w:name w:val="一级条标题"/>
    <w:next w:val="1"/>
    <w:qFormat/>
    <w:uiPriority w:val="0"/>
    <w:pPr>
      <w:spacing w:beforeLines="50" w:afterLines="50"/>
      <w:outlineLvl w:val="2"/>
    </w:pPr>
    <w:rPr>
      <w:rFonts w:ascii="黑体" w:hAnsi="Times New Roman" w:eastAsia="黑体" w:cs="Times New Roman"/>
      <w:sz w:val="21"/>
      <w:szCs w:val="21"/>
      <w:lang w:val="en-US" w:eastAsia="zh-CN" w:bidi="ar-SA"/>
    </w:rPr>
  </w:style>
  <w:style w:type="paragraph" w:customStyle="1" w:styleId="221">
    <w:name w:val="four"/>
    <w:basedOn w:val="1"/>
    <w:qFormat/>
    <w:uiPriority w:val="0"/>
    <w:pPr>
      <w:widowControl/>
      <w:spacing w:before="100" w:beforeAutospacing="1" w:after="100" w:afterAutospacing="1"/>
      <w:jc w:val="left"/>
    </w:pPr>
    <w:rPr>
      <w:rFonts w:ascii="宋体" w:hAnsi="宋体" w:cs="宋体"/>
      <w:kern w:val="0"/>
      <w:sz w:val="24"/>
    </w:rPr>
  </w:style>
  <w:style w:type="paragraph" w:customStyle="1" w:styleId="222">
    <w:name w:val="text_12_black"/>
    <w:basedOn w:val="1"/>
    <w:qFormat/>
    <w:uiPriority w:val="0"/>
    <w:pPr>
      <w:widowControl/>
      <w:spacing w:before="100" w:beforeAutospacing="1" w:after="100" w:afterAutospacing="1" w:line="300" w:lineRule="atLeast"/>
      <w:jc w:val="left"/>
    </w:pPr>
    <w:rPr>
      <w:rFonts w:ascii="ˎ̥" w:hAnsi="ˎ̥" w:cs="宋体"/>
      <w:color w:val="333333"/>
      <w:kern w:val="0"/>
      <w:sz w:val="18"/>
      <w:szCs w:val="18"/>
    </w:rPr>
  </w:style>
  <w:style w:type="character" w:customStyle="1" w:styleId="223">
    <w:name w:val="文档结构图 Char1"/>
    <w:basedOn w:val="61"/>
    <w:link w:val="21"/>
    <w:semiHidden/>
    <w:qFormat/>
    <w:uiPriority w:val="0"/>
    <w:rPr>
      <w:rFonts w:ascii="宋体"/>
      <w:kern w:val="2"/>
      <w:sz w:val="18"/>
      <w:szCs w:val="18"/>
    </w:rPr>
  </w:style>
  <w:style w:type="paragraph" w:customStyle="1" w:styleId="224">
    <w:name w:val="正"/>
    <w:basedOn w:val="1"/>
    <w:qFormat/>
    <w:uiPriority w:val="0"/>
    <w:pPr>
      <w:ind w:firstLine="525"/>
    </w:pPr>
    <w:rPr>
      <w:spacing w:val="20"/>
      <w:szCs w:val="20"/>
    </w:rPr>
  </w:style>
  <w:style w:type="paragraph" w:customStyle="1" w:styleId="225">
    <w:name w:val="公司名称"/>
    <w:basedOn w:val="1"/>
    <w:qFormat/>
    <w:uiPriority w:val="0"/>
    <w:pPr>
      <w:keepLines/>
      <w:widowControl/>
      <w:shd w:val="solid" w:color="auto" w:fill="auto"/>
      <w:spacing w:line="320" w:lineRule="atLeast"/>
      <w:jc w:val="left"/>
    </w:pPr>
    <w:rPr>
      <w:rFonts w:ascii="Arial Black" w:hAnsi="Arial Black" w:eastAsia="黑体"/>
      <w:color w:val="FFFFFF"/>
      <w:spacing w:val="-15"/>
      <w:kern w:val="0"/>
      <w:sz w:val="32"/>
      <w:szCs w:val="20"/>
    </w:rPr>
  </w:style>
  <w:style w:type="paragraph" w:customStyle="1" w:styleId="226">
    <w:name w:val="样式11"/>
    <w:basedOn w:val="1"/>
    <w:qFormat/>
    <w:uiPriority w:val="0"/>
    <w:pPr>
      <w:keepNext/>
      <w:keepLines/>
      <w:spacing w:before="100" w:beforeAutospacing="1" w:after="100" w:afterAutospacing="1" w:line="360" w:lineRule="auto"/>
      <w:outlineLvl w:val="1"/>
    </w:pPr>
    <w:rPr>
      <w:rFonts w:ascii="Arial" w:hAnsi="Arial" w:eastAsia="黑体" w:cs="宋体"/>
      <w:bCs/>
      <w:sz w:val="32"/>
      <w:szCs w:val="20"/>
    </w:rPr>
  </w:style>
  <w:style w:type="paragraph" w:customStyle="1" w:styleId="227">
    <w:name w:val="不缩进"/>
    <w:basedOn w:val="1"/>
    <w:qFormat/>
    <w:uiPriority w:val="0"/>
    <w:pPr>
      <w:spacing w:line="360" w:lineRule="auto"/>
      <w:jc w:val="center"/>
    </w:pPr>
    <w:rPr>
      <w:b/>
      <w:bCs/>
      <w:sz w:val="28"/>
      <w:szCs w:val="21"/>
    </w:rPr>
  </w:style>
  <w:style w:type="paragraph" w:customStyle="1" w:styleId="228">
    <w:name w:val="font6"/>
    <w:basedOn w:val="1"/>
    <w:qFormat/>
    <w:uiPriority w:val="0"/>
    <w:pPr>
      <w:widowControl/>
      <w:spacing w:before="100" w:beforeAutospacing="1" w:after="100" w:afterAutospacing="1"/>
      <w:jc w:val="left"/>
    </w:pPr>
    <w:rPr>
      <w:rFonts w:eastAsia="Arial Unicode MS"/>
      <w:kern w:val="0"/>
      <w:sz w:val="24"/>
    </w:rPr>
  </w:style>
  <w:style w:type="paragraph" w:customStyle="1" w:styleId="229">
    <w:name w:val="小标"/>
    <w:basedOn w:val="1"/>
    <w:qFormat/>
    <w:uiPriority w:val="0"/>
    <w:rPr>
      <w:rFonts w:hint="eastAsia" w:ascii="黑体" w:eastAsia="黑体"/>
      <w:spacing w:val="20"/>
      <w:szCs w:val="20"/>
    </w:rPr>
  </w:style>
  <w:style w:type="paragraph" w:customStyle="1" w:styleId="230">
    <w:name w:val="xl1062"/>
    <w:basedOn w:val="1"/>
    <w:qFormat/>
    <w:uiPriority w:val="0"/>
    <w:pPr>
      <w:widowControl/>
      <w:spacing w:before="100" w:beforeAutospacing="1" w:after="100" w:afterAutospacing="1"/>
      <w:jc w:val="center"/>
    </w:pPr>
    <w:rPr>
      <w:rFonts w:ascii="宋体" w:hAnsi="宋体" w:cs="宋体"/>
      <w:b/>
      <w:bCs/>
      <w:kern w:val="0"/>
      <w:sz w:val="32"/>
      <w:szCs w:val="32"/>
    </w:rPr>
  </w:style>
  <w:style w:type="paragraph" w:customStyle="1" w:styleId="231">
    <w:name w:val="正文悬挂缩进4"/>
    <w:basedOn w:val="1"/>
    <w:qFormat/>
    <w:uiPriority w:val="0"/>
    <w:pPr>
      <w:spacing w:line="360" w:lineRule="auto"/>
      <w:ind w:left="839"/>
    </w:pPr>
  </w:style>
  <w:style w:type="paragraph" w:customStyle="1" w:styleId="232">
    <w:name w:val="xl10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微软雅黑" w:hAnsi="微软雅黑" w:eastAsia="微软雅黑" w:cs="宋体"/>
      <w:kern w:val="0"/>
      <w:sz w:val="20"/>
      <w:szCs w:val="20"/>
    </w:rPr>
  </w:style>
  <w:style w:type="paragraph" w:customStyle="1" w:styleId="233">
    <w:name w:val="警告"/>
    <w:basedOn w:val="1"/>
    <w:next w:val="161"/>
    <w:qFormat/>
    <w:uiPriority w:val="0"/>
    <w:pPr>
      <w:shd w:val="clear" w:color="auto" w:fill="FFD1D1"/>
      <w:tabs>
        <w:tab w:val="left" w:pos="360"/>
        <w:tab w:val="left" w:pos="1800"/>
      </w:tabs>
      <w:spacing w:beforeLines="100" w:afterLines="100"/>
      <w:ind w:left="425" w:hanging="425" w:firstLineChars="200"/>
      <w:jc w:val="left"/>
    </w:pPr>
    <w:rPr>
      <w:rFonts w:ascii="Tahoma" w:hAnsi="Tahoma" w:eastAsia="楷体_GB2312"/>
      <w:color w:val="000000"/>
      <w:sz w:val="28"/>
      <w:szCs w:val="21"/>
    </w:rPr>
  </w:style>
  <w:style w:type="character" w:customStyle="1" w:styleId="234">
    <w:name w:val="正文文本 3 Char2"/>
    <w:basedOn w:val="61"/>
    <w:link w:val="24"/>
    <w:semiHidden/>
    <w:qFormat/>
    <w:uiPriority w:val="0"/>
    <w:rPr>
      <w:kern w:val="2"/>
      <w:sz w:val="16"/>
      <w:szCs w:val="16"/>
    </w:rPr>
  </w:style>
  <w:style w:type="paragraph" w:customStyle="1" w:styleId="235">
    <w:name w:val="样式 标题 1 + 非加粗 段前: 0.5 行 段后: 0.5 行"/>
    <w:basedOn w:val="3"/>
    <w:qFormat/>
    <w:uiPriority w:val="0"/>
    <w:pPr>
      <w:pageBreakBefore/>
      <w:widowControl w:val="0"/>
      <w:tabs>
        <w:tab w:val="left" w:pos="840"/>
      </w:tabs>
      <w:spacing w:beforeLines="50" w:afterLines="50" w:line="480" w:lineRule="auto"/>
      <w:ind w:left="840" w:hanging="360"/>
    </w:pPr>
    <w:rPr>
      <w:rFonts w:eastAsia="黑体" w:cs="宋体"/>
      <w:b w:val="0"/>
      <w:bCs w:val="0"/>
      <w:szCs w:val="20"/>
    </w:rPr>
  </w:style>
  <w:style w:type="paragraph" w:customStyle="1" w:styleId="236">
    <w:name w:val="xl10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0"/>
      <w:szCs w:val="20"/>
    </w:rPr>
  </w:style>
  <w:style w:type="paragraph" w:customStyle="1" w:styleId="237">
    <w:name w:val="样式 标题 1章节标题b1 + 段前: 6 磅"/>
    <w:basedOn w:val="3"/>
    <w:qFormat/>
    <w:uiPriority w:val="0"/>
    <w:pPr>
      <w:widowControl w:val="0"/>
      <w:tabs>
        <w:tab w:val="left" w:pos="1320"/>
        <w:tab w:val="left" w:pos="1740"/>
      </w:tabs>
      <w:spacing w:before="0" w:after="0" w:line="360" w:lineRule="auto"/>
      <w:jc w:val="both"/>
    </w:pPr>
    <w:rPr>
      <w:rFonts w:ascii="宋体" w:hAnsi="宋体" w:cs="宋体"/>
      <w:color w:val="000000"/>
      <w:kern w:val="2"/>
      <w:sz w:val="28"/>
      <w:szCs w:val="21"/>
    </w:rPr>
  </w:style>
  <w:style w:type="paragraph" w:customStyle="1" w:styleId="238">
    <w:name w:val="xl65"/>
    <w:basedOn w:val="1"/>
    <w:qFormat/>
    <w:uiPriority w:val="0"/>
    <w:pPr>
      <w:widowControl/>
      <w:pBdr>
        <w:top w:val="single" w:color="auto" w:sz="4" w:space="0"/>
        <w:right w:val="single" w:color="auto" w:sz="8" w:space="0"/>
      </w:pBdr>
      <w:spacing w:before="100" w:beforeAutospacing="1" w:after="100" w:afterAutospacing="1"/>
      <w:jc w:val="right"/>
    </w:pPr>
    <w:rPr>
      <w:rFonts w:ascii="Arial Unicode MS" w:hAnsi="Arial Unicode MS" w:eastAsia="Arial Unicode MS" w:cs="Arial Unicode MS"/>
      <w:b/>
      <w:bCs/>
      <w:kern w:val="0"/>
      <w:sz w:val="28"/>
      <w:szCs w:val="28"/>
    </w:rPr>
  </w:style>
  <w:style w:type="paragraph" w:customStyle="1" w:styleId="23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40">
    <w:name w:val="样式 标题 + 段前: 0.5 行 段后: 0.5 行"/>
    <w:basedOn w:val="54"/>
    <w:qFormat/>
    <w:uiPriority w:val="0"/>
  </w:style>
  <w:style w:type="paragraph" w:customStyle="1" w:styleId="241">
    <w:name w:val="数字编号列项（二级）"/>
    <w:qFormat/>
    <w:uiPriority w:val="0"/>
    <w:pPr>
      <w:tabs>
        <w:tab w:val="left" w:pos="1260"/>
      </w:tabs>
      <w:ind w:left="1259" w:hanging="419"/>
      <w:jc w:val="both"/>
    </w:pPr>
    <w:rPr>
      <w:rFonts w:ascii="宋体" w:hAnsi="Times New Roman" w:eastAsia="宋体" w:cs="Times New Roman"/>
      <w:sz w:val="21"/>
      <w:lang w:val="en-US" w:eastAsia="zh-CN" w:bidi="ar-SA"/>
    </w:rPr>
  </w:style>
  <w:style w:type="paragraph" w:customStyle="1" w:styleId="242">
    <w:name w:val="xl8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243">
    <w:name w:val="xl107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244">
    <w:name w:val="表格标题1"/>
    <w:basedOn w:val="245"/>
    <w:qFormat/>
    <w:uiPriority w:val="0"/>
    <w:pPr>
      <w:tabs>
        <w:tab w:val="left" w:pos="1620"/>
      </w:tabs>
      <w:ind w:left="1620" w:leftChars="600" w:hanging="360" w:hangingChars="200"/>
      <w:jc w:val="both"/>
      <w:textAlignment w:val="bottom"/>
    </w:pPr>
    <w:rPr>
      <w:rFonts w:ascii="Times New Roman"/>
      <w:sz w:val="21"/>
      <w:szCs w:val="21"/>
    </w:rPr>
  </w:style>
  <w:style w:type="paragraph" w:customStyle="1" w:styleId="245">
    <w:name w:val="表格"/>
    <w:basedOn w:val="1"/>
    <w:qFormat/>
    <w:uiPriority w:val="0"/>
    <w:pPr>
      <w:adjustRightInd w:val="0"/>
      <w:spacing w:before="60" w:after="60"/>
      <w:jc w:val="center"/>
      <w:textAlignment w:val="baseline"/>
    </w:pPr>
    <w:rPr>
      <w:rFonts w:ascii="宋体"/>
      <w:kern w:val="0"/>
      <w:sz w:val="24"/>
      <w:szCs w:val="20"/>
    </w:rPr>
  </w:style>
  <w:style w:type="paragraph" w:customStyle="1" w:styleId="246">
    <w:name w:val="xl100"/>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47">
    <w:name w:val="xl2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248">
    <w:name w:val="样式2"/>
    <w:basedOn w:val="1"/>
    <w:qFormat/>
    <w:uiPriority w:val="0"/>
    <w:pPr>
      <w:tabs>
        <w:tab w:val="left" w:pos="360"/>
      </w:tabs>
      <w:spacing w:line="360" w:lineRule="auto"/>
      <w:ind w:firstLine="174" w:firstLineChars="174"/>
      <w:jc w:val="left"/>
    </w:pPr>
    <w:rPr>
      <w:rFonts w:eastAsia="楷体_GB2312"/>
      <w:sz w:val="24"/>
      <w:szCs w:val="28"/>
    </w:rPr>
  </w:style>
  <w:style w:type="paragraph" w:customStyle="1" w:styleId="249">
    <w:name w:val="xl94"/>
    <w:basedOn w:val="1"/>
    <w:qFormat/>
    <w:uiPriority w:val="0"/>
    <w:pPr>
      <w:widowControl/>
      <w:pBdr>
        <w:right w:val="single" w:color="auto" w:sz="4" w:space="0"/>
      </w:pBdr>
      <w:spacing w:before="100" w:beforeAutospacing="1" w:after="100" w:afterAutospacing="1"/>
      <w:jc w:val="center"/>
    </w:pPr>
    <w:rPr>
      <w:rFonts w:ascii="宋体" w:hAnsi="宋体" w:cs="宋体"/>
      <w:kern w:val="0"/>
      <w:sz w:val="24"/>
    </w:rPr>
  </w:style>
  <w:style w:type="paragraph" w:customStyle="1" w:styleId="250">
    <w:name w:val="样式 标题 2 + 段前: 0.5 行 段后: 0.5 行"/>
    <w:basedOn w:val="4"/>
    <w:qFormat/>
    <w:uiPriority w:val="0"/>
    <w:pPr>
      <w:tabs>
        <w:tab w:val="left" w:pos="1320"/>
      </w:tabs>
      <w:spacing w:beforeLines="50" w:afterLines="50" w:line="360" w:lineRule="auto"/>
      <w:jc w:val="left"/>
    </w:pPr>
    <w:rPr>
      <w:rFonts w:cs="宋体"/>
      <w:b w:val="0"/>
      <w:szCs w:val="20"/>
    </w:rPr>
  </w:style>
  <w:style w:type="paragraph" w:customStyle="1" w:styleId="251">
    <w:name w:val="正文1"/>
    <w:basedOn w:val="1"/>
    <w:qFormat/>
    <w:uiPriority w:val="0"/>
    <w:pPr>
      <w:spacing w:line="360" w:lineRule="auto"/>
      <w:ind w:firstLine="200" w:firstLineChars="200"/>
    </w:pPr>
  </w:style>
  <w:style w:type="paragraph" w:customStyle="1" w:styleId="252">
    <w:name w:val="xl4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253">
    <w:name w:val="xl50"/>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254">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255">
    <w:name w:val="xl11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256">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257">
    <w:name w:val="xl39"/>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258">
    <w:name w:val="样式 标题 6 + 段前: 0.5 行 段后: 0.5 行"/>
    <w:basedOn w:val="8"/>
    <w:qFormat/>
    <w:uiPriority w:val="0"/>
    <w:pPr>
      <w:widowControl w:val="0"/>
      <w:tabs>
        <w:tab w:val="left" w:pos="3000"/>
        <w:tab w:val="clear" w:pos="1320"/>
        <w:tab w:val="clear" w:pos="1440"/>
        <w:tab w:val="clear" w:pos="3480"/>
      </w:tabs>
      <w:spacing w:beforeLines="50" w:afterLines="50" w:line="360" w:lineRule="auto"/>
      <w:jc w:val="both"/>
    </w:pPr>
    <w:rPr>
      <w:rFonts w:cs="宋体"/>
      <w:b w:val="0"/>
      <w:szCs w:val="20"/>
    </w:rPr>
  </w:style>
  <w:style w:type="paragraph" w:customStyle="1" w:styleId="259">
    <w:name w:val="xl9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60">
    <w:name w:val="标准"/>
    <w:basedOn w:val="1"/>
    <w:qFormat/>
    <w:uiPriority w:val="0"/>
    <w:pPr>
      <w:autoSpaceDE w:val="0"/>
      <w:autoSpaceDN w:val="0"/>
      <w:adjustRightInd w:val="0"/>
      <w:ind w:firstLine="600"/>
      <w:textAlignment w:val="baseline"/>
    </w:pPr>
    <w:rPr>
      <w:kern w:val="0"/>
      <w:sz w:val="28"/>
      <w:szCs w:val="20"/>
    </w:rPr>
  </w:style>
  <w:style w:type="paragraph" w:customStyle="1" w:styleId="261">
    <w:name w:val="项目编号2级"/>
    <w:basedOn w:val="218"/>
    <w:qFormat/>
    <w:uiPriority w:val="0"/>
  </w:style>
  <w:style w:type="paragraph" w:customStyle="1" w:styleId="262">
    <w:name w:val="标题3"/>
    <w:basedOn w:val="1"/>
    <w:qFormat/>
    <w:uiPriority w:val="0"/>
    <w:pPr>
      <w:spacing w:beforeLines="50" w:afterLines="50" w:line="300" w:lineRule="exact"/>
    </w:pPr>
    <w:rPr>
      <w:b/>
      <w:bCs/>
    </w:rPr>
  </w:style>
  <w:style w:type="paragraph" w:customStyle="1" w:styleId="263">
    <w:name w:val="xl11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64">
    <w:name w:val="书目1"/>
    <w:basedOn w:val="1"/>
    <w:next w:val="1"/>
    <w:unhideWhenUsed/>
    <w:qFormat/>
    <w:uiPriority w:val="37"/>
    <w:pPr>
      <w:spacing w:line="360" w:lineRule="auto"/>
      <w:ind w:firstLine="200" w:firstLineChars="200"/>
      <w:jc w:val="left"/>
    </w:pPr>
    <w:rPr>
      <w:sz w:val="24"/>
    </w:rPr>
  </w:style>
  <w:style w:type="paragraph" w:customStyle="1" w:styleId="265">
    <w:name w:val="正文居中小5"/>
    <w:basedOn w:val="1"/>
    <w:qFormat/>
    <w:uiPriority w:val="0"/>
    <w:pPr>
      <w:spacing w:line="360" w:lineRule="auto"/>
      <w:jc w:val="center"/>
    </w:pPr>
    <w:rPr>
      <w:rFonts w:ascii="Arial" w:hAnsi="Arial"/>
      <w:sz w:val="18"/>
    </w:rPr>
  </w:style>
  <w:style w:type="paragraph" w:customStyle="1" w:styleId="266">
    <w:name w:val="样式 样式 标题 + 段前: 0.5 行 段后: 0.5 行 + 段前: 0.5 行 段后: 0.5 行"/>
    <w:basedOn w:val="240"/>
    <w:qFormat/>
    <w:uiPriority w:val="0"/>
    <w:pPr>
      <w:spacing w:beforeLines="50" w:afterLines="50" w:line="360" w:lineRule="auto"/>
    </w:pPr>
    <w:rPr>
      <w:rFonts w:eastAsia="黑体" w:cs="宋体"/>
      <w:sz w:val="72"/>
      <w:szCs w:val="20"/>
      <w:u w:val="double"/>
    </w:rPr>
  </w:style>
  <w:style w:type="paragraph" w:customStyle="1" w:styleId="267">
    <w:name w:val="Char111"/>
    <w:basedOn w:val="1"/>
    <w:qFormat/>
    <w:uiPriority w:val="0"/>
  </w:style>
  <w:style w:type="paragraph" w:customStyle="1" w:styleId="268">
    <w:name w:val="xl10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269">
    <w:name w:val="xl97"/>
    <w:basedOn w:val="1"/>
    <w:qFormat/>
    <w:uiPriority w:val="0"/>
    <w:pPr>
      <w:widowControl/>
      <w:pBdr>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4"/>
    </w:rPr>
  </w:style>
  <w:style w:type="paragraph" w:customStyle="1" w:styleId="270">
    <w:name w:val="Figure Description"/>
    <w:basedOn w:val="1"/>
    <w:next w:val="161"/>
    <w:qFormat/>
    <w:uiPriority w:val="0"/>
    <w:pPr>
      <w:keepNext/>
      <w:keepLines/>
      <w:spacing w:afterLines="100" w:line="360" w:lineRule="auto"/>
      <w:jc w:val="center"/>
    </w:pPr>
    <w:rPr>
      <w:rFonts w:ascii="Tahoma" w:hAnsi="Tahoma"/>
      <w:sz w:val="24"/>
    </w:rPr>
  </w:style>
  <w:style w:type="paragraph" w:customStyle="1" w:styleId="271">
    <w:name w:val="lgh排序1"/>
    <w:basedOn w:val="32"/>
    <w:qFormat/>
    <w:uiPriority w:val="0"/>
    <w:pPr>
      <w:tabs>
        <w:tab w:val="left" w:pos="360"/>
      </w:tabs>
      <w:spacing w:line="360" w:lineRule="auto"/>
      <w:ind w:firstLine="480" w:firstLineChars="200"/>
    </w:pPr>
    <w:rPr>
      <w:rFonts w:hAnsi="宋体"/>
      <w:sz w:val="24"/>
    </w:rPr>
  </w:style>
  <w:style w:type="paragraph" w:customStyle="1" w:styleId="272">
    <w:name w:val="Char21"/>
    <w:basedOn w:val="1"/>
    <w:qFormat/>
    <w:uiPriority w:val="0"/>
  </w:style>
  <w:style w:type="paragraph" w:customStyle="1" w:styleId="273">
    <w:name w:val="xl10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274">
    <w:name w:val="biaoti1"/>
    <w:basedOn w:val="1"/>
    <w:qFormat/>
    <w:uiPriority w:val="0"/>
    <w:pPr>
      <w:widowControl/>
      <w:spacing w:before="100" w:beforeAutospacing="1" w:after="100" w:afterAutospacing="1"/>
      <w:jc w:val="left"/>
    </w:pPr>
    <w:rPr>
      <w:rFonts w:ascii="宋体" w:hAnsi="宋体" w:cs="宋体"/>
      <w:kern w:val="0"/>
      <w:sz w:val="24"/>
    </w:rPr>
  </w:style>
  <w:style w:type="paragraph" w:customStyle="1" w:styleId="275">
    <w:name w:val="xl7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76">
    <w:name w:val="text_12_subject"/>
    <w:basedOn w:val="1"/>
    <w:qFormat/>
    <w:uiPriority w:val="0"/>
    <w:pPr>
      <w:widowControl/>
      <w:spacing w:before="100" w:beforeAutospacing="1" w:after="100" w:afterAutospacing="1"/>
      <w:jc w:val="left"/>
    </w:pPr>
    <w:rPr>
      <w:rFonts w:ascii="ˎ̥" w:hAnsi="ˎ̥" w:cs="宋体"/>
      <w:b/>
      <w:bCs/>
      <w:color w:val="006699"/>
      <w:kern w:val="0"/>
      <w:sz w:val="18"/>
      <w:szCs w:val="18"/>
    </w:rPr>
  </w:style>
  <w:style w:type="paragraph" w:customStyle="1" w:styleId="277">
    <w:name w:val="xl8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278">
    <w:name w:val="style2"/>
    <w:basedOn w:val="1"/>
    <w:qFormat/>
    <w:uiPriority w:val="0"/>
    <w:pPr>
      <w:widowControl/>
      <w:spacing w:before="100" w:beforeAutospacing="1" w:after="100" w:afterAutospacing="1"/>
      <w:jc w:val="left"/>
    </w:pPr>
    <w:rPr>
      <w:rFonts w:ascii="宋体" w:hAnsi="宋体" w:cs="宋体"/>
      <w:kern w:val="0"/>
      <w:sz w:val="24"/>
    </w:rPr>
  </w:style>
  <w:style w:type="paragraph" w:customStyle="1" w:styleId="279">
    <w:name w:val="正文居中"/>
    <w:basedOn w:val="1"/>
    <w:next w:val="35"/>
    <w:qFormat/>
    <w:uiPriority w:val="0"/>
    <w:pPr>
      <w:adjustRightInd w:val="0"/>
      <w:snapToGrid w:val="0"/>
      <w:ind w:firstLine="480" w:firstLineChars="200"/>
    </w:pPr>
    <w:rPr>
      <w:rFonts w:ascii="宋体" w:hAnsi="宋体"/>
      <w:sz w:val="24"/>
    </w:rPr>
  </w:style>
  <w:style w:type="paragraph" w:customStyle="1" w:styleId="280">
    <w:name w:val="表格正文2"/>
    <w:basedOn w:val="1"/>
    <w:qFormat/>
    <w:uiPriority w:val="0"/>
    <w:pPr>
      <w:adjustRightInd w:val="0"/>
      <w:snapToGrid w:val="0"/>
      <w:spacing w:line="400" w:lineRule="atLeast"/>
      <w:jc w:val="left"/>
    </w:pPr>
    <w:rPr>
      <w:sz w:val="24"/>
      <w:szCs w:val="20"/>
    </w:rPr>
  </w:style>
  <w:style w:type="paragraph" w:customStyle="1" w:styleId="281">
    <w:name w:val="复选框1"/>
    <w:basedOn w:val="1"/>
    <w:qFormat/>
    <w:uiPriority w:val="0"/>
    <w:pPr>
      <w:widowControl/>
      <w:spacing w:before="360" w:after="360"/>
      <w:jc w:val="left"/>
    </w:pPr>
    <w:rPr>
      <w:kern w:val="0"/>
      <w:sz w:val="20"/>
      <w:szCs w:val="20"/>
    </w:rPr>
  </w:style>
  <w:style w:type="paragraph" w:customStyle="1" w:styleId="282">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83">
    <w:name w:val="xl47"/>
    <w:basedOn w:val="1"/>
    <w:qFormat/>
    <w:uiPriority w:val="0"/>
    <w:pPr>
      <w:widowControl/>
      <w:spacing w:before="100" w:beforeAutospacing="1" w:after="100" w:afterAutospacing="1"/>
      <w:jc w:val="left"/>
    </w:pPr>
    <w:rPr>
      <w:rFonts w:ascii="Arial Unicode MS" w:hAnsi="Arial Unicode MS" w:eastAsia="Arial Unicode MS" w:cs="Arial Unicode MS"/>
      <w:b/>
      <w:bCs/>
      <w:kern w:val="0"/>
      <w:sz w:val="32"/>
      <w:szCs w:val="32"/>
    </w:rPr>
  </w:style>
  <w:style w:type="paragraph" w:customStyle="1" w:styleId="284">
    <w:name w:val="样式4"/>
    <w:basedOn w:val="1"/>
    <w:qFormat/>
    <w:uiPriority w:val="0"/>
    <w:pPr>
      <w:tabs>
        <w:tab w:val="left" w:pos="420"/>
      </w:tabs>
      <w:spacing w:line="440" w:lineRule="exact"/>
      <w:ind w:left="420" w:hanging="420"/>
      <w:jc w:val="left"/>
    </w:pPr>
    <w:rPr>
      <w:rFonts w:eastAsia="楷体_GB2312"/>
      <w:b/>
      <w:sz w:val="24"/>
    </w:rPr>
  </w:style>
  <w:style w:type="paragraph" w:customStyle="1" w:styleId="285">
    <w:name w:val="样式 标题 1 + 段前: 0.5 行 段后: 0.5 行"/>
    <w:basedOn w:val="3"/>
    <w:qFormat/>
    <w:uiPriority w:val="0"/>
    <w:pPr>
      <w:pageBreakBefore/>
      <w:widowControl w:val="0"/>
      <w:tabs>
        <w:tab w:val="left" w:pos="840"/>
      </w:tabs>
      <w:spacing w:beforeLines="50" w:afterLines="50" w:line="480" w:lineRule="auto"/>
      <w:ind w:left="840" w:hanging="360"/>
    </w:pPr>
    <w:rPr>
      <w:rFonts w:eastAsia="黑体" w:cs="宋体"/>
      <w:b w:val="0"/>
      <w:szCs w:val="20"/>
    </w:rPr>
  </w:style>
  <w:style w:type="paragraph" w:customStyle="1" w:styleId="286">
    <w:name w:val="xl106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287">
    <w:name w:val="font9"/>
    <w:basedOn w:val="1"/>
    <w:qFormat/>
    <w:uiPriority w:val="0"/>
    <w:pPr>
      <w:widowControl/>
      <w:spacing w:before="100" w:beforeAutospacing="1" w:after="100" w:afterAutospacing="1"/>
      <w:jc w:val="left"/>
    </w:pPr>
    <w:rPr>
      <w:rFonts w:eastAsia="Arial Unicode MS"/>
      <w:b/>
      <w:bCs/>
      <w:kern w:val="0"/>
      <w:sz w:val="32"/>
      <w:szCs w:val="32"/>
    </w:rPr>
  </w:style>
  <w:style w:type="paragraph" w:customStyle="1" w:styleId="288">
    <w:name w:val="文档结构图1"/>
    <w:basedOn w:val="1"/>
    <w:qFormat/>
    <w:uiPriority w:val="0"/>
    <w:pPr>
      <w:shd w:val="clear" w:color="auto" w:fill="000080"/>
      <w:autoSpaceDE w:val="0"/>
      <w:autoSpaceDN w:val="0"/>
      <w:adjustRightInd w:val="0"/>
      <w:spacing w:line="312" w:lineRule="atLeast"/>
      <w:textAlignment w:val="baseline"/>
    </w:pPr>
    <w:rPr>
      <w:rFonts w:ascii="宋体" w:hAnsi="Tms Rmn"/>
      <w:kern w:val="0"/>
      <w:szCs w:val="20"/>
    </w:rPr>
  </w:style>
  <w:style w:type="paragraph" w:customStyle="1" w:styleId="289">
    <w:name w:val="xl31"/>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kern w:val="0"/>
      <w:sz w:val="24"/>
    </w:rPr>
  </w:style>
  <w:style w:type="paragraph" w:customStyle="1" w:styleId="290">
    <w:name w:val="Char Char Char1 Char"/>
    <w:basedOn w:val="21"/>
    <w:qFormat/>
    <w:uiPriority w:val="0"/>
    <w:pPr>
      <w:adjustRightInd w:val="0"/>
      <w:spacing w:line="436" w:lineRule="exact"/>
      <w:ind w:left="357"/>
      <w:jc w:val="left"/>
      <w:outlineLvl w:val="3"/>
    </w:pPr>
    <w:rPr>
      <w:kern w:val="0"/>
      <w:sz w:val="20"/>
      <w:szCs w:val="20"/>
    </w:rPr>
  </w:style>
  <w:style w:type="paragraph" w:customStyle="1" w:styleId="291">
    <w:name w:val="Body Text 21"/>
    <w:basedOn w:val="1"/>
    <w:qFormat/>
    <w:uiPriority w:val="0"/>
    <w:pPr>
      <w:adjustRightInd w:val="0"/>
      <w:spacing w:line="240" w:lineRule="exact"/>
      <w:textAlignment w:val="baseline"/>
    </w:pPr>
    <w:rPr>
      <w:rFonts w:ascii="宋体"/>
      <w:kern w:val="0"/>
      <w:sz w:val="18"/>
      <w:szCs w:val="20"/>
    </w:rPr>
  </w:style>
  <w:style w:type="paragraph" w:customStyle="1" w:styleId="292">
    <w:name w:val="xl10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b/>
      <w:bCs/>
      <w:kern w:val="0"/>
      <w:sz w:val="20"/>
      <w:szCs w:val="20"/>
    </w:rPr>
  </w:style>
  <w:style w:type="paragraph" w:customStyle="1" w:styleId="293">
    <w:name w:val="样式 样式 标题 2 + 段前: 0.5 行 段后: 0.5 行2 + 段前: 0.5 行 段后: 0.5 行"/>
    <w:basedOn w:val="294"/>
    <w:qFormat/>
    <w:uiPriority w:val="0"/>
    <w:pPr>
      <w:tabs>
        <w:tab w:val="left" w:pos="1320"/>
      </w:tabs>
    </w:pPr>
    <w:rPr>
      <w:b w:val="0"/>
    </w:rPr>
  </w:style>
  <w:style w:type="paragraph" w:customStyle="1" w:styleId="294">
    <w:name w:val="样式 标题 2 + 段前: 0.5 行 段后: 0.5 行2"/>
    <w:basedOn w:val="4"/>
    <w:qFormat/>
    <w:uiPriority w:val="0"/>
    <w:pPr>
      <w:tabs>
        <w:tab w:val="left" w:pos="1320"/>
      </w:tabs>
      <w:spacing w:beforeLines="50" w:afterLines="50" w:line="360" w:lineRule="auto"/>
      <w:jc w:val="left"/>
    </w:pPr>
    <w:rPr>
      <w:rFonts w:cs="宋体"/>
      <w:sz w:val="36"/>
      <w:szCs w:val="20"/>
    </w:rPr>
  </w:style>
  <w:style w:type="paragraph" w:customStyle="1" w:styleId="295">
    <w:name w:val="正文文本 21"/>
    <w:basedOn w:val="1"/>
    <w:qFormat/>
    <w:uiPriority w:val="0"/>
    <w:pPr>
      <w:adjustRightInd w:val="0"/>
      <w:spacing w:line="312" w:lineRule="atLeast"/>
      <w:ind w:firstLine="600"/>
      <w:textAlignment w:val="baseline"/>
    </w:pPr>
    <w:rPr>
      <w:rFonts w:ascii="宋体"/>
      <w:kern w:val="0"/>
      <w:sz w:val="28"/>
      <w:szCs w:val="20"/>
    </w:rPr>
  </w:style>
  <w:style w:type="paragraph" w:customStyle="1" w:styleId="296">
    <w:name w:val="Char2"/>
    <w:basedOn w:val="1"/>
    <w:qFormat/>
    <w:uiPriority w:val="0"/>
    <w:pPr>
      <w:jc w:val="center"/>
    </w:pPr>
    <w:rPr>
      <w:rFonts w:ascii="宋体" w:hAnsi="宋体"/>
      <w:b/>
      <w:szCs w:val="21"/>
    </w:rPr>
  </w:style>
  <w:style w:type="paragraph" w:customStyle="1" w:styleId="297">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98">
    <w:name w:val="英文标号正文"/>
    <w:basedOn w:val="1"/>
    <w:qFormat/>
    <w:uiPriority w:val="0"/>
    <w:pPr>
      <w:widowControl/>
      <w:tabs>
        <w:tab w:val="left" w:pos="425"/>
        <w:tab w:val="left" w:pos="1620"/>
      </w:tabs>
      <w:autoSpaceDE w:val="0"/>
      <w:autoSpaceDN w:val="0"/>
      <w:ind w:left="1620" w:leftChars="600" w:hanging="360" w:hangingChars="200"/>
    </w:pPr>
    <w:rPr>
      <w:kern w:val="0"/>
      <w:sz w:val="24"/>
      <w:szCs w:val="20"/>
    </w:rPr>
  </w:style>
  <w:style w:type="paragraph" w:customStyle="1" w:styleId="299">
    <w:name w:val="xl91"/>
    <w:basedOn w:val="1"/>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paragraph" w:customStyle="1" w:styleId="300">
    <w:name w:val="font0"/>
    <w:basedOn w:val="1"/>
    <w:qFormat/>
    <w:uiPriority w:val="0"/>
    <w:pPr>
      <w:widowControl/>
      <w:spacing w:before="100" w:beforeAutospacing="1" w:after="100" w:afterAutospacing="1"/>
      <w:jc w:val="left"/>
    </w:pPr>
    <w:rPr>
      <w:rFonts w:ascii="宋体" w:hAnsi="宋体" w:cs="Arial Unicode MS"/>
      <w:kern w:val="0"/>
      <w:sz w:val="24"/>
    </w:rPr>
  </w:style>
  <w:style w:type="paragraph" w:customStyle="1" w:styleId="301">
    <w:name w:val="xl10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02">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03">
    <w:name w:val="xl103"/>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04">
    <w:name w:val="样式 标题 3H3h3h31第二层条3Bold Headbh章标题1小标题level_3PIM 3Lev..."/>
    <w:basedOn w:val="5"/>
    <w:qFormat/>
    <w:uiPriority w:val="0"/>
    <w:pPr>
      <w:tabs>
        <w:tab w:val="left" w:pos="1931"/>
      </w:tabs>
      <w:spacing w:before="156" w:after="156" w:line="360" w:lineRule="auto"/>
      <w:ind w:left="1418" w:hanging="567"/>
    </w:pPr>
    <w:rPr>
      <w:rFonts w:eastAsia="楷体_GB2312" w:cs="宋体"/>
      <w:sz w:val="44"/>
      <w:szCs w:val="20"/>
    </w:rPr>
  </w:style>
  <w:style w:type="paragraph" w:customStyle="1" w:styleId="305">
    <w:name w:val="样式 标题 4 + 段前: 0.5 行 段后: 0.5 行1"/>
    <w:basedOn w:val="6"/>
    <w:qFormat/>
    <w:uiPriority w:val="0"/>
    <w:pPr>
      <w:tabs>
        <w:tab w:val="left" w:pos="864"/>
      </w:tabs>
      <w:autoSpaceDE w:val="0"/>
      <w:spacing w:beforeLines="50" w:afterLines="50" w:line="360" w:lineRule="auto"/>
      <w:ind w:left="864" w:hanging="864"/>
    </w:pPr>
    <w:rPr>
      <w:rFonts w:ascii="仿宋_GB2312" w:eastAsia="仿宋_GB2312" w:cs="宋体"/>
      <w:sz w:val="30"/>
      <w:szCs w:val="20"/>
    </w:rPr>
  </w:style>
  <w:style w:type="paragraph" w:customStyle="1" w:styleId="30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kern w:val="0"/>
      <w:sz w:val="28"/>
      <w:szCs w:val="28"/>
    </w:rPr>
  </w:style>
  <w:style w:type="paragraph" w:customStyle="1" w:styleId="30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kern w:val="0"/>
      <w:sz w:val="20"/>
      <w:szCs w:val="20"/>
    </w:rPr>
  </w:style>
  <w:style w:type="paragraph" w:customStyle="1" w:styleId="308">
    <w:name w:val="font7"/>
    <w:basedOn w:val="1"/>
    <w:qFormat/>
    <w:uiPriority w:val="0"/>
    <w:pPr>
      <w:widowControl/>
      <w:spacing w:before="100" w:beforeAutospacing="1" w:after="100" w:afterAutospacing="1"/>
      <w:jc w:val="left"/>
    </w:pPr>
    <w:rPr>
      <w:rFonts w:ascii="宋体" w:hAnsi="宋体" w:cs="Arial Unicode MS"/>
      <w:kern w:val="0"/>
      <w:sz w:val="28"/>
      <w:szCs w:val="28"/>
    </w:rPr>
  </w:style>
  <w:style w:type="paragraph" w:customStyle="1" w:styleId="309">
    <w:name w:val="样式 标题 1H1Header1h1标题4L1bocLevel 1 Topic Heading标书1Secti..."/>
    <w:basedOn w:val="3"/>
    <w:qFormat/>
    <w:uiPriority w:val="0"/>
    <w:pPr>
      <w:pageBreakBefore/>
      <w:widowControl w:val="0"/>
      <w:tabs>
        <w:tab w:val="left" w:pos="425"/>
      </w:tabs>
      <w:spacing w:before="100" w:beforeAutospacing="1" w:afterLines="100" w:line="360" w:lineRule="auto"/>
      <w:ind w:left="425" w:hanging="425"/>
    </w:pPr>
    <w:rPr>
      <w:rFonts w:eastAsia="黑体" w:cs="宋体"/>
      <w:szCs w:val="20"/>
    </w:rPr>
  </w:style>
  <w:style w:type="paragraph" w:customStyle="1" w:styleId="310">
    <w:name w:val="Table Description"/>
    <w:next w:val="1"/>
    <w:qFormat/>
    <w:uiPriority w:val="0"/>
    <w:pPr>
      <w:keepNext/>
      <w:snapToGrid w:val="0"/>
      <w:spacing w:before="160" w:after="80"/>
      <w:ind w:left="1038"/>
      <w:jc w:val="center"/>
    </w:pPr>
    <w:rPr>
      <w:rFonts w:ascii="Arial" w:hAnsi="Arial" w:eastAsia="黑体" w:cs="Times New Roman"/>
      <w:sz w:val="18"/>
      <w:lang w:val="en-US" w:eastAsia="zh-CN" w:bidi="ar-SA"/>
    </w:rPr>
  </w:style>
  <w:style w:type="paragraph" w:customStyle="1" w:styleId="311">
    <w:name w:val="注×："/>
    <w:qFormat/>
    <w:uiPriority w:val="0"/>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312">
    <w:name w:val="xl12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13">
    <w:name w:val="小四 段落 宋体 Char Char Char"/>
    <w:basedOn w:val="16"/>
    <w:qFormat/>
    <w:uiPriority w:val="0"/>
    <w:pPr>
      <w:tabs>
        <w:tab w:val="clear" w:pos="567"/>
      </w:tabs>
      <w:spacing w:line="360" w:lineRule="auto"/>
      <w:ind w:left="0" w:right="-33" w:firstLine="480" w:firstLineChars="200"/>
      <w:jc w:val="left"/>
    </w:pPr>
    <w:rPr>
      <w:rFonts w:ascii="Times New Roman" w:hAnsi="Times New Roman"/>
      <w:sz w:val="24"/>
      <w:szCs w:val="20"/>
    </w:rPr>
  </w:style>
  <w:style w:type="paragraph" w:customStyle="1" w:styleId="314">
    <w:name w:val="xl40"/>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315">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16">
    <w:name w:val="xl8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17">
    <w:name w:val="size12"/>
    <w:basedOn w:val="1"/>
    <w:qFormat/>
    <w:uiPriority w:val="0"/>
    <w:pPr>
      <w:widowControl/>
      <w:spacing w:before="100" w:beforeAutospacing="1" w:after="100" w:afterAutospacing="1" w:line="360" w:lineRule="auto"/>
      <w:jc w:val="left"/>
    </w:pPr>
    <w:rPr>
      <w:color w:val="000000"/>
      <w:kern w:val="0"/>
      <w:sz w:val="20"/>
      <w:szCs w:val="20"/>
    </w:rPr>
  </w:style>
  <w:style w:type="paragraph" w:customStyle="1" w:styleId="318">
    <w:name w:val="xl57"/>
    <w:basedOn w:val="1"/>
    <w:qFormat/>
    <w:uiPriority w:val="0"/>
    <w:pPr>
      <w:widowControl/>
      <w:pBdr>
        <w:top w:val="single" w:color="auto" w:sz="4" w:space="0"/>
        <w:bottom w:val="single" w:color="auto" w:sz="8" w:space="0"/>
        <w:right w:val="single" w:color="auto" w:sz="4" w:space="0"/>
      </w:pBdr>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319">
    <w:name w:val="xl10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320">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321">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322">
    <w:name w:val="xl10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323">
    <w:name w:val="xl6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kern w:val="0"/>
      <w:sz w:val="28"/>
      <w:szCs w:val="28"/>
    </w:rPr>
  </w:style>
  <w:style w:type="paragraph" w:customStyle="1" w:styleId="324">
    <w:name w:val="样式 标题 2（x.x）节二级标题H2h2h212Header 2l2Level 2 HeadH2norm..."/>
    <w:basedOn w:val="4"/>
    <w:qFormat/>
    <w:uiPriority w:val="0"/>
    <w:pPr>
      <w:tabs>
        <w:tab w:val="left" w:pos="992"/>
      </w:tabs>
      <w:spacing w:before="100" w:beforeAutospacing="1"/>
      <w:ind w:left="992" w:hanging="567"/>
      <w:jc w:val="left"/>
    </w:pPr>
    <w:rPr>
      <w:rFonts w:eastAsia="楷体_GB2312" w:cs="宋体"/>
      <w:sz w:val="36"/>
      <w:szCs w:val="20"/>
    </w:rPr>
  </w:style>
  <w:style w:type="paragraph" w:customStyle="1" w:styleId="325">
    <w:name w:val="Document Map1"/>
    <w:basedOn w:val="1"/>
    <w:qFormat/>
    <w:uiPriority w:val="0"/>
    <w:pPr>
      <w:shd w:val="clear" w:color="auto" w:fill="000080"/>
      <w:autoSpaceDE w:val="0"/>
      <w:autoSpaceDN w:val="0"/>
      <w:adjustRightInd w:val="0"/>
      <w:spacing w:line="312" w:lineRule="atLeast"/>
      <w:textAlignment w:val="baseline"/>
    </w:pPr>
    <w:rPr>
      <w:rFonts w:ascii="宋体" w:hAnsi="Tms Rmn"/>
      <w:kern w:val="0"/>
      <w:szCs w:val="20"/>
    </w:rPr>
  </w:style>
  <w:style w:type="paragraph" w:customStyle="1" w:styleId="326">
    <w:name w:val="xl1090"/>
    <w:basedOn w:val="1"/>
    <w:qFormat/>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327">
    <w:name w:val="xl8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28">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29">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30">
    <w:name w:val="Absatz2AL"/>
    <w:basedOn w:val="2"/>
    <w:next w:val="1"/>
    <w:qFormat/>
    <w:uiPriority w:val="0"/>
    <w:pPr>
      <w:overflowPunct w:val="0"/>
      <w:autoSpaceDE w:val="0"/>
      <w:autoSpaceDN w:val="0"/>
      <w:adjustRightInd w:val="0"/>
      <w:jc w:val="both"/>
      <w:textAlignment w:val="baseline"/>
    </w:pPr>
    <w:rPr>
      <w:rFonts w:eastAsia="楷体_GB2312"/>
    </w:rPr>
  </w:style>
  <w:style w:type="paragraph" w:customStyle="1" w:styleId="331">
    <w:name w:val="Item Step in Table"/>
    <w:basedOn w:val="1"/>
    <w:qFormat/>
    <w:uiPriority w:val="0"/>
    <w:pPr>
      <w:tabs>
        <w:tab w:val="left" w:pos="420"/>
      </w:tabs>
      <w:ind w:left="420" w:hanging="420"/>
      <w:jc w:val="left"/>
    </w:pPr>
    <w:rPr>
      <w:rFonts w:ascii="Tahoma" w:hAnsi="Tahoma"/>
      <w:sz w:val="28"/>
      <w:szCs w:val="21"/>
    </w:rPr>
  </w:style>
  <w:style w:type="paragraph" w:customStyle="1" w:styleId="332">
    <w:name w:val="WPS Plain"/>
    <w:qFormat/>
    <w:uiPriority w:val="0"/>
    <w:rPr>
      <w:rFonts w:ascii="Times New Roman" w:hAnsi="Times New Roman" w:eastAsia="宋体" w:cs="Times New Roman"/>
      <w:lang w:val="en-US" w:eastAsia="zh-CN" w:bidi="ar-SA"/>
    </w:rPr>
  </w:style>
  <w:style w:type="paragraph" w:customStyle="1" w:styleId="333">
    <w:name w:val="xl120"/>
    <w:basedOn w:val="1"/>
    <w:qFormat/>
    <w:uiPriority w:val="0"/>
    <w:pPr>
      <w:widowControl/>
      <w:pBdr>
        <w:left w:val="single" w:color="auto" w:sz="4" w:space="0"/>
        <w:right w:val="single" w:color="auto" w:sz="4" w:space="0"/>
      </w:pBdr>
      <w:shd w:val="clear" w:color="auto" w:fill="FFFFFF"/>
      <w:spacing w:before="100" w:beforeAutospacing="1" w:after="100" w:afterAutospacing="1"/>
      <w:jc w:val="left"/>
      <w:textAlignment w:val="top"/>
    </w:pPr>
    <w:rPr>
      <w:rFonts w:ascii="MingLiU" w:hAnsi="MingLiU" w:eastAsia="MingLiU" w:cs="宋体"/>
      <w:kern w:val="0"/>
      <w:sz w:val="24"/>
    </w:rPr>
  </w:style>
  <w:style w:type="paragraph" w:customStyle="1" w:styleId="334">
    <w:name w:val="Char Char Char Char1"/>
    <w:basedOn w:val="1"/>
    <w:qFormat/>
    <w:uiPriority w:val="0"/>
    <w:rPr>
      <w:rFonts w:ascii="仿宋_GB2312" w:eastAsia="仿宋_GB2312"/>
      <w:b/>
      <w:sz w:val="32"/>
      <w:szCs w:val="32"/>
    </w:rPr>
  </w:style>
  <w:style w:type="paragraph" w:customStyle="1" w:styleId="335">
    <w:name w:val="样式 标题 3 + 段前: 0.5 行 段后: 0.5 行"/>
    <w:basedOn w:val="5"/>
    <w:qFormat/>
    <w:uiPriority w:val="0"/>
    <w:pPr>
      <w:tabs>
        <w:tab w:val="left" w:pos="720"/>
      </w:tabs>
      <w:spacing w:before="100" w:beforeAutospacing="1" w:after="100" w:afterAutospacing="1" w:line="360" w:lineRule="auto"/>
    </w:pPr>
    <w:rPr>
      <w:rFonts w:ascii="Arial" w:hAnsi="Arial" w:eastAsia="黑体" w:cs="宋体"/>
      <w:b w:val="0"/>
      <w:sz w:val="28"/>
      <w:szCs w:val="20"/>
    </w:rPr>
  </w:style>
  <w:style w:type="paragraph" w:customStyle="1" w:styleId="336">
    <w:name w:val="xl10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微软雅黑" w:hAnsi="微软雅黑" w:eastAsia="微软雅黑" w:cs="宋体"/>
      <w:kern w:val="0"/>
      <w:sz w:val="20"/>
      <w:szCs w:val="20"/>
    </w:rPr>
  </w:style>
  <w:style w:type="paragraph" w:customStyle="1" w:styleId="337">
    <w:name w:val="xl64"/>
    <w:basedOn w:val="1"/>
    <w:qFormat/>
    <w:uiPriority w:val="0"/>
    <w:pPr>
      <w:widowControl/>
      <w:pBdr>
        <w:top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kern w:val="0"/>
      <w:sz w:val="28"/>
      <w:szCs w:val="28"/>
    </w:rPr>
  </w:style>
  <w:style w:type="paragraph" w:customStyle="1" w:styleId="338">
    <w:name w:val="xl110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39">
    <w:name w:val="xl23"/>
    <w:basedOn w:val="1"/>
    <w:qFormat/>
    <w:uiPriority w:val="0"/>
    <w:pPr>
      <w:widowControl/>
      <w:spacing w:before="100" w:beforeAutospacing="1" w:after="100" w:afterAutospacing="1"/>
      <w:jc w:val="center"/>
    </w:pPr>
    <w:rPr>
      <w:rFonts w:eastAsia="Arial Unicode MS"/>
      <w:kern w:val="0"/>
      <w:szCs w:val="21"/>
    </w:rPr>
  </w:style>
  <w:style w:type="paragraph" w:customStyle="1" w:styleId="340">
    <w:name w:val="首行缩进:  2 字符2"/>
    <w:basedOn w:val="1"/>
    <w:qFormat/>
    <w:uiPriority w:val="0"/>
    <w:pPr>
      <w:adjustRightInd w:val="0"/>
      <w:snapToGrid w:val="0"/>
      <w:spacing w:line="360" w:lineRule="auto"/>
      <w:ind w:firstLine="480" w:firstLineChars="200"/>
    </w:pPr>
    <w:rPr>
      <w:rFonts w:ascii="宋体" w:hAnsi="宋体" w:cs="宋体"/>
      <w:sz w:val="24"/>
    </w:rPr>
  </w:style>
  <w:style w:type="paragraph" w:customStyle="1" w:styleId="341">
    <w:name w:val="CM3"/>
    <w:basedOn w:val="118"/>
    <w:next w:val="118"/>
    <w:qFormat/>
    <w:uiPriority w:val="0"/>
    <w:pPr>
      <w:spacing w:line="626" w:lineRule="atLeast"/>
    </w:pPr>
    <w:rPr>
      <w:rFonts w:ascii=".a..DD.." w:hAnsi="Times New Roman" w:eastAsia=".a..DD.." w:cs="Times New Roman"/>
      <w:color w:val="auto"/>
    </w:rPr>
  </w:style>
  <w:style w:type="paragraph" w:customStyle="1" w:styleId="342">
    <w:name w:val="xl108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343">
    <w:name w:val="Figure"/>
    <w:basedOn w:val="1"/>
    <w:next w:val="270"/>
    <w:qFormat/>
    <w:uiPriority w:val="0"/>
    <w:pPr>
      <w:keepNext/>
      <w:ind w:left="1701"/>
    </w:pPr>
  </w:style>
  <w:style w:type="paragraph" w:customStyle="1" w:styleId="344">
    <w:name w:val="项目编号一级"/>
    <w:basedOn w:val="1"/>
    <w:qFormat/>
    <w:uiPriority w:val="0"/>
    <w:pPr>
      <w:tabs>
        <w:tab w:val="left" w:pos="900"/>
      </w:tabs>
      <w:spacing w:line="360" w:lineRule="auto"/>
      <w:ind w:left="900" w:hanging="420"/>
    </w:pPr>
  </w:style>
  <w:style w:type="paragraph" w:customStyle="1" w:styleId="345">
    <w:name w:val="xl1097"/>
    <w:basedOn w:val="1"/>
    <w:qFormat/>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346">
    <w:name w:val="四级条标题"/>
    <w:basedOn w:val="347"/>
    <w:next w:val="1"/>
    <w:qFormat/>
    <w:uiPriority w:val="0"/>
    <w:pPr>
      <w:outlineLvl w:val="5"/>
    </w:pPr>
  </w:style>
  <w:style w:type="paragraph" w:customStyle="1" w:styleId="347">
    <w:name w:val="三级条标题"/>
    <w:basedOn w:val="348"/>
    <w:next w:val="1"/>
    <w:qFormat/>
    <w:uiPriority w:val="0"/>
    <w:pPr>
      <w:outlineLvl w:val="4"/>
    </w:pPr>
  </w:style>
  <w:style w:type="paragraph" w:customStyle="1" w:styleId="348">
    <w:name w:val="二级条标题"/>
    <w:basedOn w:val="220"/>
    <w:next w:val="1"/>
    <w:qFormat/>
    <w:uiPriority w:val="0"/>
    <w:pPr>
      <w:outlineLvl w:val="3"/>
    </w:pPr>
  </w:style>
  <w:style w:type="paragraph" w:customStyle="1" w:styleId="349">
    <w:name w:val="Char"/>
    <w:basedOn w:val="1"/>
    <w:qFormat/>
    <w:uiPriority w:val="0"/>
    <w:rPr>
      <w:rFonts w:ascii="Tahoma" w:hAnsi="Tahoma" w:cs="仿宋_GB2312"/>
      <w:sz w:val="24"/>
      <w:szCs w:val="28"/>
    </w:rPr>
  </w:style>
  <w:style w:type="paragraph" w:customStyle="1" w:styleId="350">
    <w:name w:val="样式 标题 4 + 段前: 0.5 行 段后: 0.5 行"/>
    <w:basedOn w:val="6"/>
    <w:qFormat/>
    <w:uiPriority w:val="0"/>
    <w:pPr>
      <w:tabs>
        <w:tab w:val="left" w:pos="360"/>
        <w:tab w:val="left" w:pos="1620"/>
      </w:tabs>
      <w:spacing w:before="100" w:beforeAutospacing="1" w:after="100" w:afterAutospacing="1" w:line="360" w:lineRule="auto"/>
      <w:ind w:left="1620" w:leftChars="600" w:hanging="360" w:hangingChars="200"/>
    </w:pPr>
    <w:rPr>
      <w:rFonts w:cs="宋体"/>
      <w:b w:val="0"/>
      <w:sz w:val="24"/>
      <w:szCs w:val="20"/>
    </w:rPr>
  </w:style>
  <w:style w:type="paragraph" w:customStyle="1" w:styleId="351">
    <w:name w:val="font5"/>
    <w:basedOn w:val="1"/>
    <w:qFormat/>
    <w:uiPriority w:val="0"/>
    <w:pPr>
      <w:widowControl/>
      <w:spacing w:before="100" w:beforeAutospacing="1" w:after="100" w:afterAutospacing="1"/>
      <w:jc w:val="left"/>
    </w:pPr>
    <w:rPr>
      <w:rFonts w:ascii="宋体" w:hAnsi="宋体" w:cs="Arial Unicode MS"/>
      <w:kern w:val="0"/>
      <w:sz w:val="18"/>
      <w:szCs w:val="18"/>
    </w:rPr>
  </w:style>
  <w:style w:type="paragraph" w:customStyle="1" w:styleId="352">
    <w:name w:val="正文(单倍行距)"/>
    <w:basedOn w:val="1"/>
    <w:qFormat/>
    <w:uiPriority w:val="0"/>
    <w:pPr>
      <w:adjustRightInd w:val="0"/>
      <w:snapToGrid w:val="0"/>
      <w:jc w:val="center"/>
    </w:pPr>
  </w:style>
  <w:style w:type="paragraph" w:customStyle="1" w:styleId="353">
    <w:name w:val="xl44"/>
    <w:basedOn w:val="1"/>
    <w:qFormat/>
    <w:uiPriority w:val="0"/>
    <w:pPr>
      <w:widowControl/>
      <w:pBdr>
        <w:left w:val="single" w:color="auto" w:sz="4" w:space="0"/>
        <w:bottom w:val="single" w:color="auto" w:sz="4" w:space="0"/>
        <w:right w:val="single" w:color="auto" w:sz="8"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354">
    <w:name w:val="xl68"/>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kern w:val="0"/>
      <w:sz w:val="20"/>
      <w:szCs w:val="20"/>
    </w:rPr>
  </w:style>
  <w:style w:type="paragraph" w:customStyle="1" w:styleId="355">
    <w:name w:val="样式 首行缩进:  0.85 厘米 段前: 2.5 磅 段后: 6 磅 行距: 1.5 倍行距"/>
    <w:basedOn w:val="1"/>
    <w:qFormat/>
    <w:uiPriority w:val="0"/>
    <w:pPr>
      <w:spacing w:before="50" w:after="120" w:line="360" w:lineRule="auto"/>
      <w:ind w:firstLine="480"/>
    </w:pPr>
    <w:rPr>
      <w:rFonts w:cs="宋体"/>
      <w:sz w:val="24"/>
      <w:szCs w:val="20"/>
    </w:rPr>
  </w:style>
  <w:style w:type="paragraph" w:customStyle="1" w:styleId="356">
    <w:name w:val="Char Char Char Char"/>
    <w:basedOn w:val="1"/>
    <w:qFormat/>
    <w:uiPriority w:val="0"/>
    <w:pPr>
      <w:tabs>
        <w:tab w:val="left" w:pos="360"/>
      </w:tabs>
      <w:ind w:firstLine="420" w:firstLineChars="150"/>
    </w:pPr>
    <w:rPr>
      <w:rFonts w:ascii="Arial" w:hAnsi="Arial" w:cs="Arial"/>
      <w:sz w:val="20"/>
      <w:szCs w:val="20"/>
    </w:rPr>
  </w:style>
  <w:style w:type="paragraph" w:customStyle="1" w:styleId="357">
    <w:name w:val="编号列项（三级）"/>
    <w:qFormat/>
    <w:uiPriority w:val="0"/>
    <w:pPr>
      <w:tabs>
        <w:tab w:val="left" w:pos="0"/>
      </w:tabs>
      <w:ind w:left="1679" w:hanging="420"/>
    </w:pPr>
    <w:rPr>
      <w:rFonts w:ascii="宋体" w:hAnsi="Times New Roman" w:eastAsia="宋体" w:cs="Times New Roman"/>
      <w:sz w:val="21"/>
      <w:lang w:val="en-US" w:eastAsia="zh-CN" w:bidi="ar-SA"/>
    </w:rPr>
  </w:style>
  <w:style w:type="paragraph" w:customStyle="1" w:styleId="358">
    <w:name w:val="Item Step"/>
    <w:basedOn w:val="1"/>
    <w:qFormat/>
    <w:uiPriority w:val="0"/>
    <w:pPr>
      <w:widowControl/>
      <w:tabs>
        <w:tab w:val="left" w:pos="567"/>
      </w:tabs>
      <w:spacing w:afterLines="50"/>
      <w:ind w:left="987" w:hanging="420"/>
      <w:jc w:val="left"/>
    </w:pPr>
    <w:rPr>
      <w:rFonts w:ascii="Tahoma" w:hAnsi="Tahoma"/>
      <w:sz w:val="28"/>
      <w:szCs w:val="21"/>
    </w:rPr>
  </w:style>
  <w:style w:type="paragraph" w:customStyle="1" w:styleId="359">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60">
    <w:name w:val="xl10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361">
    <w:name w:val="large"/>
    <w:basedOn w:val="1"/>
    <w:qFormat/>
    <w:uiPriority w:val="0"/>
    <w:pPr>
      <w:widowControl/>
      <w:spacing w:before="100" w:beforeAutospacing="1" w:after="100" w:afterAutospacing="1" w:line="360" w:lineRule="atLeast"/>
      <w:ind w:firstLine="400"/>
      <w:jc w:val="left"/>
    </w:pPr>
    <w:rPr>
      <w:rFonts w:ascii="宋体" w:hAnsi="宋体" w:cs="宋体"/>
      <w:color w:val="808080"/>
      <w:kern w:val="0"/>
      <w:sz w:val="24"/>
    </w:rPr>
  </w:style>
  <w:style w:type="paragraph" w:customStyle="1" w:styleId="362">
    <w:name w:val="xl1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color w:val="FF0000"/>
      <w:kern w:val="0"/>
      <w:sz w:val="20"/>
      <w:szCs w:val="20"/>
    </w:rPr>
  </w:style>
  <w:style w:type="paragraph" w:customStyle="1" w:styleId="363">
    <w:name w:val="章标题"/>
    <w:next w:val="1"/>
    <w:qFormat/>
    <w:uiPriority w:val="0"/>
    <w:pPr>
      <w:spacing w:beforeLines="100" w:afterLines="100"/>
      <w:jc w:val="both"/>
      <w:outlineLvl w:val="1"/>
    </w:pPr>
    <w:rPr>
      <w:rFonts w:ascii="黑体" w:hAnsi="Times New Roman" w:eastAsia="黑体" w:cs="Times New Roman"/>
      <w:sz w:val="21"/>
      <w:lang w:val="en-US" w:eastAsia="zh-CN" w:bidi="ar-SA"/>
    </w:rPr>
  </w:style>
  <w:style w:type="paragraph" w:customStyle="1" w:styleId="364">
    <w:name w:val="xl96"/>
    <w:basedOn w:val="1"/>
    <w:qFormat/>
    <w:uiPriority w:val="0"/>
    <w:pPr>
      <w:widowControl/>
      <w:pBdr>
        <w:right w:val="single" w:color="auto" w:sz="4" w:space="0"/>
      </w:pBdr>
      <w:shd w:val="clear" w:color="auto" w:fill="FFFF00"/>
      <w:spacing w:before="100" w:beforeAutospacing="1" w:after="100" w:afterAutospacing="1"/>
      <w:jc w:val="center"/>
    </w:pPr>
    <w:rPr>
      <w:rFonts w:ascii="宋体" w:hAnsi="宋体" w:cs="宋体"/>
      <w:kern w:val="0"/>
      <w:sz w:val="24"/>
    </w:rPr>
  </w:style>
  <w:style w:type="paragraph" w:customStyle="1" w:styleId="365">
    <w:name w:val="Char Char Char Char2"/>
    <w:basedOn w:val="1"/>
    <w:qFormat/>
    <w:uiPriority w:val="0"/>
    <w:pPr>
      <w:spacing w:line="360" w:lineRule="auto"/>
      <w:ind w:firstLine="200" w:firstLineChars="200"/>
      <w:jc w:val="left"/>
    </w:pPr>
    <w:rPr>
      <w:rFonts w:ascii="仿宋_GB2312" w:eastAsia="仿宋_GB2312"/>
      <w:b/>
      <w:sz w:val="32"/>
      <w:szCs w:val="32"/>
    </w:rPr>
  </w:style>
  <w:style w:type="paragraph" w:customStyle="1" w:styleId="366">
    <w:name w:val="Char11"/>
    <w:basedOn w:val="1"/>
    <w:qFormat/>
    <w:uiPriority w:val="0"/>
  </w:style>
  <w:style w:type="paragraph" w:customStyle="1" w:styleId="367">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68">
    <w:name w:val="列表 21"/>
    <w:basedOn w:val="1"/>
    <w:qFormat/>
    <w:uiPriority w:val="0"/>
    <w:pPr>
      <w:ind w:left="100" w:leftChars="200" w:hanging="200" w:hangingChars="200"/>
    </w:pPr>
  </w:style>
  <w:style w:type="paragraph" w:customStyle="1" w:styleId="369">
    <w:name w:val="正文悬挂缩进6"/>
    <w:basedOn w:val="231"/>
    <w:qFormat/>
    <w:uiPriority w:val="0"/>
    <w:pPr>
      <w:tabs>
        <w:tab w:val="left" w:pos="1259"/>
      </w:tabs>
      <w:ind w:left="600" w:leftChars="600"/>
    </w:pPr>
  </w:style>
  <w:style w:type="paragraph" w:customStyle="1" w:styleId="370">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371">
    <w:name w:val="xl93"/>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72">
    <w:name w:val="1"/>
    <w:basedOn w:val="39"/>
    <w:qFormat/>
    <w:uiPriority w:val="0"/>
    <w:pPr>
      <w:pBdr>
        <w:bottom w:val="none" w:color="auto" w:sz="0" w:space="0"/>
      </w:pBdr>
    </w:pPr>
    <w:rPr>
      <w:rFonts w:ascii="Calibri" w:hAnsi="Calibri" w:eastAsia="华文新魏"/>
      <w:sz w:val="21"/>
      <w:szCs w:val="20"/>
    </w:rPr>
  </w:style>
  <w:style w:type="paragraph" w:customStyle="1" w:styleId="373">
    <w:name w:val="我的正文格式"/>
    <w:basedOn w:val="1"/>
    <w:next w:val="1"/>
    <w:qFormat/>
    <w:uiPriority w:val="0"/>
    <w:pPr>
      <w:snapToGrid w:val="0"/>
      <w:spacing w:line="288" w:lineRule="auto"/>
      <w:ind w:left="540" w:hanging="540" w:hangingChars="225"/>
    </w:pPr>
    <w:rPr>
      <w:sz w:val="24"/>
    </w:rPr>
  </w:style>
  <w:style w:type="paragraph" w:customStyle="1" w:styleId="374">
    <w:name w:val="版权所有"/>
    <w:basedOn w:val="1"/>
    <w:qFormat/>
    <w:uiPriority w:val="0"/>
    <w:pPr>
      <w:spacing w:beforeLines="100" w:afterLines="100" w:line="360" w:lineRule="auto"/>
    </w:pPr>
    <w:rPr>
      <w:rFonts w:ascii="Arial" w:hAnsi="Arial" w:eastAsia="黑体"/>
      <w:b/>
      <w:sz w:val="30"/>
      <w:u w:val="single"/>
    </w:rPr>
  </w:style>
  <w:style w:type="paragraph" w:customStyle="1" w:styleId="375">
    <w:name w:val="xl5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eastAsia="Arial Unicode MS"/>
      <w:kern w:val="0"/>
      <w:sz w:val="28"/>
      <w:szCs w:val="28"/>
    </w:rPr>
  </w:style>
  <w:style w:type="paragraph" w:customStyle="1" w:styleId="376">
    <w:name w:val="样式 标题 2 + 段前: 0.5 行 段后: 0.5 行1"/>
    <w:basedOn w:val="4"/>
    <w:qFormat/>
    <w:uiPriority w:val="0"/>
    <w:pPr>
      <w:tabs>
        <w:tab w:val="left" w:pos="576"/>
      </w:tabs>
      <w:spacing w:beforeLines="50" w:afterLines="50" w:line="360" w:lineRule="auto"/>
      <w:ind w:left="576" w:hanging="576"/>
      <w:jc w:val="left"/>
    </w:pPr>
    <w:rPr>
      <w:rFonts w:ascii="仿宋_GB2312" w:eastAsia="仿宋_GB2312" w:cs="宋体"/>
      <w:sz w:val="36"/>
      <w:szCs w:val="20"/>
    </w:rPr>
  </w:style>
  <w:style w:type="paragraph" w:customStyle="1" w:styleId="377">
    <w:name w:val="xl10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0"/>
      <w:szCs w:val="20"/>
    </w:rPr>
  </w:style>
  <w:style w:type="paragraph" w:customStyle="1" w:styleId="378">
    <w:name w:val="xl10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379">
    <w:name w:val="日期1"/>
    <w:basedOn w:val="1"/>
    <w:next w:val="1"/>
    <w:qFormat/>
    <w:uiPriority w:val="0"/>
    <w:pPr>
      <w:adjustRightInd w:val="0"/>
      <w:spacing w:line="360" w:lineRule="atLeast"/>
      <w:textAlignment w:val="baseline"/>
    </w:pPr>
    <w:rPr>
      <w:rFonts w:ascii="宋体"/>
      <w:kern w:val="0"/>
      <w:sz w:val="28"/>
      <w:szCs w:val="20"/>
    </w:rPr>
  </w:style>
  <w:style w:type="paragraph" w:customStyle="1" w:styleId="380">
    <w:name w:val="xl4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381">
    <w:name w:val="xl106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382">
    <w:name w:val="CM20"/>
    <w:basedOn w:val="118"/>
    <w:next w:val="118"/>
    <w:qFormat/>
    <w:uiPriority w:val="0"/>
    <w:pPr>
      <w:spacing w:after="115"/>
    </w:pPr>
    <w:rPr>
      <w:rFonts w:ascii=".a..DD.." w:hAnsi="Times New Roman" w:eastAsia=".a..DD.." w:cs="Times New Roman"/>
      <w:color w:val="auto"/>
    </w:rPr>
  </w:style>
  <w:style w:type="paragraph" w:customStyle="1" w:styleId="383">
    <w:name w:val="xl33"/>
    <w:basedOn w:val="1"/>
    <w:qFormat/>
    <w:uiPriority w:val="0"/>
    <w:pPr>
      <w:widowControl/>
      <w:pBdr>
        <w:top w:val="single" w:color="auto" w:sz="4" w:space="0"/>
        <w:right w:val="single" w:color="auto" w:sz="8"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384">
    <w:name w:val="样式 样式 标题 2 + 段前: 0.5 行 段后: 0.5 行 + 段前: 0.5 行 段后: 0.5 行"/>
    <w:basedOn w:val="250"/>
    <w:qFormat/>
    <w:uiPriority w:val="0"/>
    <w:pPr>
      <w:spacing w:beforeLines="0" w:beforeAutospacing="1" w:afterLines="0" w:afterAutospacing="1"/>
      <w:ind w:left="576" w:hanging="576"/>
    </w:pPr>
    <w:rPr>
      <w:bCs w:val="0"/>
    </w:rPr>
  </w:style>
  <w:style w:type="paragraph" w:customStyle="1" w:styleId="385">
    <w:name w:val="xl107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386">
    <w:name w:val="表格标题2"/>
    <w:basedOn w:val="1"/>
    <w:qFormat/>
    <w:uiPriority w:val="0"/>
    <w:pPr>
      <w:tabs>
        <w:tab w:val="left" w:pos="1620"/>
      </w:tabs>
      <w:adjustRightInd w:val="0"/>
      <w:spacing w:before="60" w:after="60"/>
      <w:ind w:left="1620" w:leftChars="600" w:hanging="360" w:hangingChars="200"/>
      <w:textAlignment w:val="bottom"/>
    </w:pPr>
    <w:rPr>
      <w:kern w:val="0"/>
      <w:szCs w:val="21"/>
    </w:rPr>
  </w:style>
  <w:style w:type="paragraph" w:customStyle="1" w:styleId="387">
    <w:name w:val="表文"/>
    <w:basedOn w:val="1"/>
    <w:qFormat/>
    <w:uiPriority w:val="0"/>
    <w:pPr>
      <w:spacing w:line="300" w:lineRule="auto"/>
      <w:jc w:val="center"/>
      <w:textAlignment w:val="baseline"/>
    </w:pPr>
    <w:rPr>
      <w:kern w:val="0"/>
      <w:szCs w:val="20"/>
    </w:rPr>
  </w:style>
  <w:style w:type="paragraph" w:customStyle="1" w:styleId="388">
    <w:name w:val="xl53"/>
    <w:basedOn w:val="1"/>
    <w:qFormat/>
    <w:uiPriority w:val="0"/>
    <w:pPr>
      <w:widowControl/>
      <w:pBdr>
        <w:left w:val="single" w:color="auto" w:sz="8" w:space="0"/>
        <w:bottom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389">
    <w:name w:val="Paragraphe 3"/>
    <w:qFormat/>
    <w:uiPriority w:val="0"/>
    <w:pPr>
      <w:keepLines/>
      <w:overflowPunct w:val="0"/>
      <w:autoSpaceDE w:val="0"/>
      <w:autoSpaceDN w:val="0"/>
      <w:adjustRightInd w:val="0"/>
      <w:spacing w:before="141"/>
      <w:ind w:left="980"/>
    </w:pPr>
    <w:rPr>
      <w:rFonts w:ascii="Tms Rmn" w:hAnsi="Tms Rmn" w:eastAsia="宋体" w:cs="Times New Roman"/>
      <w:b/>
      <w:color w:val="000000"/>
      <w:sz w:val="24"/>
      <w:u w:val="single"/>
      <w:lang w:val="en-US" w:eastAsia="en-US" w:bidi="ar-SA"/>
    </w:rPr>
  </w:style>
  <w:style w:type="paragraph" w:customStyle="1" w:styleId="390">
    <w:name w:val="样式1"/>
    <w:basedOn w:val="1"/>
    <w:qFormat/>
    <w:uiPriority w:val="0"/>
    <w:pPr>
      <w:keepNext/>
      <w:keepLines/>
      <w:tabs>
        <w:tab w:val="left" w:pos="839"/>
      </w:tabs>
      <w:spacing w:before="100" w:beforeAutospacing="1" w:after="100" w:afterAutospacing="1" w:line="360" w:lineRule="auto"/>
      <w:ind w:left="839" w:hanging="419"/>
      <w:outlineLvl w:val="1"/>
    </w:pPr>
    <w:rPr>
      <w:rFonts w:ascii="Arial" w:hAnsi="Arial" w:eastAsia="黑体" w:cs="宋体"/>
      <w:b/>
      <w:sz w:val="32"/>
      <w:szCs w:val="20"/>
    </w:rPr>
  </w:style>
  <w:style w:type="paragraph" w:customStyle="1" w:styleId="391">
    <w:name w:val="xl109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392">
    <w:name w:val="样式 样式 标题 5 + 段前: 0.5 行 段后: 0.5 行 + 段前: 0.5 行 段后: 0.5 行"/>
    <w:basedOn w:val="198"/>
    <w:qFormat/>
    <w:uiPriority w:val="0"/>
    <w:rPr>
      <w:bCs w:val="0"/>
    </w:rPr>
  </w:style>
  <w:style w:type="paragraph" w:customStyle="1" w:styleId="393">
    <w:name w:val="样式 标题 3H3h3h31第二层条3Bold Headbh章标题1小标题level_3PIM 3Lev...1"/>
    <w:basedOn w:val="5"/>
    <w:qFormat/>
    <w:uiPriority w:val="0"/>
    <w:pPr>
      <w:tabs>
        <w:tab w:val="left" w:pos="1740"/>
      </w:tabs>
      <w:spacing w:beforeLines="50" w:afterLines="50" w:line="360" w:lineRule="auto"/>
      <w:ind w:left="1740" w:hanging="420"/>
    </w:pPr>
    <w:rPr>
      <w:rFonts w:ascii="Arial" w:hAnsi="Arial" w:eastAsia="黑体" w:cs="宋体"/>
      <w:b w:val="0"/>
      <w:szCs w:val="20"/>
    </w:rPr>
  </w:style>
  <w:style w:type="paragraph" w:customStyle="1" w:styleId="394">
    <w:name w:val="xl8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95">
    <w:name w:val="xl7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96">
    <w:name w:val="_Style 38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7">
    <w:name w:val="xl11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top"/>
    </w:pPr>
    <w:rPr>
      <w:rFonts w:ascii="MingLiU" w:hAnsi="MingLiU" w:eastAsia="MingLiU" w:cs="宋体"/>
      <w:kern w:val="0"/>
      <w:sz w:val="24"/>
    </w:rPr>
  </w:style>
  <w:style w:type="paragraph" w:customStyle="1" w:styleId="398">
    <w:name w:val="表格2"/>
    <w:basedOn w:val="1"/>
    <w:qFormat/>
    <w:uiPriority w:val="0"/>
    <w:pPr>
      <w:snapToGrid w:val="0"/>
      <w:jc w:val="center"/>
    </w:pPr>
    <w:rPr>
      <w:rFonts w:ascii="Arial" w:hAnsi="Arial" w:cs="Arial"/>
      <w:snapToGrid w:val="0"/>
      <w:kern w:val="0"/>
      <w:sz w:val="24"/>
    </w:rPr>
  </w:style>
  <w:style w:type="paragraph" w:customStyle="1" w:styleId="399">
    <w:name w:val="xl49"/>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00">
    <w:name w:val="xl10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01">
    <w:name w:val="标题2"/>
    <w:basedOn w:val="1"/>
    <w:qFormat/>
    <w:uiPriority w:val="0"/>
    <w:pPr>
      <w:spacing w:beforeLines="50" w:afterLines="50" w:line="300" w:lineRule="exact"/>
    </w:pPr>
    <w:rPr>
      <w:b/>
      <w:bCs/>
    </w:rPr>
  </w:style>
  <w:style w:type="paragraph" w:customStyle="1" w:styleId="402">
    <w:name w:val="xl10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403">
    <w:name w:val="Normal1"/>
    <w:next w:val="1"/>
    <w:qFormat/>
    <w:uiPriority w:val="0"/>
    <w:pPr>
      <w:overflowPunct w:val="0"/>
      <w:autoSpaceDE w:val="0"/>
      <w:autoSpaceDN w:val="0"/>
      <w:adjustRightInd w:val="0"/>
      <w:textAlignment w:val="baseline"/>
    </w:pPr>
    <w:rPr>
      <w:rFonts w:ascii="Times" w:hAnsi="Times" w:eastAsia="宋体" w:cs="Times New Roman"/>
      <w:sz w:val="24"/>
      <w:lang w:val="en-US" w:eastAsia="zh-CN" w:bidi="ar-SA"/>
    </w:rPr>
  </w:style>
  <w:style w:type="paragraph" w:customStyle="1" w:styleId="404">
    <w:name w:val="xl4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05">
    <w:name w:val="xl109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406">
    <w:name w:val="xl35"/>
    <w:basedOn w:val="1"/>
    <w:qFormat/>
    <w:uiPriority w:val="0"/>
    <w:pPr>
      <w:widowControl/>
      <w:pBdr>
        <w:top w:val="single" w:color="auto" w:sz="4" w:space="0"/>
        <w:bottom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07">
    <w:name w:val="xl60"/>
    <w:basedOn w:val="1"/>
    <w:qFormat/>
    <w:uiPriority w:val="0"/>
    <w:pPr>
      <w:widowControl/>
      <w:pBdr>
        <w:top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kern w:val="0"/>
      <w:sz w:val="24"/>
    </w:rPr>
  </w:style>
  <w:style w:type="paragraph" w:customStyle="1" w:styleId="408">
    <w:name w:val="小四 段落 宋体 Char Char"/>
    <w:basedOn w:val="313"/>
    <w:qFormat/>
    <w:uiPriority w:val="0"/>
  </w:style>
  <w:style w:type="paragraph" w:customStyle="1" w:styleId="409">
    <w:name w:val="标书正文"/>
    <w:basedOn w:val="1"/>
    <w:qFormat/>
    <w:uiPriority w:val="0"/>
    <w:pPr>
      <w:spacing w:line="360" w:lineRule="auto"/>
      <w:ind w:firstLine="497" w:firstLineChars="207"/>
    </w:pPr>
    <w:rPr>
      <w:sz w:val="24"/>
      <w:szCs w:val="20"/>
    </w:rPr>
  </w:style>
  <w:style w:type="paragraph" w:customStyle="1" w:styleId="410">
    <w:name w:val="_Style 20"/>
    <w:basedOn w:val="1"/>
    <w:qFormat/>
    <w:uiPriority w:val="0"/>
    <w:rPr>
      <w:rFonts w:ascii="Tahoma" w:hAnsi="Tahoma"/>
      <w:sz w:val="24"/>
      <w:szCs w:val="20"/>
    </w:rPr>
  </w:style>
  <w:style w:type="paragraph" w:customStyle="1" w:styleId="411">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rPr>
  </w:style>
  <w:style w:type="paragraph" w:customStyle="1" w:styleId="412">
    <w:name w:val="四级无"/>
    <w:basedOn w:val="346"/>
    <w:qFormat/>
    <w:uiPriority w:val="0"/>
    <w:pPr>
      <w:tabs>
        <w:tab w:val="left" w:pos="360"/>
      </w:tabs>
      <w:spacing w:beforeLines="0" w:afterLines="0"/>
    </w:pPr>
    <w:rPr>
      <w:rFonts w:ascii="宋体" w:eastAsia="宋体"/>
    </w:rPr>
  </w:style>
  <w:style w:type="paragraph" w:customStyle="1" w:styleId="413">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4">
    <w:name w:val="Char3"/>
    <w:basedOn w:val="1"/>
    <w:qFormat/>
    <w:uiPriority w:val="0"/>
    <w:rPr>
      <w:rFonts w:ascii="Tahoma" w:hAnsi="Tahoma" w:cs="仿宋_GB2312"/>
      <w:sz w:val="24"/>
      <w:szCs w:val="28"/>
    </w:rPr>
  </w:style>
  <w:style w:type="paragraph" w:customStyle="1" w:styleId="415">
    <w:name w:val="xl10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16">
    <w:name w:val="xl30"/>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17">
    <w:name w:val="xl10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418">
    <w:name w:val="xl6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419">
    <w:name w:val="样式 首行缩进:  2 字符2 + 居中"/>
    <w:basedOn w:val="340"/>
    <w:qFormat/>
    <w:uiPriority w:val="0"/>
    <w:pPr>
      <w:adjustRightInd/>
      <w:snapToGrid/>
      <w:ind w:firstLine="0" w:firstLineChars="0"/>
      <w:jc w:val="center"/>
    </w:pPr>
    <w:rPr>
      <w:sz w:val="28"/>
      <w:szCs w:val="20"/>
    </w:rPr>
  </w:style>
  <w:style w:type="paragraph" w:customStyle="1" w:styleId="420">
    <w:name w:val="xl118"/>
    <w:basedOn w:val="1"/>
    <w:qFormat/>
    <w:uiPriority w:val="0"/>
    <w:pPr>
      <w:widowControl/>
      <w:pBdr>
        <w:left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421">
    <w:name w:val="xl106"/>
    <w:basedOn w:val="1"/>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paragraph" w:customStyle="1" w:styleId="422">
    <w:name w:val="xl9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23">
    <w:name w:val="±í¸ñÎÄ±¾"/>
    <w:basedOn w:val="1"/>
    <w:qFormat/>
    <w:uiPriority w:val="0"/>
    <w:pPr>
      <w:widowControl/>
      <w:tabs>
        <w:tab w:val="decimal" w:pos="0"/>
      </w:tabs>
      <w:overflowPunct w:val="0"/>
      <w:autoSpaceDE w:val="0"/>
      <w:autoSpaceDN w:val="0"/>
      <w:adjustRightInd w:val="0"/>
      <w:textAlignment w:val="baseline"/>
    </w:pPr>
    <w:rPr>
      <w:kern w:val="0"/>
      <w:sz w:val="24"/>
      <w:szCs w:val="20"/>
    </w:rPr>
  </w:style>
  <w:style w:type="paragraph" w:customStyle="1" w:styleId="424">
    <w:name w:val="Char Char Char Char Char Char Char1"/>
    <w:basedOn w:val="1"/>
    <w:qFormat/>
    <w:uiPriority w:val="0"/>
  </w:style>
  <w:style w:type="paragraph" w:customStyle="1" w:styleId="425">
    <w:name w:val="pa-13"/>
    <w:basedOn w:val="1"/>
    <w:qFormat/>
    <w:uiPriority w:val="0"/>
    <w:pPr>
      <w:widowControl/>
      <w:spacing w:line="240" w:lineRule="atLeast"/>
    </w:pPr>
    <w:rPr>
      <w:rFonts w:ascii="宋体" w:hAnsi="宋体" w:cs="宋体"/>
      <w:kern w:val="0"/>
      <w:sz w:val="24"/>
    </w:rPr>
  </w:style>
  <w:style w:type="paragraph" w:customStyle="1" w:styleId="426">
    <w:name w:val="xl1063"/>
    <w:basedOn w:val="1"/>
    <w:qFormat/>
    <w:uiPriority w:val="0"/>
    <w:pPr>
      <w:widowControl/>
      <w:spacing w:before="100" w:beforeAutospacing="1" w:after="100" w:afterAutospacing="1"/>
      <w:jc w:val="center"/>
    </w:pPr>
    <w:rPr>
      <w:rFonts w:ascii="宋体" w:hAnsi="宋体" w:cs="宋体"/>
      <w:b/>
      <w:bCs/>
      <w:kern w:val="0"/>
      <w:sz w:val="24"/>
    </w:rPr>
  </w:style>
  <w:style w:type="paragraph" w:customStyle="1" w:styleId="427">
    <w:name w:val="xl5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428">
    <w:name w:val="列出段落3"/>
    <w:basedOn w:val="1"/>
    <w:qFormat/>
    <w:uiPriority w:val="0"/>
    <w:pPr>
      <w:ind w:firstLine="420" w:firstLineChars="200"/>
    </w:pPr>
    <w:rPr>
      <w:szCs w:val="20"/>
    </w:rPr>
  </w:style>
  <w:style w:type="paragraph" w:customStyle="1" w:styleId="429">
    <w:name w:val="(1)"/>
    <w:basedOn w:val="1"/>
    <w:qFormat/>
    <w:uiPriority w:val="0"/>
    <w:pPr>
      <w:tabs>
        <w:tab w:val="left" w:pos="573"/>
      </w:tabs>
      <w:adjustRightInd w:val="0"/>
      <w:snapToGrid w:val="0"/>
      <w:spacing w:before="80" w:after="100" w:line="240" w:lineRule="atLeast"/>
      <w:textAlignment w:val="baseline"/>
    </w:pPr>
    <w:rPr>
      <w:rFonts w:ascii="Arial" w:hAnsi="Arial"/>
      <w:kern w:val="44"/>
      <w:sz w:val="24"/>
    </w:rPr>
  </w:style>
  <w:style w:type="paragraph" w:customStyle="1" w:styleId="430">
    <w:name w:val="目录"/>
    <w:basedOn w:val="1"/>
    <w:qFormat/>
    <w:uiPriority w:val="0"/>
    <w:pPr>
      <w:widowControl/>
      <w:jc w:val="center"/>
    </w:pPr>
    <w:rPr>
      <w:rFonts w:ascii="宋体"/>
      <w:b/>
      <w:kern w:val="0"/>
      <w:sz w:val="36"/>
      <w:szCs w:val="20"/>
    </w:rPr>
  </w:style>
  <w:style w:type="paragraph" w:customStyle="1" w:styleId="431">
    <w:name w:val="xl37"/>
    <w:basedOn w:val="1"/>
    <w:qFormat/>
    <w:uiPriority w:val="0"/>
    <w:pPr>
      <w:widowControl/>
      <w:pBdr>
        <w:top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32">
    <w:name w:val="xl12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33">
    <w:name w:val="xl114"/>
    <w:basedOn w:val="1"/>
    <w:qFormat/>
    <w:uiPriority w:val="0"/>
    <w:pPr>
      <w:widowControl/>
      <w:pBdr>
        <w:bottom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434">
    <w:name w:val="xl52"/>
    <w:basedOn w:val="1"/>
    <w:qFormat/>
    <w:uiPriority w:val="0"/>
    <w:pPr>
      <w:widowControl/>
      <w:pBdr>
        <w:lef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35">
    <w:name w:val="三级无"/>
    <w:basedOn w:val="347"/>
    <w:qFormat/>
    <w:uiPriority w:val="0"/>
    <w:pPr>
      <w:spacing w:beforeLines="0" w:afterLines="0"/>
    </w:pPr>
    <w:rPr>
      <w:rFonts w:ascii="宋体" w:eastAsia="宋体"/>
    </w:rPr>
  </w:style>
  <w:style w:type="paragraph" w:customStyle="1" w:styleId="436">
    <w:name w:val="xl10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437">
    <w:name w:val="xl10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438">
    <w:name w:val="xl127"/>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39">
    <w:name w:val="xl10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44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41">
    <w:name w:val="xl63"/>
    <w:basedOn w:val="1"/>
    <w:qFormat/>
    <w:uiPriority w:val="0"/>
    <w:pPr>
      <w:widowControl/>
      <w:pBdr>
        <w:top w:val="single" w:color="auto" w:sz="4" w:space="0"/>
      </w:pBdr>
      <w:spacing w:before="100" w:beforeAutospacing="1" w:after="100" w:afterAutospacing="1"/>
      <w:jc w:val="center"/>
    </w:pPr>
    <w:rPr>
      <w:rFonts w:ascii="Arial Unicode MS" w:hAnsi="Arial Unicode MS" w:eastAsia="Arial Unicode MS" w:cs="Arial Unicode MS"/>
      <w:b/>
      <w:bCs/>
      <w:kern w:val="0"/>
      <w:sz w:val="28"/>
      <w:szCs w:val="28"/>
    </w:rPr>
  </w:style>
  <w:style w:type="paragraph" w:customStyle="1" w:styleId="442">
    <w:name w:val="xl2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443">
    <w:name w:val="表格1"/>
    <w:basedOn w:val="1"/>
    <w:qFormat/>
    <w:uiPriority w:val="0"/>
    <w:pPr>
      <w:tabs>
        <w:tab w:val="left" w:pos="203"/>
      </w:tabs>
      <w:spacing w:before="40" w:after="40"/>
      <w:jc w:val="center"/>
    </w:pPr>
    <w:rPr>
      <w:b/>
      <w:sz w:val="28"/>
      <w:szCs w:val="20"/>
    </w:rPr>
  </w:style>
  <w:style w:type="paragraph" w:customStyle="1" w:styleId="44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kern w:val="0"/>
      <w:sz w:val="28"/>
      <w:szCs w:val="28"/>
    </w:rPr>
  </w:style>
  <w:style w:type="paragraph" w:customStyle="1" w:styleId="445">
    <w:name w:val="xl123"/>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46">
    <w:name w:val="font8"/>
    <w:basedOn w:val="1"/>
    <w:qFormat/>
    <w:uiPriority w:val="0"/>
    <w:pPr>
      <w:widowControl/>
      <w:spacing w:before="100" w:beforeAutospacing="1" w:after="100" w:afterAutospacing="1"/>
      <w:jc w:val="left"/>
    </w:pPr>
    <w:rPr>
      <w:rFonts w:ascii="宋体" w:hAnsi="宋体" w:cs="Arial Unicode MS"/>
      <w:b/>
      <w:bCs/>
      <w:kern w:val="0"/>
      <w:sz w:val="32"/>
      <w:szCs w:val="32"/>
    </w:rPr>
  </w:style>
  <w:style w:type="paragraph" w:styleId="447">
    <w:name w:val="List Paragraph"/>
    <w:basedOn w:val="1"/>
    <w:qFormat/>
    <w:uiPriority w:val="34"/>
    <w:pPr>
      <w:ind w:firstLine="420" w:firstLineChars="200"/>
    </w:pPr>
    <w:rPr>
      <w:rFonts w:ascii="宋体" w:hAnsi="宋体" w:cs="宋体"/>
      <w:bCs/>
      <w:color w:val="000000"/>
      <w:kern w:val="0"/>
      <w:sz w:val="24"/>
      <w:u w:val="single"/>
    </w:rPr>
  </w:style>
  <w:style w:type="paragraph" w:customStyle="1" w:styleId="448">
    <w:name w:val="xl1105"/>
    <w:basedOn w:val="1"/>
    <w:qFormat/>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449">
    <w:name w:val="xl1075"/>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0"/>
      <w:szCs w:val="20"/>
    </w:rPr>
  </w:style>
  <w:style w:type="paragraph" w:customStyle="1" w:styleId="450">
    <w:name w:val="Char Char Char"/>
    <w:basedOn w:val="1"/>
    <w:qFormat/>
    <w:uiPriority w:val="0"/>
    <w:rPr>
      <w:rFonts w:ascii="Tahoma" w:hAnsi="Tahoma" w:cs="Angsana New"/>
      <w:sz w:val="24"/>
      <w:szCs w:val="20"/>
    </w:rPr>
  </w:style>
  <w:style w:type="paragraph" w:customStyle="1" w:styleId="451">
    <w:name w:val="xl10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452">
    <w:name w:val="文档控制号等"/>
    <w:basedOn w:val="1"/>
    <w:qFormat/>
    <w:uiPriority w:val="0"/>
    <w:pPr>
      <w:spacing w:line="360" w:lineRule="auto"/>
      <w:jc w:val="left"/>
    </w:pPr>
  </w:style>
  <w:style w:type="paragraph" w:customStyle="1" w:styleId="453">
    <w:name w:val="xl2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54">
    <w:name w:val="xl6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kern w:val="0"/>
      <w:sz w:val="28"/>
      <w:szCs w:val="28"/>
    </w:rPr>
  </w:style>
  <w:style w:type="paragraph" w:customStyle="1" w:styleId="455">
    <w:name w:val="书目11"/>
    <w:basedOn w:val="1"/>
    <w:next w:val="1"/>
    <w:unhideWhenUsed/>
    <w:qFormat/>
    <w:uiPriority w:val="37"/>
    <w:pPr>
      <w:spacing w:line="360" w:lineRule="auto"/>
      <w:ind w:firstLine="200" w:firstLineChars="200"/>
      <w:jc w:val="left"/>
    </w:pPr>
    <w:rPr>
      <w:sz w:val="24"/>
    </w:rPr>
  </w:style>
  <w:style w:type="paragraph" w:customStyle="1" w:styleId="456">
    <w:name w:val="模版正文"/>
    <w:basedOn w:val="1"/>
    <w:qFormat/>
    <w:uiPriority w:val="0"/>
    <w:pPr>
      <w:widowControl/>
      <w:adjustRightInd w:val="0"/>
      <w:snapToGrid w:val="0"/>
      <w:spacing w:line="440" w:lineRule="exact"/>
      <w:ind w:firstLine="200" w:firstLineChars="200"/>
      <w:jc w:val="left"/>
    </w:pPr>
    <w:rPr>
      <w:rFonts w:ascii="仿宋" w:hAnsi="仿宋" w:cs="宋体"/>
      <w:sz w:val="28"/>
      <w:szCs w:val="20"/>
    </w:rPr>
  </w:style>
  <w:style w:type="paragraph" w:customStyle="1" w:styleId="457">
    <w:name w:val="xl121"/>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textAlignment w:val="top"/>
    </w:pPr>
    <w:rPr>
      <w:rFonts w:ascii="MingLiU" w:hAnsi="MingLiU" w:eastAsia="MingLiU" w:cs="宋体"/>
      <w:kern w:val="0"/>
      <w:sz w:val="24"/>
    </w:rPr>
  </w:style>
  <w:style w:type="paragraph" w:customStyle="1" w:styleId="458">
    <w:name w:val="样式 左  4 字符 首行缩进:  2 字符"/>
    <w:basedOn w:val="1"/>
    <w:qFormat/>
    <w:uiPriority w:val="0"/>
    <w:pPr>
      <w:spacing w:beforeLines="50" w:afterLines="50"/>
      <w:ind w:left="400" w:leftChars="400" w:firstLine="200" w:firstLineChars="200"/>
    </w:pPr>
    <w:rPr>
      <w:rFonts w:cs="宋体"/>
      <w:szCs w:val="20"/>
    </w:rPr>
  </w:style>
  <w:style w:type="paragraph" w:customStyle="1" w:styleId="459">
    <w:name w:val="xl88"/>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460">
    <w:name w:val="xl38"/>
    <w:basedOn w:val="1"/>
    <w:qFormat/>
    <w:uiPriority w:val="0"/>
    <w:pPr>
      <w:widowControl/>
      <w:pBdr>
        <w:top w:val="single" w:color="auto" w:sz="4" w:space="0"/>
        <w:bottom w:val="single" w:color="auto" w:sz="8"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61">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62">
    <w:name w:val="xl10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63">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szCs w:val="24"/>
      <w:lang w:val="en-US" w:eastAsia="zh-CN" w:bidi="ar-SA"/>
    </w:rPr>
  </w:style>
  <w:style w:type="paragraph" w:customStyle="1" w:styleId="464">
    <w:name w:val="default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465">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rPr>
  </w:style>
  <w:style w:type="paragraph" w:customStyle="1" w:styleId="466">
    <w:name w:val="xl101"/>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67">
    <w:name w:val="Item List Char"/>
    <w:qFormat/>
    <w:uiPriority w:val="0"/>
    <w:pPr>
      <w:tabs>
        <w:tab w:val="left" w:pos="360"/>
        <w:tab w:val="left" w:pos="2211"/>
      </w:tabs>
      <w:spacing w:line="300" w:lineRule="auto"/>
      <w:ind w:left="340" w:hanging="340"/>
      <w:jc w:val="both"/>
    </w:pPr>
    <w:rPr>
      <w:rFonts w:ascii="Arial" w:hAnsi="Arial" w:eastAsia="宋体" w:cs="Times New Roman"/>
      <w:sz w:val="21"/>
      <w:lang w:val="en-US" w:eastAsia="zh-CN" w:bidi="ar-SA"/>
    </w:rPr>
  </w:style>
  <w:style w:type="paragraph" w:customStyle="1" w:styleId="468">
    <w:name w:val="xl10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69">
    <w:name w:val="xl107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470">
    <w:name w:val="xl56"/>
    <w:basedOn w:val="1"/>
    <w:qFormat/>
    <w:uiPriority w:val="0"/>
    <w:pPr>
      <w:widowControl/>
      <w:pBdr>
        <w:top w:val="single" w:color="auto" w:sz="4" w:space="0"/>
        <w:left w:val="single" w:color="auto" w:sz="4" w:space="0"/>
        <w:bottom w:val="single" w:color="auto" w:sz="8" w:space="0"/>
      </w:pBdr>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471">
    <w:name w:val="Char Char Char 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72">
    <w:name w:val="内文"/>
    <w:qFormat/>
    <w:uiPriority w:val="0"/>
    <w:pPr>
      <w:widowControl w:val="0"/>
      <w:autoSpaceDE w:val="0"/>
      <w:autoSpaceDN w:val="0"/>
      <w:adjustRightInd w:val="0"/>
      <w:jc w:val="both"/>
    </w:pPr>
    <w:rPr>
      <w:rFonts w:hint="eastAsia" w:ascii="宋体" w:hAnsi="Times New Roman" w:eastAsia="宋体" w:cs="Times New Roman"/>
      <w:color w:val="000000"/>
      <w:sz w:val="24"/>
      <w:lang w:val="en-US" w:eastAsia="zh-CN" w:bidi="ar-SA"/>
    </w:rPr>
  </w:style>
  <w:style w:type="paragraph" w:customStyle="1" w:styleId="473">
    <w:name w:val="标题1"/>
    <w:basedOn w:val="3"/>
    <w:qFormat/>
    <w:uiPriority w:val="0"/>
    <w:pPr>
      <w:widowControl w:val="0"/>
      <w:tabs>
        <w:tab w:val="left" w:pos="839"/>
      </w:tabs>
      <w:adjustRightInd w:val="0"/>
      <w:spacing w:before="0" w:after="0" w:line="360" w:lineRule="auto"/>
      <w:ind w:left="1276" w:hanging="425"/>
      <w:textAlignment w:val="baseline"/>
    </w:pPr>
    <w:rPr>
      <w:rFonts w:ascii="黑体" w:hAnsi="宋体" w:eastAsia="黑体"/>
      <w:bCs w:val="0"/>
      <w:kern w:val="11"/>
      <w:sz w:val="28"/>
      <w:szCs w:val="20"/>
    </w:rPr>
  </w:style>
  <w:style w:type="paragraph" w:customStyle="1" w:styleId="474">
    <w:name w:val="五级条标题"/>
    <w:basedOn w:val="346"/>
    <w:next w:val="1"/>
    <w:qFormat/>
    <w:uiPriority w:val="0"/>
    <w:pPr>
      <w:outlineLvl w:val="6"/>
    </w:pPr>
  </w:style>
  <w:style w:type="paragraph" w:customStyle="1" w:styleId="475">
    <w:name w:val="xl10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0"/>
      <w:szCs w:val="20"/>
    </w:rPr>
  </w:style>
  <w:style w:type="paragraph" w:customStyle="1" w:styleId="476">
    <w:name w:val="xl10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color w:val="FF0000"/>
      <w:kern w:val="0"/>
      <w:sz w:val="20"/>
      <w:szCs w:val="20"/>
    </w:rPr>
  </w:style>
  <w:style w:type="paragraph" w:customStyle="1" w:styleId="477">
    <w:name w:val="font10"/>
    <w:basedOn w:val="1"/>
    <w:qFormat/>
    <w:uiPriority w:val="0"/>
    <w:pPr>
      <w:widowControl/>
      <w:spacing w:before="100" w:beforeAutospacing="1" w:after="100" w:afterAutospacing="1"/>
      <w:jc w:val="left"/>
    </w:pPr>
    <w:rPr>
      <w:rFonts w:eastAsia="Arial Unicode MS"/>
      <w:kern w:val="0"/>
      <w:sz w:val="28"/>
      <w:szCs w:val="28"/>
    </w:rPr>
  </w:style>
  <w:style w:type="paragraph" w:customStyle="1" w:styleId="478">
    <w:name w:val="tll"/>
    <w:basedOn w:val="1"/>
    <w:qFormat/>
    <w:uiPriority w:val="0"/>
    <w:pPr>
      <w:autoSpaceDE w:val="0"/>
      <w:autoSpaceDN w:val="0"/>
      <w:adjustRightInd w:val="0"/>
      <w:jc w:val="left"/>
      <w:textAlignment w:val="baseline"/>
    </w:pPr>
    <w:rPr>
      <w:rFonts w:ascii="仿宋_GB2312" w:hAnsi="Arial" w:eastAsia="仿宋_GB2312"/>
      <w:kern w:val="0"/>
      <w:szCs w:val="21"/>
    </w:rPr>
  </w:style>
  <w:style w:type="paragraph" w:customStyle="1" w:styleId="479">
    <w:name w:val="xl11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top"/>
    </w:pPr>
    <w:rPr>
      <w:rFonts w:ascii="MingLiU" w:hAnsi="MingLiU" w:eastAsia="MingLiU" w:cs="宋体"/>
      <w:kern w:val="0"/>
      <w:sz w:val="24"/>
    </w:rPr>
  </w:style>
  <w:style w:type="paragraph" w:customStyle="1" w:styleId="48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eastAsia="Arial Unicode MS"/>
      <w:kern w:val="0"/>
      <w:sz w:val="20"/>
      <w:szCs w:val="20"/>
    </w:rPr>
  </w:style>
  <w:style w:type="paragraph" w:customStyle="1" w:styleId="481">
    <w:name w:val="xl92"/>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paragraph" w:customStyle="1" w:styleId="482">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Arial Unicode MS" w:cs="Arial Unicode MS"/>
      <w:b/>
      <w:bCs/>
      <w:kern w:val="0"/>
      <w:sz w:val="20"/>
      <w:szCs w:val="20"/>
    </w:rPr>
  </w:style>
  <w:style w:type="paragraph" w:customStyle="1" w:styleId="483">
    <w:name w:val="pa-10"/>
    <w:basedOn w:val="1"/>
    <w:qFormat/>
    <w:uiPriority w:val="0"/>
    <w:pPr>
      <w:widowControl/>
      <w:spacing w:line="280" w:lineRule="atLeast"/>
    </w:pPr>
    <w:rPr>
      <w:rFonts w:ascii="宋体" w:hAnsi="宋体" w:cs="宋体"/>
      <w:kern w:val="0"/>
      <w:sz w:val="24"/>
    </w:rPr>
  </w:style>
  <w:style w:type="paragraph" w:customStyle="1" w:styleId="484">
    <w:name w:val="TOC 标题1"/>
    <w:basedOn w:val="3"/>
    <w:next w:val="1"/>
    <w:qFormat/>
    <w:uiPriority w:val="39"/>
    <w:pPr>
      <w:tabs>
        <w:tab w:val="left" w:pos="1320"/>
        <w:tab w:val="left" w:pos="1740"/>
      </w:tabs>
      <w:spacing w:before="480" w:after="0" w:line="276" w:lineRule="auto"/>
      <w:outlineLvl w:val="9"/>
    </w:pPr>
    <w:rPr>
      <w:rFonts w:ascii="Cambria" w:hAnsi="Cambria"/>
      <w:color w:val="365F91"/>
      <w:kern w:val="0"/>
      <w:sz w:val="28"/>
      <w:szCs w:val="28"/>
    </w:rPr>
  </w:style>
  <w:style w:type="paragraph" w:customStyle="1" w:styleId="485">
    <w:name w:val="xl85"/>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86">
    <w:name w:val="xl1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b/>
      <w:bCs/>
      <w:kern w:val="0"/>
      <w:sz w:val="20"/>
      <w:szCs w:val="20"/>
    </w:rPr>
  </w:style>
  <w:style w:type="paragraph" w:customStyle="1" w:styleId="487">
    <w:name w:val="xl11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88">
    <w:name w:val="表格标题3"/>
    <w:basedOn w:val="386"/>
    <w:qFormat/>
    <w:uiPriority w:val="0"/>
    <w:pPr>
      <w:tabs>
        <w:tab w:val="left" w:pos="570"/>
        <w:tab w:val="left" w:pos="720"/>
        <w:tab w:val="clear" w:pos="1620"/>
      </w:tabs>
      <w:ind w:left="570" w:hanging="570"/>
    </w:pPr>
  </w:style>
  <w:style w:type="paragraph" w:customStyle="1" w:styleId="489">
    <w:name w:val="xl1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b/>
      <w:bCs/>
      <w:kern w:val="0"/>
      <w:sz w:val="20"/>
      <w:szCs w:val="20"/>
    </w:rPr>
  </w:style>
  <w:style w:type="paragraph" w:customStyle="1" w:styleId="490">
    <w:name w:val="xl1089"/>
    <w:basedOn w:val="1"/>
    <w:qFormat/>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491">
    <w:name w:val="xl12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92">
    <w:name w:val="xl32"/>
    <w:basedOn w:val="1"/>
    <w:qFormat/>
    <w:uiPriority w:val="0"/>
    <w:pPr>
      <w:widowControl/>
      <w:pBdr>
        <w:top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93">
    <w:name w:val="xl70"/>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Arial Unicode MS" w:hAnsi="Arial Unicode MS" w:eastAsia="Arial Unicode MS" w:cs="Arial Unicode MS"/>
      <w:b/>
      <w:bCs/>
      <w:kern w:val="0"/>
      <w:sz w:val="20"/>
      <w:szCs w:val="20"/>
    </w:rPr>
  </w:style>
  <w:style w:type="paragraph" w:customStyle="1" w:styleId="494">
    <w:name w:val="二级无"/>
    <w:basedOn w:val="348"/>
    <w:qFormat/>
    <w:uiPriority w:val="0"/>
    <w:pPr>
      <w:spacing w:beforeLines="0" w:afterLines="0"/>
    </w:pPr>
    <w:rPr>
      <w:rFonts w:ascii="宋体" w:eastAsia="宋体"/>
    </w:rPr>
  </w:style>
  <w:style w:type="paragraph" w:customStyle="1" w:styleId="495">
    <w:name w:val="xl99"/>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96">
    <w:name w:val="xl34"/>
    <w:basedOn w:val="1"/>
    <w:qFormat/>
    <w:uiPriority w:val="0"/>
    <w:pPr>
      <w:widowControl/>
      <w:pBdr>
        <w:top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97">
    <w:name w:val="xl109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498">
    <w:name w:val="xl1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499">
    <w:name w:val="xl10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500">
    <w:name w:val="节标题"/>
    <w:basedOn w:val="1"/>
    <w:qFormat/>
    <w:uiPriority w:val="0"/>
    <w:pPr>
      <w:widowControl/>
      <w:spacing w:line="289" w:lineRule="atLeast"/>
      <w:jc w:val="center"/>
      <w:textAlignment w:val="baseline"/>
    </w:pPr>
    <w:rPr>
      <w:color w:val="000000"/>
      <w:kern w:val="0"/>
      <w:sz w:val="28"/>
      <w:szCs w:val="20"/>
      <w:u w:color="000000"/>
    </w:rPr>
  </w:style>
  <w:style w:type="paragraph" w:customStyle="1" w:styleId="501">
    <w:name w:val="xl7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502">
    <w:name w:val="xl10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b/>
      <w:bCs/>
      <w:kern w:val="0"/>
      <w:sz w:val="20"/>
      <w:szCs w:val="20"/>
    </w:rPr>
  </w:style>
  <w:style w:type="paragraph" w:customStyle="1" w:styleId="503">
    <w:name w:val="xl48"/>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504">
    <w:name w:val="Char Char Char Char Char Char Char"/>
    <w:basedOn w:val="1"/>
    <w:qFormat/>
    <w:uiPriority w:val="0"/>
  </w:style>
  <w:style w:type="paragraph" w:customStyle="1" w:styleId="505">
    <w:name w:val="字母编号列项（一级）"/>
    <w:qFormat/>
    <w:uiPriority w:val="0"/>
    <w:pPr>
      <w:tabs>
        <w:tab w:val="left" w:pos="840"/>
      </w:tabs>
      <w:ind w:left="839" w:hanging="419"/>
      <w:jc w:val="both"/>
    </w:pPr>
    <w:rPr>
      <w:rFonts w:ascii="宋体" w:hAnsi="Times New Roman" w:eastAsia="宋体" w:cs="Times New Roman"/>
      <w:sz w:val="21"/>
      <w:lang w:val="en-US" w:eastAsia="zh-CN" w:bidi="ar-SA"/>
    </w:rPr>
  </w:style>
  <w:style w:type="paragraph" w:customStyle="1" w:styleId="506">
    <w:name w:val="Bullet 1"/>
    <w:qFormat/>
    <w:uiPriority w:val="0"/>
    <w:pPr>
      <w:widowControl w:val="0"/>
      <w:autoSpaceDE w:val="0"/>
      <w:autoSpaceDN w:val="0"/>
      <w:adjustRightInd w:val="0"/>
      <w:spacing w:line="288" w:lineRule="auto"/>
      <w:ind w:left="1026" w:hanging="425"/>
      <w:textAlignment w:val="baseline"/>
    </w:pPr>
    <w:rPr>
      <w:rFonts w:ascii="楷体" w:hAnsi="Times New Roman" w:eastAsia="楷体" w:cs="Times New Roman"/>
      <w:color w:val="000000"/>
      <w:spacing w:val="20"/>
      <w:sz w:val="24"/>
      <w:lang w:val="en-US" w:eastAsia="zh-CN" w:bidi="ar-SA"/>
    </w:rPr>
  </w:style>
  <w:style w:type="paragraph" w:customStyle="1" w:styleId="507">
    <w:name w:val="xl59"/>
    <w:basedOn w:val="1"/>
    <w:qFormat/>
    <w:uiPriority w:val="0"/>
    <w:pPr>
      <w:widowControl/>
      <w:pBdr>
        <w:top w:val="single" w:color="auto" w:sz="4" w:space="0"/>
        <w:left w:val="single" w:color="auto" w:sz="4" w:space="0"/>
        <w:bottom w:val="single" w:color="auto" w:sz="4" w:space="0"/>
      </w:pBdr>
      <w:spacing w:before="100" w:beforeAutospacing="1" w:after="100" w:afterAutospacing="1"/>
    </w:pPr>
    <w:rPr>
      <w:rFonts w:ascii="Arial Unicode MS" w:hAnsi="Arial Unicode MS" w:eastAsia="Arial Unicode MS" w:cs="Arial Unicode MS"/>
      <w:kern w:val="0"/>
      <w:sz w:val="24"/>
    </w:rPr>
  </w:style>
  <w:style w:type="paragraph" w:customStyle="1" w:styleId="508">
    <w:name w:val="xl5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509">
    <w:name w:val="xl107"/>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paragraph" w:customStyle="1" w:styleId="510">
    <w:name w:val="正文3号仿宋"/>
    <w:basedOn w:val="1"/>
    <w:link w:val="511"/>
    <w:qFormat/>
    <w:uiPriority w:val="0"/>
    <w:pPr>
      <w:adjustRightInd w:val="0"/>
      <w:spacing w:line="360" w:lineRule="auto"/>
      <w:ind w:firstLine="480" w:firstLineChars="200"/>
      <w:textAlignment w:val="baseline"/>
    </w:pPr>
    <w:rPr>
      <w:rFonts w:ascii="宋体" w:hAnsi="宋体"/>
      <w:kern w:val="0"/>
      <w:sz w:val="24"/>
    </w:rPr>
  </w:style>
  <w:style w:type="character" w:customStyle="1" w:styleId="511">
    <w:name w:val="正文3号仿宋 Char"/>
    <w:link w:val="510"/>
    <w:qFormat/>
    <w:uiPriority w:val="0"/>
    <w:rPr>
      <w:rFonts w:ascii="宋体" w:hAnsi="宋体"/>
      <w:sz w:val="24"/>
      <w:szCs w:val="24"/>
    </w:rPr>
  </w:style>
  <w:style w:type="paragraph" w:customStyle="1" w:styleId="512">
    <w:name w:val="段落小标题"/>
    <w:basedOn w:val="1"/>
    <w:link w:val="513"/>
    <w:qFormat/>
    <w:uiPriority w:val="0"/>
    <w:pPr>
      <w:adjustRightInd w:val="0"/>
      <w:spacing w:line="360" w:lineRule="auto"/>
      <w:ind w:firstLine="510"/>
      <w:jc w:val="left"/>
      <w:textAlignment w:val="baseline"/>
    </w:pPr>
    <w:rPr>
      <w:rFonts w:ascii="仿宋" w:hAnsi="仿宋" w:eastAsia="仿宋"/>
      <w:b/>
      <w:kern w:val="0"/>
      <w:sz w:val="32"/>
      <w:szCs w:val="32"/>
    </w:rPr>
  </w:style>
  <w:style w:type="character" w:customStyle="1" w:styleId="513">
    <w:name w:val="段落小标题 Char"/>
    <w:link w:val="512"/>
    <w:qFormat/>
    <w:uiPriority w:val="0"/>
    <w:rPr>
      <w:rFonts w:ascii="仿宋" w:hAnsi="仿宋" w:eastAsia="仿宋"/>
      <w:b/>
      <w:sz w:val="32"/>
      <w:szCs w:val="32"/>
    </w:rPr>
  </w:style>
  <w:style w:type="character" w:customStyle="1" w:styleId="514">
    <w:name w:val="正文（缩进） Char"/>
    <w:link w:val="515"/>
    <w:qFormat/>
    <w:uiPriority w:val="0"/>
    <w:rPr>
      <w:rFonts w:ascii="宋体" w:hAnsi="宋体" w:cs="宋体"/>
      <w:sz w:val="24"/>
      <w:szCs w:val="24"/>
    </w:rPr>
  </w:style>
  <w:style w:type="paragraph" w:customStyle="1" w:styleId="515">
    <w:name w:val="正文（缩进）"/>
    <w:basedOn w:val="1"/>
    <w:link w:val="514"/>
    <w:qFormat/>
    <w:uiPriority w:val="0"/>
    <w:pPr>
      <w:widowControl/>
      <w:spacing w:beforeLines="50" w:afterLines="50" w:line="360" w:lineRule="auto"/>
      <w:ind w:firstLine="480" w:firstLineChars="200"/>
      <w:jc w:val="left"/>
    </w:pPr>
    <w:rPr>
      <w:rFonts w:ascii="宋体" w:hAnsi="宋体"/>
      <w:kern w:val="0"/>
      <w:sz w:val="24"/>
    </w:rPr>
  </w:style>
  <w:style w:type="character" w:customStyle="1" w:styleId="516">
    <w:name w:val="font81"/>
    <w:basedOn w:val="61"/>
    <w:qFormat/>
    <w:uiPriority w:val="0"/>
    <w:rPr>
      <w:rFonts w:hint="default" w:ascii="楷体" w:hAnsi="楷体" w:eastAsia="楷体" w:cs="楷体"/>
      <w:color w:val="000000"/>
      <w:sz w:val="20"/>
      <w:szCs w:val="20"/>
      <w:u w:val="none"/>
      <w:vertAlign w:val="subscript"/>
    </w:rPr>
  </w:style>
  <w:style w:type="character" w:customStyle="1" w:styleId="517">
    <w:name w:val="font111"/>
    <w:basedOn w:val="61"/>
    <w:qFormat/>
    <w:uiPriority w:val="0"/>
    <w:rPr>
      <w:rFonts w:hint="default" w:ascii="楷体" w:hAnsi="楷体" w:eastAsia="楷体" w:cs="楷体"/>
      <w:color w:val="000000"/>
      <w:sz w:val="20"/>
      <w:szCs w:val="20"/>
      <w:u w:val="none"/>
    </w:rPr>
  </w:style>
  <w:style w:type="character" w:customStyle="1" w:styleId="518">
    <w:name w:val="font91"/>
    <w:basedOn w:val="61"/>
    <w:qFormat/>
    <w:uiPriority w:val="0"/>
    <w:rPr>
      <w:rFonts w:hint="eastAsia" w:ascii="宋体" w:hAnsi="宋体" w:eastAsia="宋体" w:cs="宋体"/>
      <w:color w:val="000000"/>
      <w:sz w:val="20"/>
      <w:szCs w:val="20"/>
      <w:u w:val="none"/>
    </w:rPr>
  </w:style>
  <w:style w:type="character" w:customStyle="1" w:styleId="519">
    <w:name w:val="font71"/>
    <w:basedOn w:val="61"/>
    <w:qFormat/>
    <w:uiPriority w:val="0"/>
    <w:rPr>
      <w:rFonts w:hint="default" w:ascii="楷体" w:hAnsi="楷体" w:eastAsia="楷体" w:cs="楷体"/>
      <w:color w:val="000000"/>
      <w:sz w:val="20"/>
      <w:szCs w:val="20"/>
      <w:u w:val="none"/>
    </w:rPr>
  </w:style>
  <w:style w:type="paragraph" w:customStyle="1" w:styleId="520">
    <w:name w:val="正文3"/>
    <w:qFormat/>
    <w:uiPriority w:val="0"/>
    <w:pPr>
      <w:widowControl w:val="0"/>
      <w:adjustRightInd w:val="0"/>
      <w:spacing w:line="312" w:lineRule="atLeast"/>
      <w:jc w:val="both"/>
      <w:textAlignment w:val="baseline"/>
    </w:pPr>
    <w:rPr>
      <w:rFonts w:ascii="宋体" w:hAnsi="Calibri" w:eastAsia="宋体" w:cs="Times New Roman"/>
      <w:sz w:val="34"/>
      <w:lang w:val="en-US" w:eastAsia="zh-CN" w:bidi="ar-SA"/>
    </w:rPr>
  </w:style>
  <w:style w:type="character" w:customStyle="1" w:styleId="521">
    <w:name w:val="font131"/>
    <w:basedOn w:val="61"/>
    <w:qFormat/>
    <w:uiPriority w:val="0"/>
    <w:rPr>
      <w:rFonts w:hint="default" w:ascii="楷体" w:hAnsi="楷体" w:eastAsia="楷体" w:cs="楷体"/>
      <w:color w:val="000000"/>
      <w:sz w:val="20"/>
      <w:szCs w:val="20"/>
      <w:u w:val="none"/>
    </w:rPr>
  </w:style>
  <w:style w:type="character" w:customStyle="1" w:styleId="522">
    <w:name w:val="font121"/>
    <w:basedOn w:val="61"/>
    <w:qFormat/>
    <w:uiPriority w:val="0"/>
    <w:rPr>
      <w:rFonts w:hint="default" w:ascii="楷体" w:hAnsi="楷体" w:eastAsia="楷体" w:cs="楷体"/>
      <w:color w:val="000000"/>
      <w:sz w:val="18"/>
      <w:szCs w:val="18"/>
      <w:u w:val="none"/>
    </w:rPr>
  </w:style>
  <w:style w:type="character" w:customStyle="1" w:styleId="523">
    <w:name w:val="font141"/>
    <w:basedOn w:val="61"/>
    <w:qFormat/>
    <w:uiPriority w:val="0"/>
    <w:rPr>
      <w:rFonts w:hint="default" w:ascii="楷体" w:hAnsi="楷体" w:eastAsia="楷体" w:cs="楷体"/>
      <w:color w:val="000000"/>
      <w:sz w:val="18"/>
      <w:szCs w:val="18"/>
      <w:u w:val="none"/>
    </w:rPr>
  </w:style>
  <w:style w:type="character" w:customStyle="1" w:styleId="524">
    <w:name w:val="font151"/>
    <w:basedOn w:val="61"/>
    <w:qFormat/>
    <w:uiPriority w:val="0"/>
    <w:rPr>
      <w:rFonts w:hint="eastAsia" w:ascii="宋体" w:hAnsi="宋体" w:eastAsia="宋体" w:cs="宋体"/>
      <w:color w:val="000000"/>
      <w:sz w:val="20"/>
      <w:szCs w:val="20"/>
      <w:u w:val="none"/>
    </w:rPr>
  </w:style>
  <w:style w:type="paragraph" w:customStyle="1" w:styleId="525">
    <w:name w:val="纯文本3"/>
    <w:basedOn w:val="1"/>
    <w:qFormat/>
    <w:uiPriority w:val="0"/>
    <w:rPr>
      <w:rFonts w:ascii="宋体" w:hAnsi="Courier New"/>
      <w:kern w:val="0"/>
      <w:sz w:val="20"/>
      <w:szCs w:val="20"/>
    </w:rPr>
  </w:style>
  <w:style w:type="paragraph" w:customStyle="1" w:styleId="526">
    <w:name w:val="采购正文"/>
    <w:basedOn w:val="1"/>
    <w:qFormat/>
    <w:uiPriority w:val="0"/>
    <w:pPr>
      <w:snapToGrid w:val="0"/>
      <w:spacing w:line="560" w:lineRule="exact"/>
      <w:ind w:firstLine="480" w:firstLineChars="200"/>
    </w:pPr>
    <w:rPr>
      <w:rFonts w:ascii="仿宋" w:hAnsi="仿宋" w:eastAsia="仿宋"/>
      <w:sz w:val="24"/>
    </w:rPr>
  </w:style>
  <w:style w:type="character" w:customStyle="1" w:styleId="527">
    <w:name w:val="16"/>
    <w:basedOn w:val="61"/>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e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8"/>
    <customShpInfo spid="_x0000_s3075"/>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注册单位=China</Company>
  <Pages>44</Pages>
  <Words>4222</Words>
  <Characters>24066</Characters>
  <Lines>200</Lines>
  <Paragraphs>56</Paragraphs>
  <TotalTime>42</TotalTime>
  <ScaleCrop>false</ScaleCrop>
  <LinksUpToDate>false</LinksUpToDate>
  <CharactersWithSpaces>28232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2018-01-31T02:45:00Z</dcterms:created>
  <dc:creator>微软用户</dc:creator>
  <cp:lastModifiedBy>Administrator</cp:lastModifiedBy>
  <cp:lastPrinted>2020-04-28T07:56:00Z</cp:lastPrinted>
  <dcterms:modified xsi:type="dcterms:W3CDTF">2020-04-29T11:03:00Z</dcterms:modified>
  <dc:title>_x0001_</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