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FA8AC">
      <w:pPr>
        <w:shd w:val="clear"/>
        <w:wordWrap w:val="0"/>
        <w:spacing w:line="579" w:lineRule="exact"/>
        <w:ind w:right="39" w:firstLine="640" w:firstLineChars="200"/>
        <w:jc w:val="right"/>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val="en-US" w:eastAsia="zh-CN"/>
        </w:rPr>
        <w:t xml:space="preserve">              </w:t>
      </w:r>
      <w:r>
        <w:rPr>
          <w:rFonts w:hint="eastAsia" w:ascii="仿宋" w:hAnsi="仿宋" w:eastAsia="仿宋" w:cs="仿宋"/>
          <w:color w:val="auto"/>
          <w:sz w:val="32"/>
          <w:szCs w:val="21"/>
          <w:highlight w:val="none"/>
          <w:lang w:eastAsia="zh-CN"/>
        </w:rPr>
        <w:t>项目编号:</w:t>
      </w:r>
      <w:r>
        <w:rPr>
          <w:rFonts w:hint="eastAsia" w:ascii="仿宋" w:hAnsi="仿宋" w:eastAsia="仿宋" w:cs="仿宋"/>
          <w:color w:val="auto"/>
          <w:sz w:val="32"/>
          <w:szCs w:val="18"/>
          <w:highlight w:val="none"/>
          <w:lang w:val="en-US" w:eastAsia="zh-CN"/>
        </w:rPr>
        <w:t>2025(JKJ)175</w:t>
      </w:r>
    </w:p>
    <w:p w14:paraId="4F8F12D2">
      <w:pPr>
        <w:shd w:val="clear"/>
        <w:spacing w:line="360" w:lineRule="auto"/>
        <w:jc w:val="center"/>
        <w:rPr>
          <w:rFonts w:ascii="仿宋" w:hAnsi="仿宋" w:eastAsia="仿宋" w:cs="仿宋"/>
          <w:color w:val="auto"/>
          <w:sz w:val="32"/>
          <w:szCs w:val="18"/>
          <w:highlight w:val="none"/>
          <w:lang w:eastAsia="zh-CN"/>
        </w:rPr>
      </w:pPr>
      <w:r>
        <w:rPr>
          <w:rFonts w:hint="eastAsia" w:ascii="仿宋" w:hAnsi="仿宋" w:eastAsia="仿宋" w:cs="仿宋"/>
          <w:color w:val="auto"/>
          <w:sz w:val="32"/>
          <w:szCs w:val="18"/>
          <w:highlight w:val="none"/>
          <w:lang w:eastAsia="zh-CN"/>
        </w:rPr>
        <w:t>自治区文化和旅游厅态势感知平台升级和漏洞扫描服务项目</w:t>
      </w:r>
    </w:p>
    <w:p w14:paraId="576EE213">
      <w:pPr>
        <w:shd w:val="clear"/>
        <w:spacing w:line="360" w:lineRule="auto"/>
        <w:jc w:val="center"/>
        <w:rPr>
          <w:rFonts w:hint="default" w:ascii="仿宋" w:hAnsi="仿宋" w:eastAsia="仿宋" w:cs="仿宋"/>
          <w:color w:val="auto"/>
          <w:sz w:val="44"/>
          <w:highlight w:val="none"/>
          <w:lang w:val="en-US" w:eastAsia="zh-CN"/>
        </w:rPr>
      </w:pPr>
    </w:p>
    <w:p w14:paraId="740867B7">
      <w:pPr>
        <w:shd w:val="clear"/>
        <w:spacing w:line="579" w:lineRule="exact"/>
        <w:jc w:val="center"/>
        <w:rPr>
          <w:rFonts w:ascii="仿宋" w:hAnsi="仿宋" w:eastAsia="仿宋" w:cs="仿宋"/>
          <w:color w:val="auto"/>
          <w:sz w:val="44"/>
          <w:szCs w:val="36"/>
          <w:highlight w:val="none"/>
          <w:lang w:eastAsia="zh-CN"/>
        </w:rPr>
      </w:pPr>
    </w:p>
    <w:p w14:paraId="3B325051">
      <w:pPr>
        <w:shd w:val="clear"/>
        <w:spacing w:line="579" w:lineRule="exact"/>
        <w:jc w:val="center"/>
        <w:rPr>
          <w:rFonts w:hint="eastAsia" w:ascii="仿宋" w:hAnsi="仿宋" w:eastAsia="仿宋" w:cs="仿宋"/>
          <w:color w:val="auto"/>
          <w:sz w:val="44"/>
          <w:szCs w:val="36"/>
          <w:highlight w:val="none"/>
          <w:lang w:eastAsia="zh-CN"/>
        </w:rPr>
      </w:pPr>
    </w:p>
    <w:p w14:paraId="52A87712">
      <w:pPr>
        <w:shd w:val="clear"/>
        <w:spacing w:line="579" w:lineRule="exact"/>
        <w:jc w:val="center"/>
        <w:rPr>
          <w:rFonts w:ascii="仿宋" w:hAnsi="仿宋" w:eastAsia="仿宋" w:cs="仿宋"/>
          <w:color w:val="auto"/>
          <w:sz w:val="44"/>
          <w:szCs w:val="36"/>
          <w:highlight w:val="none"/>
          <w:lang w:eastAsia="zh-CN"/>
        </w:rPr>
      </w:pPr>
      <w:r>
        <w:rPr>
          <w:rFonts w:hint="eastAsia" w:ascii="仿宋" w:hAnsi="仿宋" w:eastAsia="仿宋" w:cs="仿宋"/>
          <w:color w:val="auto"/>
          <w:sz w:val="44"/>
          <w:szCs w:val="36"/>
          <w:highlight w:val="none"/>
          <w:lang w:eastAsia="zh-CN"/>
        </w:rPr>
        <w:t>竞争性磋商文件</w:t>
      </w:r>
    </w:p>
    <w:p w14:paraId="3FE0844B">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rPr>
        <w:t xml:space="preserve"> </w:t>
      </w:r>
    </w:p>
    <w:p w14:paraId="56192958">
      <w:pPr>
        <w:pStyle w:val="7"/>
        <w:shd w:val="clear"/>
        <w:spacing w:line="579" w:lineRule="exact"/>
        <w:ind w:left="0" w:leftChars="0" w:firstLine="0" w:firstLineChars="0"/>
        <w:rPr>
          <w:rFonts w:ascii="仿宋" w:hAnsi="仿宋" w:eastAsia="仿宋" w:cs="仿宋"/>
          <w:color w:val="auto"/>
          <w:highlight w:val="none"/>
          <w:lang w:eastAsia="zh-CN"/>
        </w:rPr>
      </w:pPr>
    </w:p>
    <w:p w14:paraId="20ED58F3">
      <w:pPr>
        <w:shd w:val="clear"/>
        <w:spacing w:line="579" w:lineRule="exact"/>
        <w:ind w:firstLine="440" w:firstLineChars="200"/>
        <w:rPr>
          <w:rFonts w:ascii="仿宋" w:hAnsi="仿宋" w:eastAsia="仿宋" w:cs="仿宋"/>
          <w:color w:val="auto"/>
          <w:highlight w:val="none"/>
          <w:lang w:eastAsia="zh-CN"/>
        </w:rPr>
      </w:pPr>
    </w:p>
    <w:p w14:paraId="6CA4B3AE">
      <w:pPr>
        <w:shd w:val="clear"/>
        <w:spacing w:line="579" w:lineRule="exact"/>
        <w:ind w:left="1200" w:hanging="1200" w:hangingChars="5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项目名称：自治区文化和旅游厅态势感知平台升级和漏洞扫描服务项目</w:t>
      </w:r>
    </w:p>
    <w:p w14:paraId="62484F9D">
      <w:pPr>
        <w:shd w:val="clea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 购 人：</w:t>
      </w:r>
      <w:r>
        <w:rPr>
          <w:rStyle w:val="32"/>
          <w:rFonts w:hint="eastAsia" w:ascii="仿宋" w:hAnsi="仿宋" w:eastAsia="仿宋" w:cs="仿宋"/>
          <w:i w:val="0"/>
          <w:iCs w:val="0"/>
          <w:caps w:val="0"/>
          <w:color w:val="auto"/>
          <w:spacing w:val="0"/>
          <w:sz w:val="24"/>
          <w:szCs w:val="24"/>
          <w:highlight w:val="none"/>
          <w:lang w:eastAsia="zh-CN"/>
        </w:rPr>
        <w:t>新疆维吾尔自治区文化和旅游宣传交流中心</w:t>
      </w:r>
      <w:r>
        <w:rPr>
          <w:rFonts w:hint="eastAsia" w:ascii="仿宋" w:hAnsi="仿宋" w:eastAsia="仿宋" w:cs="仿宋"/>
          <w:color w:val="auto"/>
          <w:sz w:val="24"/>
          <w:highlight w:val="none"/>
          <w:lang w:eastAsia="zh-CN"/>
        </w:rPr>
        <w:t>（公章）</w:t>
      </w:r>
    </w:p>
    <w:p w14:paraId="2D46F8DB">
      <w:pPr>
        <w:shd w:val="clear"/>
        <w:spacing w:line="579"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人：代文轩</w:t>
      </w:r>
    </w:p>
    <w:p w14:paraId="201789E8">
      <w:pPr>
        <w:shd w:val="clear"/>
        <w:spacing w:line="579"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联系电话：18199181451</w:t>
      </w:r>
    </w:p>
    <w:p w14:paraId="065145DE">
      <w:pPr>
        <w:pStyle w:val="9"/>
        <w:shd w:val="clear"/>
        <w:rPr>
          <w:rFonts w:ascii="仿宋" w:hAnsi="仿宋" w:eastAsia="仿宋" w:cs="仿宋"/>
          <w:color w:val="auto"/>
          <w:highlight w:val="none"/>
          <w:lang w:eastAsia="zh-CN"/>
        </w:rPr>
      </w:pPr>
    </w:p>
    <w:p w14:paraId="7C45F1ED">
      <w:pPr>
        <w:shd w:val="clear"/>
        <w:spacing w:line="579" w:lineRule="exact"/>
        <w:rPr>
          <w:rFonts w:ascii="仿宋" w:hAnsi="仿宋" w:eastAsia="仿宋" w:cs="仿宋"/>
          <w:color w:val="auto"/>
          <w:sz w:val="24"/>
          <w:highlight w:val="none"/>
          <w:lang w:eastAsia="zh-CN"/>
        </w:rPr>
      </w:pPr>
      <w:r>
        <w:rPr>
          <w:rFonts w:ascii="仿宋" w:hAnsi="仿宋" w:eastAsia="仿宋" w:cs="仿宋"/>
          <w:color w:val="auto"/>
          <w:sz w:val="24"/>
          <w:szCs w:val="24"/>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p>
    <w:p w14:paraId="29398AC5">
      <w:pPr>
        <w:shd w:val="clea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采购代理机构：新疆君凯杰工程项目管理有限公司（公章）</w:t>
      </w:r>
    </w:p>
    <w:p w14:paraId="4A6A21B0">
      <w:pPr>
        <w:shd w:val="clea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  系  人：海宏</w:t>
      </w:r>
    </w:p>
    <w:p w14:paraId="06953190">
      <w:pPr>
        <w:shd w:val="clea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电      话：</w:t>
      </w:r>
      <w:r>
        <w:rPr>
          <w:rFonts w:hint="eastAsia" w:ascii="仿宋" w:hAnsi="仿宋" w:eastAsia="仿宋" w:cs="仿宋"/>
          <w:color w:val="auto"/>
          <w:sz w:val="24"/>
          <w:highlight w:val="none"/>
          <w:lang w:val="en-US" w:eastAsia="zh-CN"/>
        </w:rPr>
        <w:t>18199860236</w:t>
      </w:r>
    </w:p>
    <w:p w14:paraId="09FD2393">
      <w:pPr>
        <w:shd w:val="clea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址：乌鲁木齐市水磨沟区会展大道1119号大成尔雅A座80</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室</w:t>
      </w:r>
    </w:p>
    <w:p w14:paraId="0B019A9A">
      <w:pPr>
        <w:shd w:val="clear"/>
        <w:spacing w:line="579"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二〇二</w:t>
      </w: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rPr>
        <w:t>月</w:t>
      </w:r>
    </w:p>
    <w:p w14:paraId="656AFBDE">
      <w:pPr>
        <w:shd w:val="clear"/>
        <w:spacing w:line="579" w:lineRule="exact"/>
        <w:rPr>
          <w:rFonts w:ascii="仿宋" w:hAnsi="仿宋" w:eastAsia="仿宋" w:cs="仿宋"/>
          <w:color w:val="auto"/>
          <w:sz w:val="24"/>
          <w:szCs w:val="20"/>
          <w:highlight w:val="none"/>
        </w:rPr>
        <w:sectPr>
          <w:pgSz w:w="11906" w:h="16838"/>
          <w:pgMar w:top="1418" w:right="1826" w:bottom="1418" w:left="1361" w:header="851" w:footer="992" w:gutter="0"/>
          <w:cols w:space="720" w:num="1"/>
          <w:docGrid w:type="linesAndChars" w:linePitch="332" w:charSpace="0"/>
        </w:sectPr>
      </w:pPr>
    </w:p>
    <w:p w14:paraId="6878F724">
      <w:pPr>
        <w:pStyle w:val="20"/>
        <w:shd w:val="clear"/>
        <w:tabs>
          <w:tab w:val="right" w:leader="dot" w:pos="9050"/>
        </w:tabs>
        <w:spacing w:line="579" w:lineRule="exact"/>
        <w:jc w:val="center"/>
        <w:rPr>
          <w:rStyle w:val="35"/>
          <w:rFonts w:ascii="仿宋" w:hAnsi="仿宋" w:eastAsia="仿宋" w:cs="仿宋"/>
          <w:color w:val="auto"/>
          <w:sz w:val="36"/>
          <w:szCs w:val="36"/>
          <w:highlight w:val="none"/>
          <w:lang w:eastAsia="zh-CN"/>
        </w:rPr>
      </w:pPr>
      <w:r>
        <w:rPr>
          <w:rStyle w:val="35"/>
          <w:rFonts w:hint="eastAsia" w:ascii="仿宋" w:hAnsi="仿宋" w:eastAsia="仿宋" w:cs="仿宋"/>
          <w:color w:val="auto"/>
          <w:sz w:val="36"/>
          <w:szCs w:val="36"/>
          <w:highlight w:val="none"/>
          <w:lang w:eastAsia="zh-CN"/>
        </w:rPr>
        <w:t>目录</w:t>
      </w:r>
    </w:p>
    <w:p w14:paraId="4FAB45A0">
      <w:pPr>
        <w:pStyle w:val="20"/>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fldChar w:fldCharType="begin"/>
      </w:r>
      <w:r>
        <w:rPr>
          <w:rStyle w:val="35"/>
          <w:rFonts w:hint="eastAsia" w:ascii="仿宋" w:hAnsi="仿宋" w:eastAsia="仿宋" w:cs="仿宋"/>
          <w:color w:val="auto"/>
          <w:sz w:val="24"/>
          <w:szCs w:val="24"/>
          <w:highlight w:val="none"/>
          <w:lang w:eastAsia="zh-CN"/>
        </w:rPr>
        <w:instrText xml:space="preserve">TOC \o "1-3" \h \u </w:instrText>
      </w:r>
      <w:r>
        <w:rPr>
          <w:rStyle w:val="35"/>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_Toc23229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第一部分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竞争性磋商公告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_Toc23229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182D831">
      <w:pPr>
        <w:pStyle w:val="20"/>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_Toc7421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w w:val="95"/>
          <w:sz w:val="24"/>
          <w:szCs w:val="24"/>
          <w:highlight w:val="none"/>
          <w:lang w:eastAsia="zh-CN"/>
        </w:rPr>
        <w:t>第二部分</w:t>
      </w:r>
      <w:r>
        <w:rPr>
          <w:rFonts w:hint="eastAsia" w:ascii="仿宋" w:hAnsi="仿宋" w:eastAsia="仿宋" w:cs="仿宋"/>
          <w:bCs/>
          <w:color w:val="auto"/>
          <w:w w:val="95"/>
          <w:sz w:val="24"/>
          <w:szCs w:val="24"/>
          <w:highlight w:val="none"/>
          <w:lang w:val="en-US" w:eastAsia="zh-CN"/>
        </w:rPr>
        <w:t xml:space="preserve"> </w:t>
      </w:r>
      <w:r>
        <w:rPr>
          <w:rFonts w:hint="eastAsia" w:ascii="仿宋" w:hAnsi="仿宋" w:eastAsia="仿宋" w:cs="仿宋"/>
          <w:bCs/>
          <w:color w:val="auto"/>
          <w:w w:val="95"/>
          <w:sz w:val="24"/>
          <w:szCs w:val="24"/>
          <w:highlight w:val="none"/>
          <w:lang w:eastAsia="zh-CN"/>
        </w:rPr>
        <w:t>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_Toc7421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40F27C0">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_Toc9474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第一章供应商须知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_Toc9474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6048B5E">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_Toc14484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第二章 竞争性磋商文件的编写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_Toc14484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0850823">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_Toc29486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第三章 响应文件的编写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_Toc29486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CE2FB77">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_Toc15073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第四章 响应文件的递交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_Toc15073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4DE1D42">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_Toc14066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第五章 开标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_Toc14066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AC1EE81">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_Toc23607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第六章 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_Toc23607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D36B743">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_Toc10032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第七章 授予合同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_Toc10032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2D8E6319">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_Toc16477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第八章 其他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_Toc16477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27812F1B">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_Toc18235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sz w:val="24"/>
          <w:szCs w:val="24"/>
          <w:highlight w:val="none"/>
          <w:lang w:eastAsia="zh-CN"/>
        </w:rPr>
        <w:t>第九章 质疑的提出及处理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_Toc18235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9554253">
      <w:pPr>
        <w:pStyle w:val="20"/>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_Toc14685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sz w:val="24"/>
          <w:szCs w:val="24"/>
          <w:highlight w:val="none"/>
          <w:lang w:eastAsia="zh-CN"/>
        </w:rPr>
        <w:t>第三部分采购</w:t>
      </w:r>
      <w:r>
        <w:rPr>
          <w:rFonts w:hint="eastAsia" w:ascii="仿宋" w:hAnsi="仿宋" w:eastAsia="仿宋" w:cs="仿宋"/>
          <w:bCs/>
          <w:color w:val="auto"/>
          <w:sz w:val="24"/>
          <w:szCs w:val="24"/>
          <w:highlight w:val="none"/>
          <w:lang w:val="en-US" w:eastAsia="zh-CN"/>
        </w:rPr>
        <w:t>需求</w:t>
      </w:r>
      <w:r>
        <w:rPr>
          <w:rFonts w:hint="eastAsia" w:ascii="仿宋" w:hAnsi="仿宋" w:eastAsia="仿宋" w:cs="仿宋"/>
          <w:bCs/>
          <w:color w:val="auto"/>
          <w:sz w:val="24"/>
          <w:szCs w:val="24"/>
          <w:highlight w:val="none"/>
          <w:lang w:eastAsia="zh-CN"/>
        </w:rPr>
        <w:t>及要求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_Toc14685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A181E83">
      <w:pPr>
        <w:pStyle w:val="20"/>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_Toc5364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sz w:val="24"/>
          <w:szCs w:val="24"/>
          <w:highlight w:val="none"/>
          <w:lang w:eastAsia="zh-CN"/>
        </w:rPr>
        <w:t>第四部分  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_Toc5364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6C835D6">
      <w:pPr>
        <w:pStyle w:val="20"/>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_Toc22952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第五部分附件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_Toc22952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B3C5E1F">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_Toc31950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第一部分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资格证明文件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_Toc31950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2265E35">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_Toc6281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第二部分</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_Toc6281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58337A2">
      <w:pPr>
        <w:pStyle w:val="22"/>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_Toc27396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第三部分</w:t>
      </w:r>
      <w:r>
        <w:rPr>
          <w:rFonts w:hint="eastAsia" w:ascii="仿宋" w:hAnsi="仿宋" w:eastAsia="仿宋" w:cs="仿宋"/>
          <w:color w:val="auto"/>
          <w:sz w:val="24"/>
          <w:szCs w:val="24"/>
          <w:highlight w:val="none"/>
          <w:lang w:eastAsia="zh-CN"/>
        </w:rPr>
        <w:t>）商务及技术部分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_Toc27396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B70EF54">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_Toc8955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（一）投标函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_Toc8955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7605BE8">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_Toc19343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（二）法定代表人诚信投标承诺书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_Toc19343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D792E70">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_Toc1115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三</w:t>
      </w:r>
      <w:r>
        <w:rPr>
          <w:rFonts w:hint="eastAsia" w:ascii="仿宋" w:hAnsi="仿宋" w:eastAsia="仿宋" w:cs="仿宋"/>
          <w:color w:val="auto"/>
          <w:sz w:val="24"/>
          <w:szCs w:val="24"/>
          <w:highlight w:val="none"/>
          <w:lang w:eastAsia="zh-CN" w:bidi="ar"/>
        </w:rPr>
        <w:t>）磋商保证金</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165B0EF">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_Toc5775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四</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企业</w:t>
      </w:r>
      <w:r>
        <w:rPr>
          <w:rFonts w:hint="eastAsia" w:ascii="仿宋" w:hAnsi="仿宋" w:eastAsia="仿宋" w:cs="仿宋"/>
          <w:color w:val="auto"/>
          <w:sz w:val="24"/>
          <w:szCs w:val="24"/>
          <w:highlight w:val="none"/>
          <w:lang w:eastAsia="zh-CN" w:bidi="ar"/>
        </w:rPr>
        <w:t>业绩一览表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_Toc5775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6E4AF36">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_Toc28054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五</w:t>
      </w:r>
      <w:r>
        <w:rPr>
          <w:rFonts w:hint="eastAsia" w:ascii="仿宋" w:hAnsi="仿宋" w:eastAsia="仿宋" w:cs="仿宋"/>
          <w:color w:val="auto"/>
          <w:sz w:val="24"/>
          <w:szCs w:val="24"/>
          <w:highlight w:val="none"/>
          <w:lang w:eastAsia="zh-CN" w:bidi="ar"/>
        </w:rPr>
        <w:t>）项目团队成员一览表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_Toc28054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D5EBCB5">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_Toc13645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val="en-US" w:eastAsia="zh-CN"/>
        </w:rPr>
        <w:t>（六）技术部分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_Toc13645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A0F6C48">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_Toc22197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val="en-US" w:eastAsia="zh-CN"/>
        </w:rPr>
        <w:t>（七）售后服务承诺函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_Toc22197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868CD08">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_Toc11265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条款偏离表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_Toc11265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1C35AC28">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_Toc22019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技术（服务）</w:t>
      </w:r>
      <w:r>
        <w:rPr>
          <w:rFonts w:hint="eastAsia" w:ascii="仿宋" w:hAnsi="仿宋" w:eastAsia="仿宋" w:cs="仿宋"/>
          <w:color w:val="auto"/>
          <w:sz w:val="24"/>
          <w:szCs w:val="24"/>
          <w:highlight w:val="none"/>
          <w:lang w:eastAsia="zh-CN"/>
        </w:rPr>
        <w:t>条款偏离表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_Toc22019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2FD4A43C">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_Toc5880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eastAsia="zh-CN"/>
        </w:rPr>
        <w:t>）供应商企业类型声明函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_Toc5880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818501B">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_Toc8476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lang w:eastAsia="zh-CN"/>
        </w:rPr>
        <w:t>）供应商认为有必要提交的其他资料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_Toc8476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DD71F08">
      <w:pPr>
        <w:keepNext w:val="0"/>
        <w:keepLines w:val="0"/>
        <w:pageBreakBefore w:val="0"/>
        <w:widowControl/>
        <w:shd w:val="clear"/>
        <w:kinsoku/>
        <w:wordWrap/>
        <w:overflowPunct/>
        <w:topLinePunct w:val="0"/>
        <w:autoSpaceDE/>
        <w:autoSpaceDN/>
        <w:bidi w:val="0"/>
        <w:adjustRightInd/>
        <w:snapToGrid/>
        <w:spacing w:line="340" w:lineRule="exact"/>
        <w:ind w:left="0" w:leftChars="0"/>
        <w:jc w:val="center"/>
        <w:textAlignment w:val="baseline"/>
        <w:rPr>
          <w:rStyle w:val="35"/>
          <w:rFonts w:ascii="仿宋" w:hAnsi="仿宋" w:eastAsia="仿宋" w:cs="仿宋"/>
          <w:color w:val="auto"/>
          <w:sz w:val="44"/>
          <w:highlight w:val="none"/>
          <w:lang w:eastAsia="zh-CN"/>
        </w:rPr>
        <w:sectPr>
          <w:footerReference r:id="rId3" w:type="default"/>
          <w:pgSz w:w="11910" w:h="16840"/>
          <w:pgMar w:top="1400" w:right="1220" w:bottom="980" w:left="1640" w:header="720" w:footer="796" w:gutter="0"/>
          <w:pgNumType w:start="1"/>
          <w:cols w:space="720" w:num="1"/>
        </w:sectPr>
      </w:pPr>
      <w:r>
        <w:rPr>
          <w:rFonts w:hint="eastAsia" w:ascii="仿宋" w:hAnsi="仿宋" w:eastAsia="仿宋" w:cs="仿宋"/>
          <w:color w:val="auto"/>
          <w:sz w:val="24"/>
          <w:szCs w:val="24"/>
          <w:highlight w:val="none"/>
          <w:lang w:eastAsia="zh-CN"/>
        </w:rPr>
        <w:fldChar w:fldCharType="end"/>
      </w:r>
    </w:p>
    <w:p w14:paraId="52391F70">
      <w:pPr>
        <w:shd w:val="clear"/>
        <w:spacing w:before="108" w:line="360" w:lineRule="auto"/>
        <w:ind w:right="-29" w:rightChars="-13"/>
        <w:jc w:val="center"/>
        <w:outlineLvl w:val="0"/>
        <w:rPr>
          <w:rFonts w:ascii="仿宋" w:hAnsi="仿宋" w:eastAsia="仿宋" w:cs="仿宋"/>
          <w:color w:val="auto"/>
          <w:sz w:val="36"/>
          <w:szCs w:val="36"/>
          <w:highlight w:val="none"/>
          <w:lang w:eastAsia="zh-CN"/>
        </w:rPr>
      </w:pPr>
      <w:bookmarkStart w:id="0" w:name="_Toc23229"/>
      <w:bookmarkStart w:id="1" w:name="_Toc326"/>
      <w:bookmarkStart w:id="2" w:name="_Toc20541"/>
      <w:bookmarkStart w:id="3" w:name="_Toc4733"/>
      <w:bookmarkStart w:id="4" w:name="_Toc25337"/>
      <w:bookmarkStart w:id="5" w:name="_Toc20343"/>
      <w:bookmarkStart w:id="6" w:name="_Toc29792"/>
      <w:r>
        <w:rPr>
          <w:rStyle w:val="35"/>
          <w:rFonts w:hint="eastAsia" w:ascii="仿宋" w:hAnsi="仿宋" w:eastAsia="仿宋" w:cs="仿宋"/>
          <w:b/>
          <w:color w:val="auto"/>
          <w:sz w:val="30"/>
          <w:szCs w:val="30"/>
          <w:highlight w:val="none"/>
          <w:lang w:eastAsia="zh-CN"/>
        </w:rPr>
        <w:t>第一部分</w:t>
      </w:r>
      <w:r>
        <w:rPr>
          <w:rStyle w:val="35"/>
          <w:rFonts w:hint="eastAsia" w:ascii="仿宋" w:hAnsi="仿宋" w:eastAsia="仿宋" w:cs="仿宋"/>
          <w:b/>
          <w:color w:val="auto"/>
          <w:sz w:val="30"/>
          <w:szCs w:val="30"/>
          <w:highlight w:val="none"/>
          <w:lang w:val="en-US" w:eastAsia="zh-CN"/>
        </w:rPr>
        <w:t xml:space="preserve"> </w:t>
      </w:r>
      <w:r>
        <w:rPr>
          <w:rStyle w:val="35"/>
          <w:rFonts w:hint="eastAsia" w:ascii="仿宋" w:hAnsi="仿宋" w:eastAsia="仿宋" w:cs="仿宋"/>
          <w:b/>
          <w:color w:val="auto"/>
          <w:sz w:val="30"/>
          <w:szCs w:val="30"/>
          <w:highlight w:val="none"/>
          <w:lang w:eastAsia="zh-CN"/>
        </w:rPr>
        <w:t>竞争性磋商公告</w:t>
      </w:r>
      <w:bookmarkEnd w:id="0"/>
      <w:bookmarkEnd w:id="1"/>
      <w:bookmarkEnd w:id="2"/>
      <w:bookmarkEnd w:id="3"/>
      <w:bookmarkEnd w:id="4"/>
      <w:bookmarkEnd w:id="5"/>
    </w:p>
    <w:bookmarkEnd w:id="6"/>
    <w:p w14:paraId="363FBB40">
      <w:pPr>
        <w:shd w:val="clear"/>
        <w:overflowPunct w:val="0"/>
        <w:spacing w:line="579" w:lineRule="exact"/>
        <w:textAlignment w:val="auto"/>
        <w:rPr>
          <w:rFonts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项目概况:</w:t>
      </w:r>
    </w:p>
    <w:p w14:paraId="6C59E490">
      <w:pPr>
        <w:pStyle w:val="23"/>
        <w:keepNext w:val="0"/>
        <w:keepLines w:val="0"/>
        <w:pageBreakBefore w:val="0"/>
        <w:widowControl/>
        <w:shd w:val="clear"/>
        <w:kinsoku/>
        <w:wordWrap/>
        <w:overflowPunct/>
        <w:topLinePunct w:val="0"/>
        <w:autoSpaceDE/>
        <w:autoSpaceDN/>
        <w:bidi w:val="0"/>
        <w:adjustRightInd/>
        <w:snapToGrid/>
        <w:spacing w:before="20" w:beforeAutospacing="0" w:after="20" w:afterAutospacing="0" w:line="579" w:lineRule="exact"/>
        <w:ind w:firstLine="480" w:firstLineChars="200"/>
        <w:jc w:val="both"/>
        <w:textAlignment w:val="auto"/>
        <w:rPr>
          <w:rFonts w:ascii="仿宋" w:hAnsi="仿宋" w:eastAsia="仿宋" w:cs="仿宋"/>
          <w:color w:val="auto"/>
          <w:highlight w:val="none"/>
        </w:rPr>
      </w:pPr>
      <w:r>
        <w:rPr>
          <w:rFonts w:hint="eastAsia" w:ascii="仿宋" w:hAnsi="仿宋" w:eastAsia="仿宋" w:cs="仿宋"/>
          <w:color w:val="auto"/>
          <w:highlight w:val="none"/>
          <w:lang w:eastAsia="zh-CN"/>
        </w:rPr>
        <w:t>自治区文化和旅游厅态势感知平台升级和漏洞扫描服务项目</w:t>
      </w:r>
      <w:r>
        <w:rPr>
          <w:rFonts w:hint="eastAsia" w:ascii="仿宋" w:hAnsi="仿宋" w:eastAsia="仿宋" w:cs="仿宋"/>
          <w:color w:val="auto"/>
          <w:highlight w:val="none"/>
        </w:rPr>
        <w:t>的潜在供应商应在中国政府采购网新疆分网（政府采购云平台）获取</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文件，并于202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（北京时间）前递交投标文件。</w:t>
      </w:r>
    </w:p>
    <w:p w14:paraId="0EBE67E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一、项目基本情况</w:t>
      </w:r>
    </w:p>
    <w:p w14:paraId="3AFBE5E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项目编号:</w:t>
      </w:r>
      <w:r>
        <w:rPr>
          <w:rFonts w:hint="eastAsia" w:ascii="仿宋" w:hAnsi="仿宋" w:eastAsia="仿宋" w:cs="仿宋"/>
          <w:i w:val="0"/>
          <w:iCs w:val="0"/>
          <w:caps w:val="0"/>
          <w:color w:val="auto"/>
          <w:spacing w:val="0"/>
          <w:sz w:val="24"/>
          <w:szCs w:val="24"/>
          <w:highlight w:val="none"/>
          <w:lang w:val="en-US" w:eastAsia="zh-CN"/>
        </w:rPr>
        <w:t>2025(JKJ)175</w:t>
      </w:r>
    </w:p>
    <w:p w14:paraId="4ECA2886">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项目名称：</w:t>
      </w:r>
      <w:r>
        <w:rPr>
          <w:rFonts w:hint="eastAsia" w:ascii="仿宋" w:hAnsi="仿宋" w:eastAsia="仿宋" w:cs="仿宋"/>
          <w:i w:val="0"/>
          <w:iCs w:val="0"/>
          <w:caps w:val="0"/>
          <w:color w:val="auto"/>
          <w:spacing w:val="0"/>
          <w:sz w:val="24"/>
          <w:szCs w:val="24"/>
          <w:highlight w:val="none"/>
          <w:lang w:eastAsia="zh-CN"/>
        </w:rPr>
        <w:t>自治区文化和旅游厅态势感知平台升级和漏洞扫描服务项目</w:t>
      </w:r>
      <w:r>
        <w:rPr>
          <w:rFonts w:hint="eastAsia" w:ascii="仿宋" w:hAnsi="仿宋" w:eastAsia="仿宋" w:cs="仿宋"/>
          <w:i w:val="0"/>
          <w:iCs w:val="0"/>
          <w:caps w:val="0"/>
          <w:color w:val="auto"/>
          <w:spacing w:val="0"/>
          <w:sz w:val="24"/>
          <w:szCs w:val="24"/>
          <w:highlight w:val="none"/>
        </w:rPr>
        <w:t> </w:t>
      </w:r>
    </w:p>
    <w:p w14:paraId="65E1013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采购方式：竞争性磋商 </w:t>
      </w:r>
    </w:p>
    <w:p w14:paraId="6585FAC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200000.00</w:t>
      </w:r>
    </w:p>
    <w:p w14:paraId="16D934C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最高限价（元）：</w:t>
      </w:r>
      <w:r>
        <w:rPr>
          <w:rFonts w:hint="eastAsia" w:ascii="仿宋" w:hAnsi="仿宋" w:eastAsia="仿宋" w:cs="仿宋"/>
          <w:i w:val="0"/>
          <w:iCs w:val="0"/>
          <w:caps w:val="0"/>
          <w:color w:val="auto"/>
          <w:spacing w:val="0"/>
          <w:sz w:val="24"/>
          <w:szCs w:val="24"/>
          <w:highlight w:val="none"/>
          <w:lang w:val="en-US" w:eastAsia="zh-CN"/>
        </w:rPr>
        <w:t>200000.00</w:t>
      </w:r>
    </w:p>
    <w:p w14:paraId="0E5163E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采购需求：</w:t>
      </w:r>
    </w:p>
    <w:p w14:paraId="538094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      标项一 </w:t>
      </w:r>
    </w:p>
    <w:p w14:paraId="0AFA4B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   数量：不限     </w:t>
      </w:r>
    </w:p>
    <w:p w14:paraId="41A61613">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200000.00</w:t>
      </w:r>
    </w:p>
    <w:p w14:paraId="72CE273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单位：批 </w:t>
      </w:r>
    </w:p>
    <w:p w14:paraId="31E1FEFC">
      <w:pPr>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简要规格描述：本项工作主要针对</w:t>
      </w:r>
      <w:r>
        <w:rPr>
          <w:rFonts w:hint="eastAsia" w:ascii="仿宋" w:hAnsi="仿宋" w:eastAsia="仿宋" w:cs="仿宋"/>
          <w:i w:val="0"/>
          <w:iCs w:val="0"/>
          <w:caps w:val="0"/>
          <w:color w:val="auto"/>
          <w:spacing w:val="0"/>
          <w:sz w:val="24"/>
          <w:szCs w:val="24"/>
          <w:highlight w:val="none"/>
          <w:lang w:eastAsia="zh-CN"/>
        </w:rPr>
        <w:t>新疆维吾尔自治区</w:t>
      </w:r>
      <w:r>
        <w:rPr>
          <w:rFonts w:hint="eastAsia" w:ascii="仿宋" w:hAnsi="仿宋" w:eastAsia="仿宋" w:cs="仿宋"/>
          <w:i w:val="0"/>
          <w:iCs w:val="0"/>
          <w:caps w:val="0"/>
          <w:color w:val="auto"/>
          <w:spacing w:val="0"/>
          <w:sz w:val="24"/>
          <w:szCs w:val="24"/>
          <w:highlight w:val="none"/>
          <w:lang w:val="en-US" w:eastAsia="zh-CN"/>
        </w:rPr>
        <w:t>文化和旅游厅及厅属事业单位</w:t>
      </w:r>
      <w:r>
        <w:rPr>
          <w:rFonts w:hint="eastAsia" w:ascii="仿宋" w:hAnsi="仿宋" w:eastAsia="仿宋" w:cs="仿宋"/>
          <w:i w:val="0"/>
          <w:iCs w:val="0"/>
          <w:caps w:val="0"/>
          <w:color w:val="auto"/>
          <w:spacing w:val="0"/>
          <w:sz w:val="24"/>
          <w:szCs w:val="24"/>
          <w:highlight w:val="none"/>
        </w:rPr>
        <w:t>七</w:t>
      </w:r>
      <w:r>
        <w:rPr>
          <w:rFonts w:hint="eastAsia" w:ascii="仿宋" w:hAnsi="仿宋" w:eastAsia="仿宋" w:cs="仿宋"/>
          <w:i w:val="0"/>
          <w:iCs w:val="0"/>
          <w:caps w:val="0"/>
          <w:color w:val="auto"/>
          <w:spacing w:val="0"/>
          <w:sz w:val="24"/>
          <w:szCs w:val="24"/>
          <w:highlight w:val="none"/>
          <w:lang w:val="en-US" w:eastAsia="zh-CN"/>
        </w:rPr>
        <w:t>个</w:t>
      </w:r>
      <w:r>
        <w:rPr>
          <w:rFonts w:hint="eastAsia" w:ascii="仿宋" w:hAnsi="仿宋" w:eastAsia="仿宋" w:cs="仿宋"/>
          <w:i w:val="0"/>
          <w:iCs w:val="0"/>
          <w:caps w:val="0"/>
          <w:color w:val="auto"/>
          <w:spacing w:val="0"/>
          <w:sz w:val="24"/>
          <w:szCs w:val="24"/>
          <w:highlight w:val="none"/>
        </w:rPr>
        <w:t>业务系统</w:t>
      </w:r>
      <w:r>
        <w:rPr>
          <w:rFonts w:hint="eastAsia" w:ascii="仿宋" w:hAnsi="仿宋" w:eastAsia="仿宋" w:cs="仿宋"/>
          <w:i w:val="0"/>
          <w:iCs w:val="0"/>
          <w:caps w:val="0"/>
          <w:color w:val="auto"/>
          <w:spacing w:val="0"/>
          <w:sz w:val="24"/>
          <w:szCs w:val="24"/>
          <w:highlight w:val="none"/>
          <w:lang w:val="en-US" w:eastAsia="zh-CN"/>
        </w:rPr>
        <w:t>及机房</w:t>
      </w:r>
      <w:r>
        <w:rPr>
          <w:rFonts w:hint="eastAsia" w:ascii="仿宋" w:hAnsi="仿宋" w:eastAsia="仿宋" w:cs="仿宋"/>
          <w:i w:val="0"/>
          <w:iCs w:val="0"/>
          <w:caps w:val="0"/>
          <w:color w:val="auto"/>
          <w:spacing w:val="0"/>
          <w:sz w:val="24"/>
          <w:szCs w:val="24"/>
          <w:highlight w:val="none"/>
        </w:rPr>
        <w:t>进行泛资产普查、攻击触点识别、攻击面分析、风险预警等安全服务（详细参数及要求见</w:t>
      </w:r>
      <w:r>
        <w:rPr>
          <w:rFonts w:hint="eastAsia" w:ascii="仿宋" w:hAnsi="仿宋" w:eastAsia="仿宋" w:cs="仿宋"/>
          <w:i w:val="0"/>
          <w:iCs w:val="0"/>
          <w:caps w:val="0"/>
          <w:color w:val="auto"/>
          <w:spacing w:val="0"/>
          <w:sz w:val="24"/>
          <w:szCs w:val="24"/>
          <w:highlight w:val="none"/>
          <w:lang w:val="en-US" w:eastAsia="zh-CN"/>
        </w:rPr>
        <w:t>竞争性磋商</w:t>
      </w:r>
      <w:r>
        <w:rPr>
          <w:rFonts w:hint="eastAsia" w:ascii="仿宋" w:hAnsi="仿宋" w:eastAsia="仿宋" w:cs="仿宋"/>
          <w:i w:val="0"/>
          <w:iCs w:val="0"/>
          <w:caps w:val="0"/>
          <w:color w:val="auto"/>
          <w:spacing w:val="0"/>
          <w:sz w:val="24"/>
          <w:szCs w:val="24"/>
          <w:highlight w:val="none"/>
        </w:rPr>
        <w:t>文件）</w:t>
      </w:r>
      <w:r>
        <w:rPr>
          <w:rFonts w:hint="eastAsia" w:ascii="仿宋" w:hAnsi="仿宋" w:eastAsia="仿宋" w:cs="仿宋"/>
          <w:i w:val="0"/>
          <w:iCs w:val="0"/>
          <w:caps w:val="0"/>
          <w:color w:val="auto"/>
          <w:spacing w:val="0"/>
          <w:sz w:val="24"/>
          <w:szCs w:val="24"/>
          <w:highlight w:val="none"/>
          <w:lang w:val="en-US" w:eastAsia="zh-CN"/>
        </w:rPr>
        <w:t>。</w:t>
      </w:r>
    </w:p>
    <w:p w14:paraId="60C0E1A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备注：</w:t>
      </w:r>
    </w:p>
    <w:p w14:paraId="6FFE60CE">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合同履约期限：标项 1，</w:t>
      </w:r>
      <w:r>
        <w:rPr>
          <w:rFonts w:hint="eastAsia" w:ascii="仿宋" w:hAnsi="仿宋" w:eastAsia="仿宋" w:cs="仿宋"/>
          <w:i w:val="0"/>
          <w:iCs w:val="0"/>
          <w:caps w:val="0"/>
          <w:color w:val="auto"/>
          <w:spacing w:val="0"/>
          <w:sz w:val="24"/>
          <w:szCs w:val="24"/>
          <w:highlight w:val="none"/>
          <w:lang w:val="en-US" w:eastAsia="zh-CN"/>
        </w:rPr>
        <w:t>自合同签订之日起1年</w:t>
      </w:r>
    </w:p>
    <w:p w14:paraId="102569E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标项 1，本标项（</w:t>
      </w:r>
      <w:r>
        <w:rPr>
          <w:rFonts w:hint="eastAsia" w:ascii="仿宋" w:hAnsi="仿宋" w:eastAsia="仿宋" w:cs="仿宋"/>
          <w:i w:val="0"/>
          <w:iCs w:val="0"/>
          <w:caps w:val="0"/>
          <w:color w:val="auto"/>
          <w:spacing w:val="0"/>
          <w:sz w:val="24"/>
          <w:szCs w:val="24"/>
          <w:highlight w:val="none"/>
          <w:lang w:val="en-US" w:eastAsia="zh-CN"/>
        </w:rPr>
        <w:t>否</w:t>
      </w:r>
      <w:r>
        <w:rPr>
          <w:rFonts w:hint="eastAsia" w:ascii="仿宋" w:hAnsi="仿宋" w:eastAsia="仿宋" w:cs="仿宋"/>
          <w:i w:val="0"/>
          <w:iCs w:val="0"/>
          <w:caps w:val="0"/>
          <w:color w:val="auto"/>
          <w:spacing w:val="0"/>
          <w:sz w:val="24"/>
          <w:szCs w:val="24"/>
          <w:highlight w:val="none"/>
        </w:rPr>
        <w:t>）接受联合体投标。</w:t>
      </w:r>
    </w:p>
    <w:p w14:paraId="24A534D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二、申请人的资格要求：</w:t>
      </w:r>
    </w:p>
    <w:p w14:paraId="59124DF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1.满足《中华人民共和国政府采购法》第二十二条规定；</w:t>
      </w:r>
    </w:p>
    <w:p w14:paraId="2958A26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2.落实政府采购政策需满足的资格要求：</w:t>
      </w:r>
      <w:r>
        <w:rPr>
          <w:rFonts w:hint="eastAsia" w:ascii="仿宋" w:hAnsi="仿宋" w:eastAsia="仿宋" w:cs="仿宋"/>
          <w:i w:val="0"/>
          <w:iCs w:val="0"/>
          <w:caps w:val="0"/>
          <w:color w:val="auto"/>
          <w:spacing w:val="0"/>
          <w:sz w:val="24"/>
          <w:szCs w:val="24"/>
          <w:highlight w:val="none"/>
        </w:rPr>
        <w:t>本项目为专门面向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rPr>
        <w:t>企业</w:t>
      </w:r>
      <w:r>
        <w:rPr>
          <w:rFonts w:hint="eastAsia" w:ascii="仿宋" w:hAnsi="仿宋" w:eastAsia="仿宋" w:cs="仿宋"/>
          <w:i w:val="0"/>
          <w:iCs w:val="0"/>
          <w:caps w:val="0"/>
          <w:color w:val="auto"/>
          <w:spacing w:val="0"/>
          <w:sz w:val="24"/>
          <w:szCs w:val="24"/>
          <w:highlight w:val="none"/>
          <w:lang w:val="en-US" w:eastAsia="zh-CN"/>
        </w:rPr>
        <w:t>采购项目，供应商必须为中小企业（含中型、小型、微型企业）。（监狱企业、残疾人福利性单位视同小微企业）。</w:t>
      </w:r>
    </w:p>
    <w:p w14:paraId="606AFCB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3.本项目的特定资格要求：</w:t>
      </w:r>
    </w:p>
    <w:p w14:paraId="711B1A4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为采购项目提供整体设计、规范编制或者项目管理、监理、检测等服务的供应商，不得再参加该采购项目的其他采购活动；单位负责人为同一人或者存在直接控股、管理关系的不同供应商不得参加本项目同一包的采购活动；</w:t>
      </w:r>
    </w:p>
    <w:p w14:paraId="4CB6FE8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三、获取采购文件</w:t>
      </w:r>
    </w:p>
    <w:p w14:paraId="55CA163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u w:val="none"/>
        </w:rPr>
        <w:t>时间：202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04</w:t>
      </w:r>
      <w:r>
        <w:rPr>
          <w:rFonts w:hint="eastAsia" w:ascii="仿宋" w:hAnsi="仿宋" w:eastAsia="仿宋" w:cs="仿宋"/>
          <w:i w:val="0"/>
          <w:iCs w:val="0"/>
          <w:caps w:val="0"/>
          <w:color w:val="auto"/>
          <w:spacing w:val="0"/>
          <w:sz w:val="24"/>
          <w:szCs w:val="24"/>
          <w:highlight w:val="none"/>
          <w:u w:val="none"/>
        </w:rPr>
        <w:t>日至202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11</w:t>
      </w:r>
      <w:r>
        <w:rPr>
          <w:rFonts w:hint="eastAsia" w:ascii="仿宋" w:hAnsi="仿宋" w:eastAsia="仿宋" w:cs="仿宋"/>
          <w:i w:val="0"/>
          <w:iCs w:val="0"/>
          <w:caps w:val="0"/>
          <w:color w:val="auto"/>
          <w:spacing w:val="0"/>
          <w:sz w:val="24"/>
          <w:szCs w:val="24"/>
          <w:highlight w:val="none"/>
          <w:u w:val="none"/>
        </w:rPr>
        <w:t>日，每天上午</w:t>
      </w:r>
      <w:r>
        <w:rPr>
          <w:rFonts w:hint="eastAsia" w:ascii="仿宋" w:hAnsi="仿宋" w:eastAsia="仿宋" w:cs="仿宋"/>
          <w:i w:val="0"/>
          <w:iCs w:val="0"/>
          <w:caps w:val="0"/>
          <w:color w:val="auto"/>
          <w:spacing w:val="0"/>
          <w:sz w:val="24"/>
          <w:szCs w:val="24"/>
          <w:highlight w:val="none"/>
          <w:u w:val="none"/>
          <w:lang w:val="en-US" w:eastAsia="zh-CN"/>
        </w:rPr>
        <w:t>0</w:t>
      </w:r>
      <w:r>
        <w:rPr>
          <w:rFonts w:hint="eastAsia" w:ascii="仿宋" w:hAnsi="仿宋" w:eastAsia="仿宋" w:cs="仿宋"/>
          <w:i w:val="0"/>
          <w:iCs w:val="0"/>
          <w:caps w:val="0"/>
          <w:color w:val="auto"/>
          <w:spacing w:val="0"/>
          <w:sz w:val="24"/>
          <w:szCs w:val="24"/>
          <w:highlight w:val="none"/>
          <w:u w:val="none"/>
        </w:rPr>
        <w:t>0:00至1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0</w:t>
      </w:r>
      <w:r>
        <w:rPr>
          <w:rFonts w:hint="eastAsia" w:ascii="仿宋" w:hAnsi="仿宋" w:eastAsia="仿宋" w:cs="仿宋"/>
          <w:i w:val="0"/>
          <w:iCs w:val="0"/>
          <w:caps w:val="0"/>
          <w:color w:val="auto"/>
          <w:spacing w:val="0"/>
          <w:sz w:val="24"/>
          <w:szCs w:val="24"/>
          <w:highlight w:val="none"/>
          <w:u w:val="none"/>
        </w:rPr>
        <w:t>0，下午1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00</w:t>
      </w:r>
      <w:r>
        <w:rPr>
          <w:rFonts w:hint="eastAsia" w:ascii="仿宋" w:hAnsi="仿宋" w:eastAsia="仿宋" w:cs="仿宋"/>
          <w:i w:val="0"/>
          <w:iCs w:val="0"/>
          <w:caps w:val="0"/>
          <w:color w:val="auto"/>
          <w:spacing w:val="0"/>
          <w:sz w:val="24"/>
          <w:szCs w:val="24"/>
          <w:highlight w:val="none"/>
          <w:u w:val="none"/>
        </w:rPr>
        <w:t>至</w:t>
      </w:r>
      <w:r>
        <w:rPr>
          <w:rFonts w:hint="eastAsia" w:ascii="仿宋" w:hAnsi="仿宋" w:eastAsia="仿宋" w:cs="仿宋"/>
          <w:i w:val="0"/>
          <w:iCs w:val="0"/>
          <w:caps w:val="0"/>
          <w:color w:val="auto"/>
          <w:spacing w:val="0"/>
          <w:sz w:val="24"/>
          <w:szCs w:val="24"/>
          <w:highlight w:val="none"/>
          <w:u w:val="none"/>
          <w:lang w:val="en-US" w:eastAsia="zh-CN"/>
        </w:rPr>
        <w:t>23</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59</w:t>
      </w:r>
      <w:r>
        <w:rPr>
          <w:rFonts w:hint="eastAsia" w:ascii="仿宋" w:hAnsi="仿宋" w:eastAsia="仿宋" w:cs="仿宋"/>
          <w:i w:val="0"/>
          <w:iCs w:val="0"/>
          <w:caps w:val="0"/>
          <w:color w:val="auto"/>
          <w:spacing w:val="0"/>
          <w:sz w:val="24"/>
          <w:szCs w:val="24"/>
          <w:highlight w:val="none"/>
          <w:u w:val="none"/>
        </w:rPr>
        <w:t>（北京时间，法定节假日除外）</w:t>
      </w:r>
    </w:p>
    <w:p w14:paraId="51725EB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地点：</w:t>
      </w:r>
      <w:r>
        <w:rPr>
          <w:rFonts w:hint="eastAsia" w:ascii="仿宋" w:hAnsi="仿宋" w:eastAsia="仿宋" w:cs="仿宋"/>
          <w:color w:val="auto"/>
          <w:highlight w:val="none"/>
        </w:rPr>
        <w:t>中国政府采购网新疆分网（政府采购云平台）</w:t>
      </w:r>
    </w:p>
    <w:p w14:paraId="2462E4A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方式：供应商登录政采云平台https://www.zcygov.cn/在线申请获取磋商文件（进入“项目采购”应用，在获取采购文件菜单中选择项目，申请获取采购文件）</w:t>
      </w:r>
    </w:p>
    <w:p w14:paraId="16F6D1E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售价（元）：</w:t>
      </w:r>
      <w:r>
        <w:rPr>
          <w:rFonts w:hint="eastAsia" w:ascii="仿宋" w:hAnsi="仿宋" w:eastAsia="仿宋" w:cs="仿宋"/>
          <w:i w:val="0"/>
          <w:iCs w:val="0"/>
          <w:caps w:val="0"/>
          <w:color w:val="auto"/>
          <w:spacing w:val="0"/>
          <w:sz w:val="24"/>
          <w:szCs w:val="24"/>
          <w:highlight w:val="none"/>
          <w:lang w:val="en-US" w:eastAsia="zh-CN"/>
        </w:rPr>
        <w:t>0</w:t>
      </w:r>
    </w:p>
    <w:p w14:paraId="7B082C2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四、响应文件提交</w:t>
      </w:r>
      <w:r>
        <w:rPr>
          <w:rFonts w:hint="eastAsia" w:ascii="仿宋" w:hAnsi="仿宋" w:eastAsia="仿宋" w:cs="仿宋"/>
          <w:i w:val="0"/>
          <w:iCs w:val="0"/>
          <w:caps w:val="0"/>
          <w:color w:val="auto"/>
          <w:spacing w:val="0"/>
          <w:sz w:val="24"/>
          <w:szCs w:val="24"/>
          <w:highlight w:val="none"/>
        </w:rPr>
        <w:t> </w:t>
      </w:r>
    </w:p>
    <w:p w14:paraId="0D0131D5">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截止时间：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北京时间）</w:t>
      </w:r>
    </w:p>
    <w:p w14:paraId="6CD40F3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地点：政采云平台http://www.zcygov.cn </w:t>
      </w:r>
    </w:p>
    <w:p w14:paraId="0334DBCE">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五、响应文件开启</w:t>
      </w:r>
      <w:r>
        <w:rPr>
          <w:rFonts w:hint="eastAsia" w:ascii="仿宋" w:hAnsi="仿宋" w:eastAsia="仿宋" w:cs="仿宋"/>
          <w:i w:val="0"/>
          <w:iCs w:val="0"/>
          <w:caps w:val="0"/>
          <w:color w:val="auto"/>
          <w:spacing w:val="0"/>
          <w:sz w:val="24"/>
          <w:szCs w:val="24"/>
          <w:highlight w:val="none"/>
        </w:rPr>
        <w:t> </w:t>
      </w:r>
    </w:p>
    <w:p w14:paraId="6BB1AD1E">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开启时间：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i w:val="0"/>
          <w:iCs w:val="0"/>
          <w:caps w:val="0"/>
          <w:color w:val="auto"/>
          <w:spacing w:val="0"/>
          <w:sz w:val="24"/>
          <w:szCs w:val="24"/>
          <w:highlight w:val="none"/>
        </w:rPr>
        <w:t>（北京时间）</w:t>
      </w:r>
    </w:p>
    <w:p w14:paraId="5B01328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地点：政采云网上不见面开标系统</w:t>
      </w:r>
    </w:p>
    <w:p w14:paraId="5802113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六、公告期限</w:t>
      </w:r>
    </w:p>
    <w:p w14:paraId="44966E56">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自本公告发布之日起3个工作日。</w:t>
      </w:r>
    </w:p>
    <w:p w14:paraId="5C30F1A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七、其他补充事宜</w:t>
      </w:r>
      <w:r>
        <w:rPr>
          <w:rFonts w:hint="eastAsia" w:ascii="仿宋" w:hAnsi="仿宋" w:eastAsia="仿宋" w:cs="仿宋"/>
          <w:i w:val="0"/>
          <w:iCs w:val="0"/>
          <w:caps w:val="0"/>
          <w:color w:val="auto"/>
          <w:spacing w:val="0"/>
          <w:sz w:val="24"/>
          <w:szCs w:val="24"/>
          <w:highlight w:val="none"/>
        </w:rPr>
        <w:t> </w:t>
      </w:r>
    </w:p>
    <w:p w14:paraId="5CCFFCA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（1）本项目采用全流程不见面电子开评标，供应商需要使用CA加密设备，供应商可通过新疆数字证书认证中心官网（https://www.xjca.com.cn/）或下载“新疆政务通”APP自行进行申领。</w:t>
      </w:r>
    </w:p>
    <w:p w14:paraId="2F7293C8">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（2）本项目实行网上投标，采用加密电子投标响应文件(供应商须使用CA加密设备通过政采云电子投标客户端制作投标响应文件)。若供应商参与投标，自行承担投标一切费用。</w:t>
      </w:r>
    </w:p>
    <w:p w14:paraId="5F02772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（3）各投标人在开标前应确保成为新疆政府采购网正式注册入库供应商，并完成CA数字证书申领。因未注册入库、未办理CA数字证书等原因造成无法投标或投标失败等后果由供应商自行承担。</w:t>
      </w:r>
    </w:p>
    <w:p w14:paraId="6B8B511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0900FD88">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5CB31BBE">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1D5CAE18">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八、凡对本次招标提出询问，请按以下方式联系</w:t>
      </w:r>
    </w:p>
    <w:p w14:paraId="2CED0CA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6A90B61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Style w:val="32"/>
          <w:rFonts w:hint="eastAsia" w:ascii="仿宋" w:hAnsi="仿宋" w:eastAsia="仿宋" w:cs="仿宋"/>
          <w:i w:val="0"/>
          <w:iCs w:val="0"/>
          <w:caps w:val="0"/>
          <w:color w:val="auto"/>
          <w:spacing w:val="0"/>
          <w:sz w:val="24"/>
          <w:szCs w:val="24"/>
          <w:highlight w:val="none"/>
          <w:lang w:eastAsia="zh-CN"/>
        </w:rPr>
        <w:t>新疆维吾尔自治区文化和旅游宣传交流中心</w:t>
      </w:r>
    </w:p>
    <w:p w14:paraId="11EAB8E1">
      <w:pPr>
        <w:shd w:val="clear"/>
        <w:spacing w:line="579"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人：代文轩</w:t>
      </w:r>
    </w:p>
    <w:p w14:paraId="19579E8D">
      <w:pPr>
        <w:shd w:val="clear"/>
        <w:spacing w:line="579"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联系电话：18199181451 </w:t>
      </w:r>
    </w:p>
    <w:p w14:paraId="3B6C9CD8">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14:paraId="6C81C85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新疆君凯杰工程项目管理有限公司</w:t>
      </w:r>
    </w:p>
    <w:p w14:paraId="4F794827">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乌鲁木齐市水磨沟区会展大道1119号大成尔雅A座80</w:t>
      </w:r>
      <w:r>
        <w:rPr>
          <w:rFonts w:hint="eastAsia" w:ascii="仿宋" w:hAnsi="仿宋" w:eastAsia="仿宋" w:cs="仿宋"/>
          <w:i w:val="0"/>
          <w:iCs w:val="0"/>
          <w:caps w:val="0"/>
          <w:color w:val="auto"/>
          <w:spacing w:val="0"/>
          <w:sz w:val="24"/>
          <w:szCs w:val="24"/>
          <w:highlight w:val="none"/>
          <w:lang w:val="en-US" w:eastAsia="zh-CN"/>
        </w:rPr>
        <w:t>7</w:t>
      </w:r>
      <w:r>
        <w:rPr>
          <w:rFonts w:hint="eastAsia" w:ascii="仿宋" w:hAnsi="仿宋" w:eastAsia="仿宋" w:cs="仿宋"/>
          <w:i w:val="0"/>
          <w:iCs w:val="0"/>
          <w:caps w:val="0"/>
          <w:color w:val="auto"/>
          <w:spacing w:val="0"/>
          <w:sz w:val="24"/>
          <w:szCs w:val="24"/>
          <w:highlight w:val="none"/>
          <w:lang w:eastAsia="zh-CN"/>
        </w:rPr>
        <w:t>室</w:t>
      </w:r>
    </w:p>
    <w:p w14:paraId="3ABAAE7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18199860236</w:t>
      </w:r>
    </w:p>
    <w:p w14:paraId="48A551A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3.项目联系方式</w:t>
      </w:r>
    </w:p>
    <w:p w14:paraId="6D7C2912">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项目联系人：</w:t>
      </w:r>
      <w:r>
        <w:rPr>
          <w:rStyle w:val="32"/>
          <w:rFonts w:hint="eastAsia" w:ascii="仿宋" w:hAnsi="仿宋" w:eastAsia="仿宋" w:cs="仿宋"/>
          <w:i w:val="0"/>
          <w:iCs w:val="0"/>
          <w:caps w:val="0"/>
          <w:color w:val="auto"/>
          <w:spacing w:val="0"/>
          <w:sz w:val="24"/>
          <w:szCs w:val="24"/>
          <w:highlight w:val="none"/>
          <w:lang w:eastAsia="zh-CN"/>
        </w:rPr>
        <w:t>海宏</w:t>
      </w:r>
    </w:p>
    <w:p w14:paraId="55955FE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电 话：</w:t>
      </w:r>
      <w:r>
        <w:rPr>
          <w:rFonts w:hint="eastAsia" w:ascii="仿宋" w:hAnsi="仿宋" w:eastAsia="仿宋" w:cs="仿宋"/>
          <w:i w:val="0"/>
          <w:iCs w:val="0"/>
          <w:caps w:val="0"/>
          <w:color w:val="auto"/>
          <w:spacing w:val="0"/>
          <w:sz w:val="24"/>
          <w:szCs w:val="24"/>
          <w:highlight w:val="none"/>
          <w:lang w:val="en-US" w:eastAsia="zh-CN"/>
        </w:rPr>
        <w:t>18199860236</w:t>
      </w:r>
    </w:p>
    <w:p w14:paraId="0DD95268">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77AD05FE">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49A52193">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586A089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133D8BD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322C2C0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39AB0E27">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75926C1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0623AF47">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03E09FA2">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3A36A94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02A86769">
      <w:pPr>
        <w:rPr>
          <w:rStyle w:val="35"/>
          <w:rFonts w:hint="eastAsia" w:ascii="仿宋" w:hAnsi="仿宋" w:eastAsia="仿宋" w:cs="仿宋"/>
          <w:b/>
          <w:bCs/>
          <w:color w:val="auto"/>
          <w:w w:val="95"/>
          <w:sz w:val="30"/>
          <w:szCs w:val="30"/>
          <w:highlight w:val="none"/>
          <w:lang w:eastAsia="zh-CN"/>
        </w:rPr>
      </w:pPr>
      <w:bookmarkStart w:id="7" w:name="_Toc9771"/>
      <w:bookmarkStart w:id="8" w:name="_Toc22514"/>
      <w:bookmarkStart w:id="9" w:name="_Toc19379"/>
      <w:bookmarkStart w:id="10" w:name="_Toc29809"/>
      <w:bookmarkStart w:id="11" w:name="_Toc22440"/>
      <w:bookmarkStart w:id="12" w:name="_Toc7421"/>
      <w:r>
        <w:rPr>
          <w:rStyle w:val="35"/>
          <w:rFonts w:hint="eastAsia" w:ascii="仿宋" w:hAnsi="仿宋" w:eastAsia="仿宋" w:cs="仿宋"/>
          <w:b/>
          <w:bCs/>
          <w:color w:val="auto"/>
          <w:w w:val="95"/>
          <w:sz w:val="30"/>
          <w:szCs w:val="30"/>
          <w:highlight w:val="none"/>
          <w:lang w:eastAsia="zh-CN"/>
        </w:rPr>
        <w:br w:type="page"/>
      </w:r>
    </w:p>
    <w:p w14:paraId="41630FE2">
      <w:pPr>
        <w:shd w:val="clear"/>
        <w:tabs>
          <w:tab w:val="left" w:pos="1809"/>
        </w:tabs>
        <w:spacing w:line="433" w:lineRule="exact"/>
        <w:ind w:right="187"/>
        <w:jc w:val="center"/>
        <w:outlineLvl w:val="0"/>
        <w:rPr>
          <w:rStyle w:val="35"/>
          <w:rFonts w:ascii="仿宋" w:hAnsi="仿宋" w:eastAsia="仿宋" w:cs="仿宋"/>
          <w:b/>
          <w:bCs/>
          <w:color w:val="auto"/>
          <w:w w:val="95"/>
          <w:sz w:val="30"/>
          <w:szCs w:val="30"/>
          <w:highlight w:val="none"/>
          <w:lang w:eastAsia="zh-CN"/>
        </w:rPr>
      </w:pPr>
      <w:r>
        <w:rPr>
          <w:rStyle w:val="35"/>
          <w:rFonts w:hint="eastAsia" w:ascii="仿宋" w:hAnsi="仿宋" w:eastAsia="仿宋" w:cs="仿宋"/>
          <w:b/>
          <w:bCs/>
          <w:color w:val="auto"/>
          <w:w w:val="95"/>
          <w:sz w:val="30"/>
          <w:szCs w:val="30"/>
          <w:highlight w:val="none"/>
          <w:lang w:eastAsia="zh-CN"/>
        </w:rPr>
        <w:t>第二部分</w:t>
      </w:r>
      <w:r>
        <w:rPr>
          <w:rStyle w:val="35"/>
          <w:rFonts w:hint="eastAsia" w:ascii="仿宋" w:hAnsi="仿宋" w:eastAsia="仿宋" w:cs="仿宋"/>
          <w:b/>
          <w:bCs/>
          <w:color w:val="auto"/>
          <w:w w:val="95"/>
          <w:sz w:val="30"/>
          <w:szCs w:val="30"/>
          <w:highlight w:val="none"/>
          <w:lang w:val="en-US" w:eastAsia="zh-CN"/>
        </w:rPr>
        <w:t xml:space="preserve"> </w:t>
      </w:r>
      <w:r>
        <w:rPr>
          <w:rStyle w:val="35"/>
          <w:rFonts w:hint="eastAsia" w:ascii="仿宋" w:hAnsi="仿宋" w:eastAsia="仿宋" w:cs="仿宋"/>
          <w:b/>
          <w:bCs/>
          <w:color w:val="auto"/>
          <w:w w:val="95"/>
          <w:sz w:val="30"/>
          <w:szCs w:val="30"/>
          <w:highlight w:val="none"/>
          <w:lang w:eastAsia="zh-CN"/>
        </w:rPr>
        <w:t>供应商须知</w:t>
      </w:r>
      <w:bookmarkEnd w:id="7"/>
      <w:bookmarkEnd w:id="8"/>
      <w:bookmarkEnd w:id="9"/>
      <w:bookmarkEnd w:id="10"/>
      <w:bookmarkEnd w:id="11"/>
      <w:bookmarkEnd w:id="12"/>
    </w:p>
    <w:p w14:paraId="34C185A8">
      <w:pPr>
        <w:pStyle w:val="42"/>
        <w:shd w:val="clear"/>
        <w:spacing w:before="98" w:after="58"/>
        <w:ind w:left="0" w:right="186"/>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供应商须知前附表</w:t>
      </w:r>
    </w:p>
    <w:tbl>
      <w:tblPr>
        <w:tblStyle w:val="27"/>
        <w:tblW w:w="963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01"/>
        <w:gridCol w:w="1415"/>
        <w:gridCol w:w="6523"/>
      </w:tblGrid>
      <w:tr w14:paraId="373731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4" w:hRule="atLeast"/>
        </w:trPr>
        <w:tc>
          <w:tcPr>
            <w:tcW w:w="1701" w:type="dxa"/>
            <w:tcBorders>
              <w:top w:val="single" w:color="000000" w:sz="12" w:space="0"/>
              <w:left w:val="single" w:color="000000" w:sz="12" w:space="0"/>
              <w:bottom w:val="single" w:color="000000" w:sz="6" w:space="0"/>
              <w:right w:val="single" w:color="000000" w:sz="6" w:space="0"/>
            </w:tcBorders>
            <w:vAlign w:val="center"/>
          </w:tcPr>
          <w:p w14:paraId="221C597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条款号</w:t>
            </w:r>
          </w:p>
        </w:tc>
        <w:tc>
          <w:tcPr>
            <w:tcW w:w="1415" w:type="dxa"/>
            <w:tcBorders>
              <w:top w:val="single" w:color="000000" w:sz="12" w:space="0"/>
              <w:left w:val="single" w:color="000000" w:sz="6" w:space="0"/>
              <w:bottom w:val="single" w:color="000000" w:sz="6" w:space="0"/>
              <w:right w:val="single" w:color="000000" w:sz="6" w:space="0"/>
            </w:tcBorders>
            <w:vAlign w:val="center"/>
          </w:tcPr>
          <w:p w14:paraId="6EDCD3C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条款名称</w:t>
            </w:r>
          </w:p>
        </w:tc>
        <w:tc>
          <w:tcPr>
            <w:tcW w:w="6523" w:type="dxa"/>
            <w:tcBorders>
              <w:top w:val="single" w:color="000000" w:sz="12" w:space="0"/>
              <w:left w:val="single" w:color="000000" w:sz="6" w:space="0"/>
              <w:bottom w:val="single" w:color="000000" w:sz="6" w:space="0"/>
              <w:right w:val="single" w:color="000000" w:sz="12" w:space="0"/>
            </w:tcBorders>
            <w:vAlign w:val="center"/>
          </w:tcPr>
          <w:p w14:paraId="73057C7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编列内容</w:t>
            </w:r>
          </w:p>
        </w:tc>
      </w:tr>
      <w:tr w14:paraId="10B8A1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256394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498077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项目名称</w:t>
            </w:r>
          </w:p>
        </w:tc>
        <w:tc>
          <w:tcPr>
            <w:tcW w:w="6523" w:type="dxa"/>
            <w:tcBorders>
              <w:top w:val="single" w:color="000000" w:sz="6" w:space="0"/>
              <w:left w:val="single" w:color="000000" w:sz="6" w:space="0"/>
              <w:bottom w:val="single" w:color="000000" w:sz="6" w:space="0"/>
              <w:right w:val="single" w:color="000000" w:sz="12" w:space="0"/>
            </w:tcBorders>
          </w:tcPr>
          <w:p w14:paraId="2CDE403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项目名称：</w:t>
            </w:r>
            <w:r>
              <w:rPr>
                <w:rFonts w:hint="eastAsia" w:ascii="仿宋" w:hAnsi="仿宋" w:eastAsia="仿宋" w:cs="仿宋"/>
                <w:bCs/>
                <w:color w:val="auto"/>
                <w:sz w:val="24"/>
                <w:szCs w:val="24"/>
                <w:highlight w:val="none"/>
                <w:lang w:eastAsia="zh-CN"/>
              </w:rPr>
              <w:t>自治区文化和旅游厅态势感知平台升级和漏洞扫描服务项目</w:t>
            </w:r>
          </w:p>
          <w:p w14:paraId="4628929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2025(JKJ)175</w:t>
            </w:r>
          </w:p>
        </w:tc>
      </w:tr>
      <w:tr w14:paraId="64205A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6"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32F52C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第一章1.2款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DFD0D7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采购方式</w:t>
            </w:r>
          </w:p>
        </w:tc>
        <w:tc>
          <w:tcPr>
            <w:tcW w:w="6523" w:type="dxa"/>
            <w:tcBorders>
              <w:top w:val="single" w:color="000000" w:sz="6" w:space="0"/>
              <w:left w:val="single" w:color="000000" w:sz="6" w:space="0"/>
              <w:bottom w:val="single" w:color="000000" w:sz="6" w:space="0"/>
              <w:right w:val="single" w:color="000000" w:sz="12" w:space="0"/>
            </w:tcBorders>
            <w:vAlign w:val="center"/>
          </w:tcPr>
          <w:p w14:paraId="25A9B5E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竞争性磋商；</w:t>
            </w:r>
          </w:p>
          <w:p w14:paraId="45D2BBC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待评审小组与供应商对采购标的的技术、服务等磋商结束后，评审小</w:t>
            </w:r>
            <w:r>
              <w:rPr>
                <w:rStyle w:val="35"/>
                <w:rFonts w:hint="eastAsia" w:ascii="仿宋" w:hAnsi="仿宋" w:eastAsia="仿宋" w:cs="仿宋"/>
                <w:color w:val="auto"/>
                <w:spacing w:val="-6"/>
                <w:sz w:val="24"/>
                <w:szCs w:val="24"/>
                <w:highlight w:val="none"/>
                <w:lang w:eastAsia="zh-CN"/>
              </w:rPr>
              <w:t>组要求所有实质性响应的供应商，在规定的时间内提交最后报价</w:t>
            </w:r>
            <w:r>
              <w:rPr>
                <w:rStyle w:val="35"/>
                <w:rFonts w:hint="eastAsia" w:ascii="仿宋" w:hAnsi="仿宋" w:eastAsia="仿宋" w:cs="仿宋"/>
                <w:color w:val="auto"/>
                <w:spacing w:val="-4"/>
                <w:sz w:val="24"/>
                <w:szCs w:val="24"/>
                <w:highlight w:val="none"/>
                <w:lang w:eastAsia="zh-CN"/>
              </w:rPr>
              <w:t>。</w:t>
            </w:r>
          </w:p>
        </w:tc>
      </w:tr>
      <w:tr w14:paraId="1F396E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CA68E3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第一章1.3款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331C100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采购内容</w:t>
            </w:r>
          </w:p>
        </w:tc>
        <w:tc>
          <w:tcPr>
            <w:tcW w:w="6523" w:type="dxa"/>
            <w:tcBorders>
              <w:top w:val="single" w:color="000000" w:sz="6" w:space="0"/>
              <w:left w:val="single" w:color="000000" w:sz="6" w:space="0"/>
              <w:bottom w:val="single" w:color="000000" w:sz="6" w:space="0"/>
              <w:right w:val="single" w:color="000000" w:sz="12" w:space="0"/>
            </w:tcBorders>
            <w:vAlign w:val="center"/>
          </w:tcPr>
          <w:p w14:paraId="5EE90B53">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Style w:val="35"/>
                <w:rFonts w:ascii="仿宋" w:hAnsi="仿宋" w:eastAsia="仿宋" w:cs="仿宋"/>
                <w:bCs/>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本项工作主要针对</w:t>
            </w:r>
            <w:r>
              <w:rPr>
                <w:rFonts w:hint="eastAsia" w:ascii="仿宋" w:hAnsi="仿宋" w:eastAsia="仿宋" w:cs="仿宋"/>
                <w:i w:val="0"/>
                <w:iCs w:val="0"/>
                <w:caps w:val="0"/>
                <w:color w:val="auto"/>
                <w:spacing w:val="0"/>
                <w:sz w:val="24"/>
                <w:szCs w:val="24"/>
                <w:highlight w:val="none"/>
                <w:lang w:eastAsia="zh-CN"/>
              </w:rPr>
              <w:t>新疆维吾尔自治区</w:t>
            </w:r>
            <w:r>
              <w:rPr>
                <w:rFonts w:hint="eastAsia" w:ascii="仿宋" w:hAnsi="仿宋" w:eastAsia="仿宋" w:cs="仿宋"/>
                <w:i w:val="0"/>
                <w:iCs w:val="0"/>
                <w:caps w:val="0"/>
                <w:color w:val="auto"/>
                <w:spacing w:val="0"/>
                <w:sz w:val="24"/>
                <w:szCs w:val="24"/>
                <w:highlight w:val="none"/>
                <w:lang w:val="en-US" w:eastAsia="zh-CN"/>
              </w:rPr>
              <w:t>文化和旅游厅及厅属事业单位</w:t>
            </w:r>
            <w:r>
              <w:rPr>
                <w:rFonts w:hint="eastAsia" w:ascii="仿宋" w:hAnsi="仿宋" w:eastAsia="仿宋" w:cs="仿宋"/>
                <w:i w:val="0"/>
                <w:iCs w:val="0"/>
                <w:caps w:val="0"/>
                <w:color w:val="auto"/>
                <w:spacing w:val="0"/>
                <w:sz w:val="24"/>
                <w:szCs w:val="24"/>
                <w:highlight w:val="none"/>
              </w:rPr>
              <w:t>七</w:t>
            </w:r>
            <w:r>
              <w:rPr>
                <w:rFonts w:hint="eastAsia" w:ascii="仿宋" w:hAnsi="仿宋" w:eastAsia="仿宋" w:cs="仿宋"/>
                <w:i w:val="0"/>
                <w:iCs w:val="0"/>
                <w:caps w:val="0"/>
                <w:color w:val="auto"/>
                <w:spacing w:val="0"/>
                <w:sz w:val="24"/>
                <w:szCs w:val="24"/>
                <w:highlight w:val="none"/>
                <w:lang w:val="en-US" w:eastAsia="zh-CN"/>
              </w:rPr>
              <w:t>个</w:t>
            </w:r>
            <w:r>
              <w:rPr>
                <w:rFonts w:hint="eastAsia" w:ascii="仿宋" w:hAnsi="仿宋" w:eastAsia="仿宋" w:cs="仿宋"/>
                <w:i w:val="0"/>
                <w:iCs w:val="0"/>
                <w:caps w:val="0"/>
                <w:color w:val="auto"/>
                <w:spacing w:val="0"/>
                <w:sz w:val="24"/>
                <w:szCs w:val="24"/>
                <w:highlight w:val="none"/>
              </w:rPr>
              <w:t>业务系统</w:t>
            </w:r>
            <w:r>
              <w:rPr>
                <w:rFonts w:hint="eastAsia" w:ascii="仿宋" w:hAnsi="仿宋" w:eastAsia="仿宋" w:cs="仿宋"/>
                <w:i w:val="0"/>
                <w:iCs w:val="0"/>
                <w:caps w:val="0"/>
                <w:color w:val="auto"/>
                <w:spacing w:val="0"/>
                <w:sz w:val="24"/>
                <w:szCs w:val="24"/>
                <w:highlight w:val="none"/>
                <w:lang w:val="en-US" w:eastAsia="zh-CN"/>
              </w:rPr>
              <w:t>及机房</w:t>
            </w:r>
            <w:r>
              <w:rPr>
                <w:rFonts w:hint="eastAsia" w:ascii="仿宋" w:hAnsi="仿宋" w:eastAsia="仿宋" w:cs="仿宋"/>
                <w:i w:val="0"/>
                <w:iCs w:val="0"/>
                <w:caps w:val="0"/>
                <w:color w:val="auto"/>
                <w:spacing w:val="0"/>
                <w:sz w:val="24"/>
                <w:szCs w:val="24"/>
                <w:highlight w:val="none"/>
              </w:rPr>
              <w:t>进行泛资产普查、攻击触点识别、攻击面分析、风险预警等安全服务。（详细参数及要求见</w:t>
            </w:r>
            <w:r>
              <w:rPr>
                <w:rFonts w:hint="eastAsia" w:ascii="仿宋" w:hAnsi="仿宋" w:eastAsia="仿宋" w:cs="仿宋"/>
                <w:i w:val="0"/>
                <w:iCs w:val="0"/>
                <w:caps w:val="0"/>
                <w:color w:val="auto"/>
                <w:spacing w:val="0"/>
                <w:sz w:val="24"/>
                <w:szCs w:val="24"/>
                <w:highlight w:val="none"/>
                <w:lang w:val="en-US" w:eastAsia="zh-CN"/>
              </w:rPr>
              <w:t>竞争性磋商</w:t>
            </w:r>
            <w:r>
              <w:rPr>
                <w:rFonts w:hint="eastAsia" w:ascii="仿宋" w:hAnsi="仿宋" w:eastAsia="仿宋" w:cs="仿宋"/>
                <w:i w:val="0"/>
                <w:iCs w:val="0"/>
                <w:caps w:val="0"/>
                <w:color w:val="auto"/>
                <w:spacing w:val="0"/>
                <w:sz w:val="24"/>
                <w:szCs w:val="24"/>
                <w:highlight w:val="none"/>
              </w:rPr>
              <w:t>文件）</w:t>
            </w:r>
            <w:r>
              <w:rPr>
                <w:rFonts w:hint="eastAsia" w:ascii="仿宋" w:hAnsi="仿宋" w:eastAsia="仿宋" w:cs="仿宋"/>
                <w:i w:val="0"/>
                <w:iCs w:val="0"/>
                <w:caps w:val="0"/>
                <w:color w:val="auto"/>
                <w:spacing w:val="0"/>
                <w:sz w:val="24"/>
                <w:szCs w:val="24"/>
                <w:highlight w:val="none"/>
                <w:lang w:val="en-US" w:eastAsia="zh-CN"/>
              </w:rPr>
              <w:t>。</w:t>
            </w:r>
          </w:p>
        </w:tc>
      </w:tr>
      <w:tr w14:paraId="6E43D6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59F7DF9">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第一章1.4款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FFCB55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资金来源</w:t>
            </w:r>
          </w:p>
        </w:tc>
        <w:tc>
          <w:tcPr>
            <w:tcW w:w="6523" w:type="dxa"/>
            <w:tcBorders>
              <w:top w:val="single" w:color="000000" w:sz="6" w:space="0"/>
              <w:left w:val="single" w:color="000000" w:sz="6" w:space="0"/>
              <w:bottom w:val="single" w:color="000000" w:sz="6" w:space="0"/>
              <w:right w:val="single" w:color="000000" w:sz="12" w:space="0"/>
            </w:tcBorders>
            <w:vAlign w:val="center"/>
          </w:tcPr>
          <w:p w14:paraId="222D314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left"/>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财政资金</w:t>
            </w:r>
          </w:p>
        </w:tc>
      </w:tr>
      <w:tr w14:paraId="22C70B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10A789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第一章1.5款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F4C1B3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服务</w:t>
            </w:r>
            <w:r>
              <w:rPr>
                <w:rStyle w:val="35"/>
                <w:rFonts w:hint="eastAsia" w:ascii="仿宋" w:hAnsi="仿宋" w:eastAsia="仿宋" w:cs="仿宋"/>
                <w:color w:val="auto"/>
                <w:sz w:val="24"/>
                <w:szCs w:val="24"/>
                <w:highlight w:val="none"/>
                <w:lang w:eastAsia="zh-CN"/>
              </w:rPr>
              <w:t>地点</w:t>
            </w:r>
          </w:p>
        </w:tc>
        <w:tc>
          <w:tcPr>
            <w:tcW w:w="6523" w:type="dxa"/>
            <w:tcBorders>
              <w:top w:val="single" w:color="000000" w:sz="6" w:space="0"/>
              <w:left w:val="single" w:color="000000" w:sz="6" w:space="0"/>
              <w:bottom w:val="single" w:color="000000" w:sz="6" w:space="0"/>
              <w:right w:val="single" w:color="000000" w:sz="12" w:space="0"/>
            </w:tcBorders>
            <w:vAlign w:val="center"/>
          </w:tcPr>
          <w:p w14:paraId="3826B81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采购人指定的地点</w:t>
            </w:r>
          </w:p>
        </w:tc>
      </w:tr>
      <w:tr w14:paraId="64ECF3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5"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B800114">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第一章1.6款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0FD4DB7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合同履行期限</w:t>
            </w:r>
          </w:p>
        </w:tc>
        <w:tc>
          <w:tcPr>
            <w:tcW w:w="6523" w:type="dxa"/>
            <w:tcBorders>
              <w:top w:val="single" w:color="000000" w:sz="6" w:space="0"/>
              <w:left w:val="single" w:color="000000" w:sz="6" w:space="0"/>
              <w:bottom w:val="single" w:color="000000" w:sz="6" w:space="0"/>
              <w:right w:val="single" w:color="000000" w:sz="12" w:space="0"/>
            </w:tcBorders>
            <w:vAlign w:val="center"/>
          </w:tcPr>
          <w:p w14:paraId="09765C28">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Style w:val="35"/>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自合同签订之日起1年。</w:t>
            </w:r>
          </w:p>
        </w:tc>
      </w:tr>
      <w:tr w14:paraId="0AD855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5CAC93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第一章2.1款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6BA0CB9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采购人</w:t>
            </w:r>
          </w:p>
        </w:tc>
        <w:tc>
          <w:tcPr>
            <w:tcW w:w="6523" w:type="dxa"/>
            <w:tcBorders>
              <w:top w:val="single" w:color="000000" w:sz="6" w:space="0"/>
              <w:left w:val="single" w:color="000000" w:sz="6" w:space="0"/>
              <w:bottom w:val="single" w:color="000000" w:sz="6" w:space="0"/>
              <w:right w:val="single" w:color="000000" w:sz="12" w:space="0"/>
            </w:tcBorders>
            <w:vAlign w:val="center"/>
          </w:tcPr>
          <w:p w14:paraId="7F5886B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采购人：</w:t>
            </w:r>
            <w:r>
              <w:rPr>
                <w:rStyle w:val="32"/>
                <w:rFonts w:hint="eastAsia" w:ascii="仿宋" w:hAnsi="仿宋" w:eastAsia="仿宋" w:cs="仿宋"/>
                <w:i w:val="0"/>
                <w:iCs w:val="0"/>
                <w:caps w:val="0"/>
                <w:color w:val="auto"/>
                <w:spacing w:val="0"/>
                <w:sz w:val="24"/>
                <w:szCs w:val="24"/>
                <w:highlight w:val="none"/>
                <w:lang w:eastAsia="zh-CN"/>
              </w:rPr>
              <w:t>新疆维吾尔自治区文化和旅游宣传交流中心</w:t>
            </w:r>
          </w:p>
          <w:p w14:paraId="501DCB15">
            <w:pPr>
              <w:shd w:val="clear"/>
              <w:spacing w:line="579"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人：代文轩</w:t>
            </w:r>
          </w:p>
          <w:p w14:paraId="6E478981">
            <w:pPr>
              <w:shd w:val="clear"/>
              <w:spacing w:line="579" w:lineRule="exact"/>
              <w:rPr>
                <w:rStyle w:val="35"/>
                <w:rFonts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 xml:space="preserve">联系电话：18199181451  </w:t>
            </w:r>
          </w:p>
        </w:tc>
      </w:tr>
      <w:tr w14:paraId="1C70F5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6DB2816">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第一章2.2款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A073B0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代理机构</w:t>
            </w:r>
          </w:p>
        </w:tc>
        <w:tc>
          <w:tcPr>
            <w:tcW w:w="6523" w:type="dxa"/>
            <w:tcBorders>
              <w:top w:val="single" w:color="000000" w:sz="6" w:space="0"/>
              <w:left w:val="single" w:color="000000" w:sz="6" w:space="0"/>
              <w:bottom w:val="single" w:color="000000" w:sz="6" w:space="0"/>
              <w:right w:val="single" w:color="000000" w:sz="12" w:space="0"/>
            </w:tcBorders>
          </w:tcPr>
          <w:p w14:paraId="6299625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名称：新疆君凯杰工程项目管理有限公司</w:t>
            </w:r>
          </w:p>
          <w:p w14:paraId="08B9F54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地址：乌鲁木齐市水磨沟区会展大道1119号大成尔雅A座80</w:t>
            </w:r>
            <w:r>
              <w:rPr>
                <w:rStyle w:val="35"/>
                <w:rFonts w:hint="eastAsia" w:ascii="仿宋" w:hAnsi="仿宋" w:eastAsia="仿宋" w:cs="仿宋"/>
                <w:color w:val="auto"/>
                <w:spacing w:val="-7"/>
                <w:sz w:val="24"/>
                <w:szCs w:val="24"/>
                <w:highlight w:val="none"/>
                <w:lang w:val="en-US" w:eastAsia="zh-CN"/>
              </w:rPr>
              <w:t>7</w:t>
            </w:r>
            <w:r>
              <w:rPr>
                <w:rStyle w:val="35"/>
                <w:rFonts w:hint="eastAsia" w:ascii="仿宋" w:hAnsi="仿宋" w:eastAsia="仿宋" w:cs="仿宋"/>
                <w:color w:val="auto"/>
                <w:spacing w:val="-7"/>
                <w:sz w:val="24"/>
                <w:szCs w:val="24"/>
                <w:highlight w:val="none"/>
                <w:lang w:eastAsia="zh-CN"/>
              </w:rPr>
              <w:t>室</w:t>
            </w:r>
          </w:p>
          <w:p w14:paraId="313EA25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联系人：海宏</w:t>
            </w:r>
          </w:p>
          <w:p w14:paraId="1324613E">
            <w:pPr>
              <w:pStyle w:val="43"/>
              <w:keepNext w:val="0"/>
              <w:keepLines w:val="0"/>
              <w:pageBreakBefore w:val="0"/>
              <w:widowControl/>
              <w:shd w:val="clear"/>
              <w:tabs>
                <w:tab w:val="left" w:pos="3706"/>
              </w:tabs>
              <w:kinsoku/>
              <w:wordWrap/>
              <w:overflowPunct/>
              <w:topLinePunct w:val="0"/>
              <w:autoSpaceDE/>
              <w:autoSpaceDN/>
              <w:bidi w:val="0"/>
              <w:adjustRightInd/>
              <w:snapToGrid/>
              <w:spacing w:line="579" w:lineRule="exact"/>
              <w:ind w:left="0" w:leftChars="0" w:right="0" w:rightChars="0"/>
              <w:textAlignment w:val="baseline"/>
              <w:rPr>
                <w:rStyle w:val="35"/>
                <w:rFonts w:hint="default" w:ascii="仿宋" w:hAnsi="仿宋" w:eastAsia="仿宋" w:cs="仿宋"/>
                <w:color w:val="auto"/>
                <w:spacing w:val="-7"/>
                <w:sz w:val="24"/>
                <w:szCs w:val="24"/>
                <w:highlight w:val="none"/>
                <w:lang w:val="en-US" w:eastAsia="zh-CN"/>
              </w:rPr>
            </w:pPr>
            <w:r>
              <w:rPr>
                <w:rStyle w:val="35"/>
                <w:rFonts w:hint="eastAsia" w:ascii="仿宋" w:hAnsi="仿宋" w:eastAsia="仿宋" w:cs="仿宋"/>
                <w:color w:val="auto"/>
                <w:spacing w:val="-7"/>
                <w:sz w:val="24"/>
                <w:szCs w:val="24"/>
                <w:highlight w:val="none"/>
                <w:lang w:eastAsia="zh-CN"/>
              </w:rPr>
              <w:t>电话：</w:t>
            </w:r>
            <w:r>
              <w:rPr>
                <w:rStyle w:val="35"/>
                <w:rFonts w:hint="eastAsia" w:ascii="仿宋" w:hAnsi="仿宋" w:eastAsia="仿宋" w:cs="仿宋"/>
                <w:color w:val="auto"/>
                <w:spacing w:val="-7"/>
                <w:sz w:val="24"/>
                <w:szCs w:val="24"/>
                <w:highlight w:val="none"/>
                <w:lang w:val="en-US" w:eastAsia="zh-CN"/>
              </w:rPr>
              <w:t>18199860236</w:t>
            </w:r>
          </w:p>
        </w:tc>
      </w:tr>
      <w:tr w14:paraId="457965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269ECC9">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第一章2.8款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B51464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偏离</w:t>
            </w:r>
          </w:p>
        </w:tc>
        <w:tc>
          <w:tcPr>
            <w:tcW w:w="6523" w:type="dxa"/>
            <w:tcBorders>
              <w:top w:val="single" w:color="000000" w:sz="6" w:space="0"/>
              <w:left w:val="single" w:color="000000" w:sz="6" w:space="0"/>
              <w:bottom w:val="single" w:color="000000" w:sz="6" w:space="0"/>
              <w:right w:val="single" w:color="000000" w:sz="12" w:space="0"/>
            </w:tcBorders>
            <w:vAlign w:val="center"/>
          </w:tcPr>
          <w:p w14:paraId="05C5912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不接受实质性负偏离</w:t>
            </w:r>
          </w:p>
        </w:tc>
      </w:tr>
      <w:tr w14:paraId="3F44CE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085E04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第一章3.1款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41FB7C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供应商资格</w:t>
            </w:r>
          </w:p>
        </w:tc>
        <w:tc>
          <w:tcPr>
            <w:tcW w:w="6523" w:type="dxa"/>
            <w:tcBorders>
              <w:top w:val="single" w:color="000000" w:sz="6" w:space="0"/>
              <w:left w:val="single" w:color="000000" w:sz="6" w:space="0"/>
              <w:bottom w:val="single" w:color="000000" w:sz="6" w:space="0"/>
              <w:right w:val="single" w:color="000000" w:sz="12" w:space="0"/>
            </w:tcBorders>
            <w:vAlign w:val="center"/>
          </w:tcPr>
          <w:p w14:paraId="5B21DBD4">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详见竞争性磋商公告</w:t>
            </w:r>
          </w:p>
        </w:tc>
      </w:tr>
      <w:tr w14:paraId="6546C6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9"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363EC7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第一章5.1款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813847F">
            <w:pPr>
              <w:pStyle w:val="43"/>
              <w:keepNext w:val="0"/>
              <w:keepLines w:val="0"/>
              <w:pageBreakBefore w:val="0"/>
              <w:widowControl/>
              <w:shd w:val="clear"/>
              <w:kinsoku/>
              <w:wordWrap/>
              <w:overflowPunct/>
              <w:topLinePunct w:val="0"/>
              <w:autoSpaceDE/>
              <w:autoSpaceDN/>
              <w:bidi w:val="0"/>
              <w:adjustRightInd/>
              <w:snapToGrid/>
              <w:spacing w:line="579" w:lineRule="exact"/>
              <w:ind w:left="108" w:leftChars="0" w:right="0" w:rightChars="0" w:hanging="108"/>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是否接受联合体投标</w:t>
            </w:r>
          </w:p>
        </w:tc>
        <w:tc>
          <w:tcPr>
            <w:tcW w:w="6523" w:type="dxa"/>
            <w:tcBorders>
              <w:top w:val="single" w:color="000000" w:sz="6" w:space="0"/>
              <w:left w:val="single" w:color="000000" w:sz="6" w:space="0"/>
              <w:bottom w:val="single" w:color="000000" w:sz="6" w:space="0"/>
              <w:right w:val="single" w:color="000000" w:sz="12" w:space="0"/>
            </w:tcBorders>
            <w:vAlign w:val="center"/>
          </w:tcPr>
          <w:p w14:paraId="3F092C2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不</w:t>
            </w:r>
            <w:r>
              <w:rPr>
                <w:rStyle w:val="35"/>
                <w:rFonts w:hint="eastAsia" w:ascii="仿宋" w:hAnsi="仿宋" w:eastAsia="仿宋" w:cs="仿宋"/>
                <w:color w:val="auto"/>
                <w:sz w:val="24"/>
                <w:szCs w:val="24"/>
                <w:highlight w:val="none"/>
                <w:lang w:eastAsia="zh-CN"/>
              </w:rPr>
              <w:t>接受。</w:t>
            </w:r>
          </w:p>
        </w:tc>
      </w:tr>
      <w:tr w14:paraId="03A51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C849DD9">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第一章6.1款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6701DCB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踏勘现场</w:t>
            </w:r>
          </w:p>
        </w:tc>
        <w:tc>
          <w:tcPr>
            <w:tcW w:w="6523" w:type="dxa"/>
            <w:tcBorders>
              <w:top w:val="single" w:color="000000" w:sz="6" w:space="0"/>
              <w:left w:val="single" w:color="000000" w:sz="6" w:space="0"/>
              <w:bottom w:val="single" w:color="000000" w:sz="6" w:space="0"/>
              <w:right w:val="single" w:color="000000" w:sz="12" w:space="0"/>
            </w:tcBorders>
            <w:vAlign w:val="center"/>
          </w:tcPr>
          <w:p w14:paraId="47D0A414">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lang w:eastAsia="zh-CN"/>
              </w:rPr>
              <w:t>不组织</w:t>
            </w:r>
          </w:p>
        </w:tc>
      </w:tr>
      <w:tr w14:paraId="0EB9D0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76460B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第二章</w:t>
            </w:r>
            <w:r>
              <w:rPr>
                <w:rStyle w:val="35"/>
                <w:rFonts w:hint="eastAsia" w:ascii="仿宋" w:hAnsi="仿宋" w:eastAsia="仿宋" w:cs="仿宋"/>
                <w:color w:val="auto"/>
                <w:sz w:val="24"/>
                <w:szCs w:val="24"/>
                <w:highlight w:val="none"/>
                <w:lang w:val="en-US" w:eastAsia="zh-CN"/>
              </w:rPr>
              <w:t>8.3</w:t>
            </w:r>
            <w:r>
              <w:rPr>
                <w:rStyle w:val="35"/>
                <w:rFonts w:hint="eastAsia" w:ascii="仿宋" w:hAnsi="仿宋" w:eastAsia="仿宋" w:cs="仿宋"/>
                <w:color w:val="auto"/>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243ABE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政府采购支持中小企业发展</w:t>
            </w:r>
          </w:p>
        </w:tc>
        <w:tc>
          <w:tcPr>
            <w:tcW w:w="6523" w:type="dxa"/>
            <w:tcBorders>
              <w:top w:val="single" w:color="000000" w:sz="6" w:space="0"/>
              <w:left w:val="single" w:color="000000" w:sz="6" w:space="0"/>
              <w:bottom w:val="single" w:color="000000" w:sz="6" w:space="0"/>
              <w:right w:val="single" w:color="000000" w:sz="12" w:space="0"/>
            </w:tcBorders>
            <w:vAlign w:val="center"/>
          </w:tcPr>
          <w:p w14:paraId="52AA9C9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专门面向中小企业采购的项目或者采购包，不再执行价格评审优惠的扶持政策。</w:t>
            </w:r>
          </w:p>
          <w:p w14:paraId="751E2CFB">
            <w:pPr>
              <w:shd w:val="clear"/>
              <w:tabs>
                <w:tab w:val="center" w:pos="4153"/>
                <w:tab w:val="right" w:pos="8306"/>
              </w:tabs>
              <w:snapToGrid w:val="0"/>
              <w:spacing w:line="440" w:lineRule="exact"/>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b/>
                <w:bCs/>
                <w:color w:val="auto"/>
                <w:sz w:val="24"/>
                <w:szCs w:val="24"/>
                <w:highlight w:val="none"/>
              </w:rPr>
              <w:t>本项目所属行业：软件和信息技术服务业</w:t>
            </w:r>
            <w:r>
              <w:rPr>
                <w:rStyle w:val="35"/>
                <w:rFonts w:hint="eastAsia" w:ascii="仿宋" w:hAnsi="仿宋" w:eastAsia="仿宋" w:cs="仿宋"/>
                <w:b/>
                <w:bCs/>
                <w:color w:val="auto"/>
                <w:sz w:val="24"/>
                <w:szCs w:val="24"/>
                <w:highlight w:val="none"/>
                <w:lang w:val="en-US"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D8749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781C3A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第二章</w:t>
            </w:r>
            <w:r>
              <w:rPr>
                <w:rStyle w:val="35"/>
                <w:rFonts w:hint="eastAsia" w:ascii="仿宋" w:hAnsi="仿宋" w:eastAsia="仿宋" w:cs="仿宋"/>
                <w:color w:val="auto"/>
                <w:sz w:val="24"/>
                <w:szCs w:val="24"/>
                <w:highlight w:val="none"/>
                <w:lang w:val="en-US" w:eastAsia="zh-CN"/>
              </w:rPr>
              <w:t>8.5</w:t>
            </w:r>
            <w:r>
              <w:rPr>
                <w:rStyle w:val="35"/>
                <w:rFonts w:hint="eastAsia" w:ascii="仿宋" w:hAnsi="仿宋" w:eastAsia="仿宋" w:cs="仿宋"/>
                <w:color w:val="auto"/>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9D565B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政府采购支持中小企业融资</w:t>
            </w:r>
            <w:r>
              <w:rPr>
                <w:rStyle w:val="35"/>
                <w:rFonts w:hint="eastAsia" w:ascii="仿宋" w:hAnsi="仿宋" w:eastAsia="仿宋" w:cs="仿宋"/>
                <w:color w:val="auto"/>
                <w:sz w:val="24"/>
                <w:szCs w:val="24"/>
                <w:highlight w:val="none"/>
                <w:lang w:eastAsia="zh-CN"/>
              </w:rPr>
              <w:t>、</w:t>
            </w:r>
            <w:r>
              <w:rPr>
                <w:rStyle w:val="35"/>
                <w:rFonts w:hint="eastAsia" w:ascii="仿宋" w:hAnsi="仿宋" w:eastAsia="仿宋" w:cs="仿宋"/>
                <w:color w:val="auto"/>
                <w:sz w:val="24"/>
                <w:szCs w:val="24"/>
                <w:highlight w:val="none"/>
              </w:rPr>
              <w:t>信用担保</w:t>
            </w:r>
          </w:p>
        </w:tc>
        <w:tc>
          <w:tcPr>
            <w:tcW w:w="6523" w:type="dxa"/>
            <w:tcBorders>
              <w:top w:val="single" w:color="000000" w:sz="6" w:space="0"/>
              <w:left w:val="single" w:color="000000" w:sz="6" w:space="0"/>
              <w:bottom w:val="single" w:color="000000" w:sz="6" w:space="0"/>
              <w:right w:val="single" w:color="000000" w:sz="12" w:space="0"/>
            </w:tcBorders>
            <w:vAlign w:val="center"/>
          </w:tcPr>
          <w:p w14:paraId="4E7A6ED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rPr>
              <w:t>中小企业在融资、保证金、履约保证等方面有需求的，可查询当地政府采购管理部门相关政策，通过专业化的担保途径解决。</w:t>
            </w:r>
          </w:p>
        </w:tc>
      </w:tr>
      <w:tr w14:paraId="6E4F91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8"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5896B57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16.3</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AF58C7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firstLine="31"/>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最高投标限价（采</w:t>
            </w:r>
          </w:p>
          <w:p w14:paraId="65FDD93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firstLine="31"/>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购预算）</w:t>
            </w:r>
          </w:p>
        </w:tc>
        <w:tc>
          <w:tcPr>
            <w:tcW w:w="6523" w:type="dxa"/>
            <w:tcBorders>
              <w:top w:val="single" w:color="000000" w:sz="6" w:space="0"/>
              <w:left w:val="single" w:color="000000" w:sz="6" w:space="0"/>
              <w:bottom w:val="single" w:color="000000" w:sz="6" w:space="0"/>
              <w:right w:val="single" w:color="000000" w:sz="12" w:space="0"/>
            </w:tcBorders>
          </w:tcPr>
          <w:p w14:paraId="334CD27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最高投标限价(即采购预算)为</w:t>
            </w:r>
            <w:r>
              <w:rPr>
                <w:rStyle w:val="35"/>
                <w:rFonts w:hint="eastAsia" w:ascii="仿宋" w:hAnsi="仿宋" w:eastAsia="仿宋" w:cs="仿宋"/>
                <w:color w:val="auto"/>
                <w:sz w:val="24"/>
                <w:szCs w:val="24"/>
                <w:highlight w:val="none"/>
                <w:lang w:val="en-US" w:eastAsia="zh-CN"/>
              </w:rPr>
              <w:t>200000.00</w:t>
            </w:r>
            <w:r>
              <w:rPr>
                <w:rStyle w:val="35"/>
                <w:rFonts w:hint="eastAsia" w:ascii="仿宋" w:hAnsi="仿宋" w:eastAsia="仿宋" w:cs="仿宋"/>
                <w:color w:val="auto"/>
                <w:sz w:val="24"/>
                <w:szCs w:val="24"/>
                <w:highlight w:val="none"/>
                <w:lang w:eastAsia="zh-CN"/>
              </w:rPr>
              <w:t>元（</w:t>
            </w:r>
            <w:r>
              <w:rPr>
                <w:rStyle w:val="35"/>
                <w:rFonts w:hint="eastAsia" w:ascii="仿宋" w:hAnsi="仿宋" w:eastAsia="仿宋" w:cs="仿宋"/>
                <w:color w:val="auto"/>
                <w:sz w:val="24"/>
                <w:szCs w:val="24"/>
                <w:highlight w:val="none"/>
                <w:lang w:val="en-US" w:eastAsia="zh-CN"/>
              </w:rPr>
              <w:t>贰拾万元整</w:t>
            </w:r>
            <w:r>
              <w:rPr>
                <w:rStyle w:val="35"/>
                <w:rFonts w:hint="eastAsia" w:ascii="仿宋" w:hAnsi="仿宋" w:eastAsia="仿宋" w:cs="仿宋"/>
                <w:color w:val="auto"/>
                <w:sz w:val="24"/>
                <w:szCs w:val="24"/>
                <w:highlight w:val="none"/>
                <w:lang w:eastAsia="zh-CN"/>
              </w:rPr>
              <w:t>）</w:t>
            </w:r>
          </w:p>
          <w:p w14:paraId="4268A4E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pacing w:val="-10"/>
                <w:sz w:val="24"/>
                <w:szCs w:val="24"/>
                <w:highlight w:val="none"/>
                <w:lang w:eastAsia="zh-CN"/>
              </w:rPr>
            </w:pPr>
            <w:r>
              <w:rPr>
                <w:rStyle w:val="35"/>
                <w:rFonts w:hint="eastAsia" w:ascii="仿宋" w:hAnsi="仿宋" w:eastAsia="仿宋" w:cs="仿宋"/>
                <w:b/>
                <w:color w:val="auto"/>
                <w:sz w:val="24"/>
                <w:szCs w:val="24"/>
                <w:highlight w:val="none"/>
                <w:lang w:eastAsia="zh-CN"/>
              </w:rPr>
              <w:t>供应商的投标报价不得超过最高投标限价，否则其响应文件按否决投标处理。</w:t>
            </w:r>
          </w:p>
        </w:tc>
      </w:tr>
      <w:tr w14:paraId="628F59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35140F5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17.1</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D8C3DA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rPr>
              <w:t>投标有效期</w:t>
            </w:r>
          </w:p>
        </w:tc>
        <w:tc>
          <w:tcPr>
            <w:tcW w:w="6523" w:type="dxa"/>
            <w:tcBorders>
              <w:top w:val="single" w:color="000000" w:sz="6" w:space="0"/>
              <w:left w:val="single" w:color="000000" w:sz="6" w:space="0"/>
              <w:bottom w:val="single" w:color="000000" w:sz="6" w:space="0"/>
              <w:right w:val="single" w:color="000000" w:sz="12" w:space="0"/>
            </w:tcBorders>
            <w:vAlign w:val="center"/>
          </w:tcPr>
          <w:p w14:paraId="65484C4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lang w:eastAsia="zh-CN"/>
              </w:rPr>
              <w:t>90日历天（从投标截止之日算起）。</w:t>
            </w:r>
          </w:p>
        </w:tc>
      </w:tr>
      <w:tr w14:paraId="7C43CD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1D1548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18.1</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7417247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磋商保证金</w:t>
            </w:r>
          </w:p>
        </w:tc>
        <w:tc>
          <w:tcPr>
            <w:tcW w:w="6523" w:type="dxa"/>
            <w:tcBorders>
              <w:top w:val="single" w:color="000000" w:sz="6" w:space="0"/>
              <w:left w:val="single" w:color="000000" w:sz="6" w:space="0"/>
              <w:bottom w:val="single" w:color="000000" w:sz="6" w:space="0"/>
              <w:right w:val="single" w:color="000000" w:sz="12" w:space="0"/>
            </w:tcBorders>
            <w:vAlign w:val="center"/>
          </w:tcPr>
          <w:p w14:paraId="45A5E92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磋商保证金的金额：</w:t>
            </w:r>
            <w:r>
              <w:rPr>
                <w:rStyle w:val="35"/>
                <w:rFonts w:hint="eastAsia" w:ascii="仿宋" w:hAnsi="仿宋" w:eastAsia="仿宋" w:cs="仿宋"/>
                <w:color w:val="auto"/>
                <w:sz w:val="24"/>
                <w:szCs w:val="24"/>
                <w:highlight w:val="none"/>
                <w:lang w:val="en-US" w:eastAsia="zh-CN"/>
              </w:rPr>
              <w:t>4000.00</w:t>
            </w:r>
            <w:r>
              <w:rPr>
                <w:rStyle w:val="35"/>
                <w:rFonts w:hint="eastAsia" w:ascii="仿宋" w:hAnsi="仿宋" w:eastAsia="仿宋" w:cs="仿宋"/>
                <w:color w:val="auto"/>
                <w:sz w:val="24"/>
                <w:szCs w:val="24"/>
                <w:highlight w:val="none"/>
                <w:lang w:eastAsia="zh-CN"/>
              </w:rPr>
              <w:t>元（大写：肆</w:t>
            </w:r>
            <w:r>
              <w:rPr>
                <w:rStyle w:val="35"/>
                <w:rFonts w:hint="eastAsia" w:ascii="仿宋" w:hAnsi="仿宋" w:eastAsia="仿宋" w:cs="仿宋"/>
                <w:color w:val="auto"/>
                <w:sz w:val="24"/>
                <w:szCs w:val="24"/>
                <w:highlight w:val="none"/>
                <w:lang w:val="en-US" w:eastAsia="zh-CN"/>
              </w:rPr>
              <w:t>仟元整</w:t>
            </w:r>
            <w:r>
              <w:rPr>
                <w:rStyle w:val="35"/>
                <w:rFonts w:hint="eastAsia" w:ascii="仿宋" w:hAnsi="仿宋" w:eastAsia="仿宋" w:cs="仿宋"/>
                <w:color w:val="auto"/>
                <w:sz w:val="24"/>
                <w:szCs w:val="24"/>
                <w:highlight w:val="none"/>
                <w:lang w:eastAsia="zh-CN"/>
              </w:rPr>
              <w:t>）</w:t>
            </w:r>
          </w:p>
          <w:p w14:paraId="56889FA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磋商保证金的形式：银行电汇或银行转账</w:t>
            </w:r>
            <w:r>
              <w:rPr>
                <w:rStyle w:val="35"/>
                <w:rFonts w:hint="eastAsia" w:ascii="仿宋" w:hAnsi="仿宋" w:eastAsia="仿宋" w:cs="仿宋"/>
                <w:color w:val="auto"/>
                <w:sz w:val="24"/>
                <w:szCs w:val="24"/>
                <w:highlight w:val="none"/>
                <w:lang w:val="en-US" w:eastAsia="zh-CN"/>
              </w:rPr>
              <w:t>或保函</w:t>
            </w:r>
            <w:r>
              <w:rPr>
                <w:rStyle w:val="35"/>
                <w:rFonts w:hint="eastAsia" w:ascii="仿宋" w:hAnsi="仿宋" w:eastAsia="仿宋" w:cs="仿宋"/>
                <w:color w:val="auto"/>
                <w:sz w:val="24"/>
                <w:szCs w:val="24"/>
                <w:highlight w:val="none"/>
                <w:lang w:eastAsia="zh-CN"/>
              </w:rPr>
              <w:t>等</w:t>
            </w:r>
            <w:r>
              <w:rPr>
                <w:rStyle w:val="35"/>
                <w:rFonts w:hint="eastAsia" w:ascii="仿宋" w:hAnsi="仿宋" w:eastAsia="仿宋" w:cs="仿宋"/>
                <w:color w:val="auto"/>
                <w:sz w:val="24"/>
                <w:szCs w:val="24"/>
                <w:highlight w:val="none"/>
                <w:lang w:val="en-US" w:eastAsia="zh-CN"/>
              </w:rPr>
              <w:t>形式</w:t>
            </w:r>
            <w:r>
              <w:rPr>
                <w:rStyle w:val="35"/>
                <w:rFonts w:hint="eastAsia" w:ascii="仿宋" w:hAnsi="仿宋" w:eastAsia="仿宋" w:cs="仿宋"/>
                <w:color w:val="auto"/>
                <w:sz w:val="24"/>
                <w:szCs w:val="24"/>
                <w:highlight w:val="none"/>
                <w:lang w:eastAsia="zh-CN"/>
              </w:rPr>
              <w:t>。</w:t>
            </w:r>
          </w:p>
          <w:p w14:paraId="5006A91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开户名称：新疆君凯杰工程项目管理有限公司</w:t>
            </w:r>
          </w:p>
          <w:p w14:paraId="352029E6">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开户银行：中国农业银行乌鲁木齐昆仑路支行</w:t>
            </w:r>
          </w:p>
          <w:p w14:paraId="776FE93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帐    号：30006 4010 400 10690</w:t>
            </w:r>
          </w:p>
          <w:p w14:paraId="1FE0E6A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行    号：10388 1000 646</w:t>
            </w:r>
          </w:p>
          <w:p w14:paraId="11AE1A69">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咨询电话：0991-4639846（财务室）</w:t>
            </w:r>
          </w:p>
          <w:p w14:paraId="2B70C056">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附注：（项目名称）磋商保证金</w:t>
            </w:r>
          </w:p>
          <w:p w14:paraId="09D1B48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磋商保证金必须在响应文件递交截止时间前确保到帐；供应商未按竞争性磋商文件要求提交磋商保证金的，响应文件无效。</w:t>
            </w:r>
          </w:p>
        </w:tc>
      </w:tr>
      <w:tr w14:paraId="69120D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57F03E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18.2</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795680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磋商保证金的退还</w:t>
            </w:r>
          </w:p>
        </w:tc>
        <w:tc>
          <w:tcPr>
            <w:tcW w:w="6523" w:type="dxa"/>
            <w:tcBorders>
              <w:top w:val="single" w:color="000000" w:sz="6" w:space="0"/>
              <w:left w:val="single" w:color="000000" w:sz="6" w:space="0"/>
              <w:bottom w:val="single" w:color="000000" w:sz="6" w:space="0"/>
              <w:right w:val="single" w:color="000000" w:sz="12" w:space="0"/>
            </w:tcBorders>
          </w:tcPr>
          <w:p w14:paraId="0FC078FE">
            <w:pPr>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保证金的退还：</w:t>
            </w:r>
          </w:p>
          <w:p w14:paraId="0BAF32CF">
            <w:pPr>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（1）供应商在投标截止时间前撤回已提交的响应文件的，采购人或者采购代理机构应当自收到供应商书面撤回通知之日起5个工作日内，退还已收取的磋商保证金，但因供应商自身原因导致无法及时退还的除外。</w:t>
            </w:r>
          </w:p>
          <w:p w14:paraId="579AA68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（2）采购人或者采购代理机构应当自中标通知书发出之日起5个工作日内退还未中标人的磋商保证金，自采购合同签订之日起5个工作日内退还中标人的磋商保证金或者转为中标人的履约保证金。</w:t>
            </w:r>
          </w:p>
          <w:p w14:paraId="520F802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b/>
                <w:color w:val="auto"/>
                <w:sz w:val="24"/>
                <w:szCs w:val="24"/>
                <w:highlight w:val="none"/>
                <w:lang w:eastAsia="zh-CN"/>
              </w:rPr>
              <w:t>退还中标方磋商保证金时，中标方须提供与采购人签订的合同原</w:t>
            </w:r>
            <w:r>
              <w:rPr>
                <w:rStyle w:val="35"/>
                <w:rFonts w:hint="eastAsia" w:ascii="仿宋" w:hAnsi="仿宋" w:eastAsia="仿宋" w:cs="仿宋"/>
                <w:b/>
                <w:color w:val="auto"/>
                <w:spacing w:val="-8"/>
                <w:sz w:val="24"/>
                <w:szCs w:val="24"/>
                <w:highlight w:val="none"/>
                <w:lang w:eastAsia="zh-CN"/>
              </w:rPr>
              <w:t>件一份</w:t>
            </w:r>
            <w:r>
              <w:rPr>
                <w:rStyle w:val="35"/>
                <w:rFonts w:hint="eastAsia" w:ascii="仿宋" w:hAnsi="仿宋" w:eastAsia="仿宋" w:cs="仿宋"/>
                <w:b/>
                <w:color w:val="auto"/>
                <w:sz w:val="24"/>
                <w:szCs w:val="24"/>
                <w:highlight w:val="none"/>
                <w:lang w:eastAsia="zh-CN"/>
              </w:rPr>
              <w:t>（</w:t>
            </w:r>
            <w:r>
              <w:rPr>
                <w:rStyle w:val="35"/>
                <w:rFonts w:hint="eastAsia" w:ascii="仿宋" w:hAnsi="仿宋" w:eastAsia="仿宋" w:cs="仿宋"/>
                <w:b/>
                <w:color w:val="auto"/>
                <w:spacing w:val="-2"/>
                <w:sz w:val="24"/>
                <w:szCs w:val="24"/>
                <w:highlight w:val="none"/>
                <w:lang w:eastAsia="zh-CN"/>
              </w:rPr>
              <w:t>原件核查无误后退还</w:t>
            </w:r>
            <w:r>
              <w:rPr>
                <w:rStyle w:val="35"/>
                <w:rFonts w:hint="eastAsia" w:ascii="仿宋" w:hAnsi="仿宋" w:eastAsia="仿宋" w:cs="仿宋"/>
                <w:b/>
                <w:color w:val="auto"/>
                <w:spacing w:val="-22"/>
                <w:sz w:val="24"/>
                <w:szCs w:val="24"/>
                <w:highlight w:val="none"/>
                <w:lang w:eastAsia="zh-CN"/>
              </w:rPr>
              <w:t>）</w:t>
            </w:r>
            <w:r>
              <w:rPr>
                <w:rStyle w:val="35"/>
                <w:rFonts w:hint="eastAsia" w:ascii="仿宋" w:hAnsi="仿宋" w:eastAsia="仿宋" w:cs="仿宋"/>
                <w:b/>
                <w:color w:val="auto"/>
                <w:spacing w:val="-2"/>
                <w:sz w:val="24"/>
                <w:szCs w:val="24"/>
                <w:highlight w:val="none"/>
                <w:lang w:eastAsia="zh-CN"/>
              </w:rPr>
              <w:t>及已加盖中标方公章的合同全本复印</w:t>
            </w:r>
            <w:r>
              <w:rPr>
                <w:rStyle w:val="35"/>
                <w:rFonts w:hint="eastAsia" w:ascii="仿宋" w:hAnsi="仿宋" w:eastAsia="仿宋" w:cs="仿宋"/>
                <w:b/>
                <w:color w:val="auto"/>
                <w:sz w:val="24"/>
                <w:szCs w:val="24"/>
                <w:highlight w:val="none"/>
                <w:lang w:eastAsia="zh-CN"/>
              </w:rPr>
              <w:t>件一份（由代理机构存档备查）</w:t>
            </w:r>
            <w:r>
              <w:rPr>
                <w:rStyle w:val="35"/>
                <w:rFonts w:hint="eastAsia" w:ascii="仿宋" w:hAnsi="仿宋" w:eastAsia="仿宋" w:cs="仿宋"/>
                <w:b/>
                <w:bCs/>
                <w:color w:val="auto"/>
                <w:sz w:val="24"/>
                <w:szCs w:val="24"/>
                <w:highlight w:val="none"/>
                <w:lang w:eastAsia="zh-CN"/>
              </w:rPr>
              <w:t>。</w:t>
            </w:r>
          </w:p>
        </w:tc>
      </w:tr>
      <w:tr w14:paraId="16BC3D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4"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AE5B39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18.3</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53285D9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不予退还保证金的情形</w:t>
            </w:r>
          </w:p>
        </w:tc>
        <w:tc>
          <w:tcPr>
            <w:tcW w:w="6523" w:type="dxa"/>
            <w:tcBorders>
              <w:top w:val="single" w:color="000000" w:sz="6" w:space="0"/>
              <w:left w:val="single" w:color="000000" w:sz="6" w:space="0"/>
              <w:bottom w:val="single" w:color="000000" w:sz="6" w:space="0"/>
              <w:right w:val="single" w:color="000000" w:sz="12" w:space="0"/>
            </w:tcBorders>
          </w:tcPr>
          <w:p w14:paraId="52D597F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有下列情形之一的，保证金不予退还：</w:t>
            </w:r>
          </w:p>
          <w:p w14:paraId="045D003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（1）供应商在提交响应文件截止时间后撤回响应文件的；</w:t>
            </w:r>
          </w:p>
          <w:p w14:paraId="576F589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（2）供应商在响应文件中提供虚假材料的；</w:t>
            </w:r>
          </w:p>
          <w:p w14:paraId="77C839E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（3）除因不可抗力或竞争性磋商文件认可的情形以外，成交供应商不与采购人签订合同的；</w:t>
            </w:r>
          </w:p>
          <w:p w14:paraId="433AF9C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（4）供应商与采购人、其他供应商或者采购代理机构恶意串通的；</w:t>
            </w:r>
          </w:p>
          <w:p w14:paraId="3D4290C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lang w:eastAsia="zh-CN"/>
              </w:rPr>
              <w:t>（5）竞争性磋商文件规定的其他情形。</w:t>
            </w:r>
          </w:p>
        </w:tc>
      </w:tr>
      <w:tr w14:paraId="0BA8A6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7A9ADA2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19.1</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0740A46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响应文件份数</w:t>
            </w:r>
          </w:p>
        </w:tc>
        <w:tc>
          <w:tcPr>
            <w:tcW w:w="6523" w:type="dxa"/>
            <w:tcBorders>
              <w:top w:val="single" w:color="000000" w:sz="6" w:space="0"/>
              <w:left w:val="single" w:color="000000" w:sz="6" w:space="0"/>
              <w:bottom w:val="single" w:color="000000" w:sz="6" w:space="0"/>
              <w:right w:val="single" w:color="000000" w:sz="12" w:space="0"/>
            </w:tcBorders>
          </w:tcPr>
          <w:p w14:paraId="02528B05">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ind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b/>
                <w:bCs/>
                <w:color w:val="auto"/>
                <w:sz w:val="24"/>
                <w:szCs w:val="24"/>
                <w:highlight w:val="none"/>
                <w:lang w:val="en-US" w:eastAsia="zh-CN"/>
              </w:rPr>
              <w:t>加密的电子响应文件壹份(.jmbs格式)在政采云平台指定位置上传；</w:t>
            </w:r>
          </w:p>
        </w:tc>
      </w:tr>
      <w:tr w14:paraId="634FF7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BFF87F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第四章</w:t>
            </w:r>
            <w:r>
              <w:rPr>
                <w:rStyle w:val="35"/>
                <w:rFonts w:hint="eastAsia" w:ascii="仿宋" w:hAnsi="仿宋" w:eastAsia="仿宋" w:cs="仿宋"/>
                <w:color w:val="auto"/>
                <w:sz w:val="24"/>
                <w:szCs w:val="24"/>
                <w:highlight w:val="none"/>
              </w:rPr>
              <w:t>21.1</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0637B136">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响应文件递交截止时间及地点</w:t>
            </w:r>
          </w:p>
        </w:tc>
        <w:tc>
          <w:tcPr>
            <w:tcW w:w="6523" w:type="dxa"/>
            <w:tcBorders>
              <w:top w:val="single" w:color="000000" w:sz="6" w:space="0"/>
              <w:left w:val="single" w:color="000000" w:sz="6" w:space="0"/>
              <w:bottom w:val="single" w:color="000000" w:sz="6" w:space="0"/>
              <w:right w:val="single" w:color="000000" w:sz="12" w:space="0"/>
            </w:tcBorders>
            <w:vAlign w:val="center"/>
          </w:tcPr>
          <w:p w14:paraId="5B5D00B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时间：202</w:t>
            </w:r>
            <w:r>
              <w:rPr>
                <w:rStyle w:val="35"/>
                <w:rFonts w:hint="eastAsia" w:ascii="仿宋" w:hAnsi="仿宋" w:eastAsia="仿宋" w:cs="仿宋"/>
                <w:b/>
                <w:bCs/>
                <w:color w:val="auto"/>
                <w:sz w:val="24"/>
                <w:szCs w:val="24"/>
                <w:highlight w:val="none"/>
                <w:lang w:val="en-US" w:eastAsia="zh-CN"/>
              </w:rPr>
              <w:t>5</w:t>
            </w:r>
            <w:r>
              <w:rPr>
                <w:rStyle w:val="35"/>
                <w:rFonts w:hint="eastAsia" w:ascii="仿宋" w:hAnsi="仿宋" w:eastAsia="仿宋" w:cs="仿宋"/>
                <w:b/>
                <w:bCs/>
                <w:color w:val="auto"/>
                <w:sz w:val="24"/>
                <w:szCs w:val="24"/>
                <w:highlight w:val="none"/>
                <w:lang w:eastAsia="zh-CN"/>
              </w:rPr>
              <w:t>年</w:t>
            </w:r>
            <w:r>
              <w:rPr>
                <w:rStyle w:val="35"/>
                <w:rFonts w:hint="eastAsia" w:ascii="仿宋" w:hAnsi="仿宋" w:eastAsia="仿宋" w:cs="仿宋"/>
                <w:b/>
                <w:bCs/>
                <w:color w:val="auto"/>
                <w:sz w:val="24"/>
                <w:szCs w:val="24"/>
                <w:highlight w:val="none"/>
                <w:lang w:val="en-US" w:eastAsia="zh-CN"/>
              </w:rPr>
              <w:t>07</w:t>
            </w:r>
            <w:r>
              <w:rPr>
                <w:rStyle w:val="35"/>
                <w:rFonts w:hint="eastAsia" w:ascii="仿宋" w:hAnsi="仿宋" w:eastAsia="仿宋" w:cs="仿宋"/>
                <w:b/>
                <w:bCs/>
                <w:color w:val="auto"/>
                <w:sz w:val="24"/>
                <w:szCs w:val="24"/>
                <w:highlight w:val="none"/>
                <w:lang w:eastAsia="zh-CN"/>
              </w:rPr>
              <w:t>月</w:t>
            </w:r>
            <w:r>
              <w:rPr>
                <w:rStyle w:val="35"/>
                <w:rFonts w:hint="eastAsia" w:ascii="仿宋" w:hAnsi="仿宋" w:eastAsia="仿宋" w:cs="仿宋"/>
                <w:b/>
                <w:bCs/>
                <w:color w:val="auto"/>
                <w:sz w:val="24"/>
                <w:szCs w:val="24"/>
                <w:highlight w:val="none"/>
                <w:lang w:val="en-US" w:eastAsia="zh-CN"/>
              </w:rPr>
              <w:t>16</w:t>
            </w:r>
            <w:r>
              <w:rPr>
                <w:rStyle w:val="35"/>
                <w:rFonts w:hint="eastAsia" w:ascii="仿宋" w:hAnsi="仿宋" w:eastAsia="仿宋" w:cs="仿宋"/>
                <w:b/>
                <w:bCs/>
                <w:color w:val="auto"/>
                <w:sz w:val="24"/>
                <w:szCs w:val="24"/>
                <w:highlight w:val="none"/>
                <w:lang w:eastAsia="zh-CN"/>
              </w:rPr>
              <w:t>日</w:t>
            </w:r>
            <w:r>
              <w:rPr>
                <w:rStyle w:val="35"/>
                <w:rFonts w:hint="eastAsia" w:ascii="仿宋" w:hAnsi="仿宋" w:eastAsia="仿宋" w:cs="仿宋"/>
                <w:b/>
                <w:bCs/>
                <w:color w:val="auto"/>
                <w:sz w:val="24"/>
                <w:szCs w:val="24"/>
                <w:highlight w:val="none"/>
                <w:lang w:val="en-US" w:eastAsia="zh-CN"/>
              </w:rPr>
              <w:t>11</w:t>
            </w:r>
            <w:r>
              <w:rPr>
                <w:rStyle w:val="35"/>
                <w:rFonts w:hint="eastAsia" w:ascii="仿宋" w:hAnsi="仿宋" w:eastAsia="仿宋" w:cs="仿宋"/>
                <w:b/>
                <w:bCs/>
                <w:color w:val="auto"/>
                <w:sz w:val="24"/>
                <w:szCs w:val="24"/>
                <w:highlight w:val="none"/>
                <w:lang w:eastAsia="zh-CN"/>
              </w:rPr>
              <w:t>:</w:t>
            </w:r>
            <w:r>
              <w:rPr>
                <w:rStyle w:val="35"/>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lang w:eastAsia="zh-CN"/>
              </w:rPr>
              <w:t>（北京时间）</w:t>
            </w:r>
          </w:p>
          <w:p w14:paraId="56D698C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地点：政采云平台http://www.zcygov.cn </w:t>
            </w:r>
          </w:p>
        </w:tc>
      </w:tr>
      <w:tr w14:paraId="03D1A9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CA5FF3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第五章</w:t>
            </w:r>
            <w:r>
              <w:rPr>
                <w:rStyle w:val="35"/>
                <w:rFonts w:hint="eastAsia" w:ascii="仿宋" w:hAnsi="仿宋" w:eastAsia="仿宋" w:cs="仿宋"/>
                <w:color w:val="auto"/>
                <w:sz w:val="24"/>
                <w:szCs w:val="24"/>
                <w:highlight w:val="none"/>
              </w:rPr>
              <w:t>23</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457AE91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开标时间及地点</w:t>
            </w:r>
          </w:p>
        </w:tc>
        <w:tc>
          <w:tcPr>
            <w:tcW w:w="6523" w:type="dxa"/>
            <w:tcBorders>
              <w:top w:val="single" w:color="000000" w:sz="6" w:space="0"/>
              <w:left w:val="single" w:color="000000" w:sz="6" w:space="0"/>
              <w:bottom w:val="single" w:color="000000" w:sz="6" w:space="0"/>
              <w:right w:val="single" w:color="000000" w:sz="12" w:space="0"/>
            </w:tcBorders>
            <w:vAlign w:val="center"/>
          </w:tcPr>
          <w:p w14:paraId="2C56BE5C">
            <w:pPr>
              <w:pStyle w:val="43"/>
              <w:keepNext w:val="0"/>
              <w:keepLines w:val="0"/>
              <w:pageBreakBefore w:val="0"/>
              <w:widowControl/>
              <w:shd w:val="clear"/>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时间：202</w:t>
            </w:r>
            <w:r>
              <w:rPr>
                <w:rStyle w:val="35"/>
                <w:rFonts w:hint="eastAsia" w:ascii="仿宋" w:hAnsi="仿宋" w:eastAsia="仿宋" w:cs="仿宋"/>
                <w:b/>
                <w:bCs/>
                <w:color w:val="auto"/>
                <w:sz w:val="24"/>
                <w:szCs w:val="24"/>
                <w:highlight w:val="none"/>
                <w:lang w:val="en-US" w:eastAsia="zh-CN"/>
              </w:rPr>
              <w:t>5</w:t>
            </w:r>
            <w:r>
              <w:rPr>
                <w:rStyle w:val="35"/>
                <w:rFonts w:hint="eastAsia" w:ascii="仿宋" w:hAnsi="仿宋" w:eastAsia="仿宋" w:cs="仿宋"/>
                <w:b/>
                <w:bCs/>
                <w:color w:val="auto"/>
                <w:sz w:val="24"/>
                <w:szCs w:val="24"/>
                <w:highlight w:val="none"/>
                <w:lang w:eastAsia="zh-CN"/>
              </w:rPr>
              <w:t>年</w:t>
            </w:r>
            <w:r>
              <w:rPr>
                <w:rStyle w:val="35"/>
                <w:rFonts w:hint="eastAsia" w:ascii="仿宋" w:hAnsi="仿宋" w:eastAsia="仿宋" w:cs="仿宋"/>
                <w:b/>
                <w:bCs/>
                <w:color w:val="auto"/>
                <w:sz w:val="24"/>
                <w:szCs w:val="24"/>
                <w:highlight w:val="none"/>
                <w:lang w:val="en-US" w:eastAsia="zh-CN"/>
              </w:rPr>
              <w:t>07</w:t>
            </w:r>
            <w:r>
              <w:rPr>
                <w:rStyle w:val="35"/>
                <w:rFonts w:hint="eastAsia" w:ascii="仿宋" w:hAnsi="仿宋" w:eastAsia="仿宋" w:cs="仿宋"/>
                <w:b/>
                <w:bCs/>
                <w:color w:val="auto"/>
                <w:sz w:val="24"/>
                <w:szCs w:val="24"/>
                <w:highlight w:val="none"/>
                <w:lang w:eastAsia="zh-CN"/>
              </w:rPr>
              <w:t>月</w:t>
            </w:r>
            <w:r>
              <w:rPr>
                <w:rStyle w:val="35"/>
                <w:rFonts w:hint="eastAsia" w:ascii="仿宋" w:hAnsi="仿宋" w:eastAsia="仿宋" w:cs="仿宋"/>
                <w:b/>
                <w:bCs/>
                <w:color w:val="auto"/>
                <w:sz w:val="24"/>
                <w:szCs w:val="24"/>
                <w:highlight w:val="none"/>
                <w:lang w:val="en-US" w:eastAsia="zh-CN"/>
              </w:rPr>
              <w:t>16</w:t>
            </w:r>
            <w:r>
              <w:rPr>
                <w:rStyle w:val="35"/>
                <w:rFonts w:hint="eastAsia" w:ascii="仿宋" w:hAnsi="仿宋" w:eastAsia="仿宋" w:cs="仿宋"/>
                <w:b/>
                <w:bCs/>
                <w:color w:val="auto"/>
                <w:sz w:val="24"/>
                <w:szCs w:val="24"/>
                <w:highlight w:val="none"/>
                <w:lang w:eastAsia="zh-CN"/>
              </w:rPr>
              <w:t>日</w:t>
            </w:r>
            <w:r>
              <w:rPr>
                <w:rStyle w:val="35"/>
                <w:rFonts w:hint="eastAsia" w:ascii="仿宋" w:hAnsi="仿宋" w:eastAsia="仿宋" w:cs="仿宋"/>
                <w:b/>
                <w:bCs/>
                <w:color w:val="auto"/>
                <w:sz w:val="24"/>
                <w:szCs w:val="24"/>
                <w:highlight w:val="none"/>
                <w:lang w:val="en-US" w:eastAsia="zh-CN"/>
              </w:rPr>
              <w:t>11</w:t>
            </w:r>
            <w:r>
              <w:rPr>
                <w:rStyle w:val="35"/>
                <w:rFonts w:hint="eastAsia" w:ascii="仿宋" w:hAnsi="仿宋" w:eastAsia="仿宋" w:cs="仿宋"/>
                <w:b/>
                <w:bCs/>
                <w:color w:val="auto"/>
                <w:sz w:val="24"/>
                <w:szCs w:val="24"/>
                <w:highlight w:val="none"/>
                <w:lang w:eastAsia="zh-CN"/>
              </w:rPr>
              <w:t>:</w:t>
            </w:r>
            <w:r>
              <w:rPr>
                <w:rStyle w:val="35"/>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lang w:eastAsia="zh-CN"/>
              </w:rPr>
              <w:t>（北京时间）</w:t>
            </w:r>
          </w:p>
          <w:p w14:paraId="39E68E47">
            <w:pPr>
              <w:pStyle w:val="43"/>
              <w:keepNext w:val="0"/>
              <w:keepLines w:val="0"/>
              <w:pageBreakBefore w:val="0"/>
              <w:widowControl/>
              <w:shd w:val="clear"/>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地点：政采云网上不见面开标系统</w:t>
            </w:r>
          </w:p>
        </w:tc>
      </w:tr>
      <w:tr w14:paraId="6432F7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B5E0B2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第五章</w:t>
            </w:r>
            <w:r>
              <w:rPr>
                <w:rStyle w:val="35"/>
                <w:rFonts w:hint="eastAsia" w:ascii="仿宋" w:hAnsi="仿宋" w:eastAsia="仿宋" w:cs="仿宋"/>
                <w:color w:val="auto"/>
                <w:sz w:val="24"/>
                <w:szCs w:val="24"/>
                <w:highlight w:val="none"/>
              </w:rPr>
              <w:t>23</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106EA26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开标</w:t>
            </w:r>
          </w:p>
        </w:tc>
        <w:tc>
          <w:tcPr>
            <w:tcW w:w="6523" w:type="dxa"/>
            <w:tcBorders>
              <w:top w:val="single" w:color="000000" w:sz="6" w:space="0"/>
              <w:left w:val="single" w:color="000000" w:sz="6" w:space="0"/>
              <w:bottom w:val="single" w:color="000000" w:sz="6" w:space="0"/>
              <w:right w:val="single" w:color="000000" w:sz="12" w:space="0"/>
            </w:tcBorders>
            <w:vAlign w:val="center"/>
          </w:tcPr>
          <w:p w14:paraId="0335E87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hint="eastAsia"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454C4ED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hint="eastAsia"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2、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467EB589">
            <w:pPr>
              <w:shd w:val="clear"/>
              <w:spacing w:line="579" w:lineRule="exact"/>
              <w:rPr>
                <w:rStyle w:val="35"/>
                <w:rFonts w:hint="eastAsia" w:ascii="仿宋" w:hAnsi="仿宋" w:eastAsia="仿宋" w:cs="仿宋"/>
                <w:b/>
                <w:bCs/>
                <w:color w:val="auto"/>
                <w:sz w:val="24"/>
                <w:szCs w:val="24"/>
                <w:highlight w:val="none"/>
                <w:lang w:val="en-US" w:eastAsia="zh-CN" w:bidi="ar-SA"/>
              </w:rPr>
            </w:pPr>
            <w:r>
              <w:rPr>
                <w:rStyle w:val="35"/>
                <w:rFonts w:hint="eastAsia" w:ascii="仿宋" w:hAnsi="仿宋" w:eastAsia="仿宋" w:cs="仿宋"/>
                <w:b/>
                <w:bCs/>
                <w:color w:val="auto"/>
                <w:sz w:val="24"/>
                <w:szCs w:val="24"/>
                <w:highlight w:val="none"/>
                <w:lang w:val="en-US" w:eastAsia="zh-CN" w:bidi="ar-SA"/>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1E1612CB">
            <w:pPr>
              <w:shd w:val="clear"/>
              <w:spacing w:line="579" w:lineRule="exact"/>
              <w:rPr>
                <w:rStyle w:val="35"/>
                <w:rFonts w:hint="default" w:ascii="仿宋" w:hAnsi="仿宋" w:eastAsia="仿宋" w:cs="仿宋"/>
                <w:b/>
                <w:bCs/>
                <w:color w:val="auto"/>
                <w:sz w:val="24"/>
                <w:szCs w:val="24"/>
                <w:highlight w:val="none"/>
                <w:lang w:val="en-US" w:eastAsia="zh-CN" w:bidi="ar-SA"/>
              </w:rPr>
            </w:pPr>
            <w:r>
              <w:rPr>
                <w:rStyle w:val="35"/>
                <w:rFonts w:hint="eastAsia" w:ascii="仿宋" w:hAnsi="仿宋" w:eastAsia="仿宋" w:cs="仿宋"/>
                <w:b/>
                <w:bCs/>
                <w:color w:val="auto"/>
                <w:sz w:val="24"/>
                <w:szCs w:val="24"/>
                <w:highlight w:val="none"/>
                <w:lang w:val="en-US" w:eastAsia="zh-CN" w:bidi="ar-SA"/>
              </w:rPr>
              <w:t xml:space="preserve"> 4、参与竞争性谈判和竞争性磋商项目供应商，开标结束后，请及时进入“网上报价”页面（详见操作手册），等待最终报价通知。如未在系统提示的报价时限内报价，则视为上一轮报价为最终报价。</w:t>
            </w:r>
          </w:p>
          <w:p w14:paraId="06ECA98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hint="eastAsia"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val="en-US" w:eastAsia="zh-CN"/>
              </w:rPr>
              <w:t>5、</w:t>
            </w:r>
            <w:r>
              <w:rPr>
                <w:rStyle w:val="35"/>
                <w:rFonts w:hint="eastAsia" w:ascii="仿宋" w:hAnsi="仿宋" w:eastAsia="仿宋" w:cs="仿宋"/>
                <w:b/>
                <w:bCs/>
                <w:color w:val="auto"/>
                <w:sz w:val="24"/>
                <w:szCs w:val="24"/>
                <w:highlight w:val="none"/>
                <w:lang w:eastAsia="zh-CN"/>
              </w:rPr>
              <w:t>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45BF14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4611569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第六章</w:t>
            </w:r>
            <w:r>
              <w:rPr>
                <w:rStyle w:val="35"/>
                <w:rFonts w:hint="eastAsia" w:ascii="仿宋" w:hAnsi="仿宋" w:eastAsia="仿宋" w:cs="仿宋"/>
                <w:color w:val="auto"/>
                <w:sz w:val="24"/>
                <w:szCs w:val="24"/>
                <w:highlight w:val="none"/>
              </w:rPr>
              <w:t>26.2</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3AF666B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rPr>
              <w:t>评标方法</w:t>
            </w:r>
          </w:p>
        </w:tc>
        <w:tc>
          <w:tcPr>
            <w:tcW w:w="6523" w:type="dxa"/>
            <w:tcBorders>
              <w:top w:val="single" w:color="000000" w:sz="6" w:space="0"/>
              <w:left w:val="single" w:color="000000" w:sz="6" w:space="0"/>
              <w:bottom w:val="single" w:color="000000" w:sz="6" w:space="0"/>
              <w:right w:val="single" w:color="000000" w:sz="12" w:space="0"/>
            </w:tcBorders>
            <w:vAlign w:val="center"/>
          </w:tcPr>
          <w:p w14:paraId="4B84587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rPr>
              <w:t>综合评分法</w:t>
            </w:r>
          </w:p>
        </w:tc>
      </w:tr>
      <w:tr w14:paraId="17EC59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CFB31E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第六章</w:t>
            </w:r>
            <w:r>
              <w:rPr>
                <w:rStyle w:val="35"/>
                <w:rFonts w:hint="eastAsia" w:ascii="仿宋" w:hAnsi="仿宋" w:eastAsia="仿宋" w:cs="仿宋"/>
                <w:color w:val="auto"/>
                <w:sz w:val="24"/>
                <w:szCs w:val="24"/>
                <w:highlight w:val="none"/>
              </w:rPr>
              <w:t>30.1</w:t>
            </w:r>
            <w:r>
              <w:rPr>
                <w:rStyle w:val="35"/>
                <w:rFonts w:hint="eastAsia" w:ascii="仿宋" w:hAnsi="仿宋" w:eastAsia="仿宋" w:cs="仿宋"/>
                <w:color w:val="auto"/>
                <w:spacing w:val="-35"/>
                <w:sz w:val="24"/>
                <w:szCs w:val="24"/>
                <w:highlight w:val="none"/>
              </w:rPr>
              <w:t>款</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6B9D680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推荐的中标候选人数量</w:t>
            </w:r>
            <w:r>
              <w:rPr>
                <w:rStyle w:val="35"/>
                <w:rFonts w:hint="eastAsia" w:ascii="仿宋" w:hAnsi="仿宋" w:eastAsia="仿宋" w:cs="仿宋"/>
                <w:color w:val="auto"/>
                <w:sz w:val="24"/>
                <w:szCs w:val="24"/>
                <w:highlight w:val="none"/>
                <w:u w:val="thick"/>
                <w:lang w:eastAsia="zh-CN"/>
              </w:rPr>
              <w:t>3</w:t>
            </w:r>
            <w:r>
              <w:rPr>
                <w:rStyle w:val="35"/>
                <w:rFonts w:hint="eastAsia" w:ascii="仿宋" w:hAnsi="仿宋" w:eastAsia="仿宋" w:cs="仿宋"/>
                <w:color w:val="auto"/>
                <w:sz w:val="24"/>
                <w:szCs w:val="24"/>
                <w:highlight w:val="none"/>
                <w:lang w:eastAsia="zh-CN"/>
              </w:rPr>
              <w:t>人</w:t>
            </w:r>
          </w:p>
        </w:tc>
      </w:tr>
      <w:tr w14:paraId="516115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4"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2F48005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第七章</w:t>
            </w:r>
            <w:r>
              <w:rPr>
                <w:rStyle w:val="35"/>
                <w:rFonts w:hint="eastAsia" w:ascii="仿宋" w:hAnsi="仿宋" w:eastAsia="仿宋" w:cs="仿宋"/>
                <w:color w:val="auto"/>
                <w:sz w:val="24"/>
                <w:szCs w:val="24"/>
                <w:highlight w:val="none"/>
              </w:rPr>
              <w:t>34.1</w:t>
            </w:r>
            <w:r>
              <w:rPr>
                <w:rStyle w:val="35"/>
                <w:rFonts w:hint="eastAsia" w:ascii="仿宋" w:hAnsi="仿宋" w:eastAsia="仿宋" w:cs="仿宋"/>
                <w:color w:val="auto"/>
                <w:spacing w:val="-35"/>
                <w:sz w:val="24"/>
                <w:szCs w:val="24"/>
                <w:highlight w:val="none"/>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14:paraId="20203C60">
            <w:pPr>
              <w:pStyle w:val="43"/>
              <w:keepNext w:val="0"/>
              <w:keepLines w:val="0"/>
              <w:pageBreakBefore w:val="0"/>
              <w:widowControl/>
              <w:shd w:val="clear"/>
              <w:tabs>
                <w:tab w:val="left" w:pos="1320"/>
              </w:tabs>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履约担保</w:t>
            </w:r>
          </w:p>
        </w:tc>
        <w:tc>
          <w:tcPr>
            <w:tcW w:w="6523" w:type="dxa"/>
            <w:tcBorders>
              <w:top w:val="single" w:color="000000" w:sz="6" w:space="0"/>
              <w:left w:val="single" w:color="000000" w:sz="6" w:space="0"/>
              <w:bottom w:val="single" w:color="000000" w:sz="6" w:space="0"/>
              <w:right w:val="single" w:color="000000" w:sz="12" w:space="0"/>
            </w:tcBorders>
            <w:vAlign w:val="center"/>
          </w:tcPr>
          <w:p w14:paraId="46F84DF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8"/>
                <w:sz w:val="24"/>
                <w:szCs w:val="24"/>
                <w:highlight w:val="none"/>
                <w:lang w:eastAsia="zh-CN"/>
              </w:rPr>
              <w:t>合同价款的</w:t>
            </w:r>
            <w:r>
              <w:rPr>
                <w:rStyle w:val="35"/>
                <w:rFonts w:hint="eastAsia" w:ascii="仿宋" w:hAnsi="仿宋" w:eastAsia="仿宋" w:cs="仿宋"/>
                <w:color w:val="auto"/>
                <w:spacing w:val="-6"/>
                <w:sz w:val="24"/>
                <w:szCs w:val="24"/>
                <w:highlight w:val="none"/>
                <w:u w:val="single"/>
                <w:lang w:val="en-US" w:eastAsia="zh-CN"/>
              </w:rPr>
              <w:t>/</w:t>
            </w:r>
            <w:r>
              <w:rPr>
                <w:rStyle w:val="35"/>
                <w:rFonts w:hint="eastAsia" w:ascii="仿宋" w:hAnsi="仿宋" w:eastAsia="仿宋" w:cs="仿宋"/>
                <w:color w:val="auto"/>
                <w:sz w:val="24"/>
                <w:szCs w:val="24"/>
                <w:highlight w:val="none"/>
                <w:lang w:eastAsia="zh-CN"/>
              </w:rPr>
              <w:t>。</w:t>
            </w:r>
          </w:p>
        </w:tc>
      </w:tr>
      <w:tr w14:paraId="3FF029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9A4DA1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3356511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付款方式：</w:t>
            </w:r>
            <w:r>
              <w:rPr>
                <w:rStyle w:val="35"/>
                <w:rFonts w:hint="eastAsia" w:ascii="仿宋" w:hAnsi="仿宋" w:eastAsia="仿宋" w:cs="仿宋"/>
                <w:color w:val="auto"/>
                <w:sz w:val="24"/>
                <w:szCs w:val="24"/>
                <w:highlight w:val="none"/>
                <w:lang w:val="en-US" w:eastAsia="zh-CN"/>
              </w:rPr>
              <w:t>合同签订后支付总项目款的80%，项目完成并通过验收后支付剩余20%</w:t>
            </w:r>
            <w:r>
              <w:rPr>
                <w:rStyle w:val="35"/>
                <w:rFonts w:hint="eastAsia" w:ascii="仿宋" w:hAnsi="仿宋" w:eastAsia="仿宋" w:cs="仿宋"/>
                <w:color w:val="auto"/>
                <w:sz w:val="24"/>
                <w:szCs w:val="24"/>
                <w:highlight w:val="none"/>
                <w:lang w:eastAsia="zh-CN"/>
              </w:rPr>
              <w:t>；付款前，成交供应商须提供合法的当届结算金额全额增值税发票并经采购人财务审核后方可付款（最终付款方式以和采购单位签订合同为准）。</w:t>
            </w:r>
          </w:p>
        </w:tc>
      </w:tr>
      <w:tr w14:paraId="14C7DD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4"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B16161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21330E19">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特别提示1：供应商须自行查询信用记录；</w:t>
            </w:r>
          </w:p>
          <w:p w14:paraId="768F345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查询时间为：自公告发布之日起至响应文件递交截止时间止（该时间段内任一时间</w:t>
            </w:r>
            <w:r>
              <w:rPr>
                <w:rStyle w:val="35"/>
                <w:rFonts w:hint="eastAsia" w:ascii="仿宋" w:hAnsi="仿宋" w:eastAsia="仿宋" w:cs="仿宋"/>
                <w:color w:val="auto"/>
                <w:sz w:val="24"/>
                <w:szCs w:val="24"/>
                <w:highlight w:val="none"/>
                <w:lang w:eastAsia="zh-CN"/>
              </w:rPr>
              <w:t>）</w:t>
            </w:r>
            <w:r>
              <w:rPr>
                <w:rStyle w:val="35"/>
                <w:rFonts w:hint="eastAsia" w:ascii="仿宋" w:hAnsi="仿宋" w:eastAsia="仿宋" w:cs="仿宋"/>
                <w:color w:val="auto"/>
                <w:spacing w:val="-3"/>
                <w:sz w:val="24"/>
                <w:szCs w:val="24"/>
                <w:highlight w:val="none"/>
                <w:lang w:eastAsia="zh-CN"/>
              </w:rPr>
              <w:t>。查询渠道为：“信用中国”网站及“中国政府采购网”。</w:t>
            </w:r>
          </w:p>
          <w:p w14:paraId="79B95D0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对列入失信被执行人、</w:t>
            </w:r>
            <w:r>
              <w:rPr>
                <w:rFonts w:hint="eastAsia" w:ascii="仿宋" w:hAnsi="仿宋" w:eastAsia="仿宋" w:cs="仿宋"/>
                <w:i w:val="0"/>
                <w:iCs w:val="0"/>
                <w:caps w:val="0"/>
                <w:color w:val="auto"/>
                <w:spacing w:val="0"/>
                <w:sz w:val="24"/>
                <w:szCs w:val="24"/>
                <w:highlight w:val="none"/>
              </w:rPr>
              <w:t>重大税收违法</w:t>
            </w:r>
            <w:r>
              <w:rPr>
                <w:rFonts w:hint="eastAsia" w:ascii="仿宋" w:hAnsi="仿宋" w:eastAsia="仿宋" w:cs="仿宋"/>
                <w:i w:val="0"/>
                <w:iCs w:val="0"/>
                <w:caps w:val="0"/>
                <w:color w:val="auto"/>
                <w:spacing w:val="0"/>
                <w:sz w:val="24"/>
                <w:szCs w:val="24"/>
                <w:highlight w:val="none"/>
                <w:lang w:val="en-US" w:eastAsia="zh-CN"/>
              </w:rPr>
              <w:t>失信主体</w:t>
            </w:r>
            <w:r>
              <w:rPr>
                <w:rFonts w:hint="eastAsia" w:ascii="仿宋" w:hAnsi="仿宋" w:eastAsia="仿宋" w:cs="仿宋"/>
                <w:i w:val="0"/>
                <w:iCs w:val="0"/>
                <w:caps w:val="0"/>
                <w:color w:val="auto"/>
                <w:spacing w:val="0"/>
                <w:sz w:val="24"/>
                <w:szCs w:val="24"/>
                <w:highlight w:val="none"/>
              </w:rPr>
              <w:t>、</w:t>
            </w:r>
            <w:r>
              <w:rPr>
                <w:rStyle w:val="35"/>
                <w:rFonts w:hint="eastAsia" w:ascii="仿宋" w:hAnsi="仿宋" w:eastAsia="仿宋" w:cs="仿宋"/>
                <w:color w:val="auto"/>
                <w:sz w:val="24"/>
                <w:szCs w:val="24"/>
                <w:highlight w:val="none"/>
                <w:lang w:eastAsia="zh-CN"/>
              </w:rPr>
              <w:t>政府采购严重违法失信行为记录名单及其他不符合《中华人民共和国政府采购法》第二十二条规定条件的供应商，其响应文件将被拒绝。</w:t>
            </w:r>
          </w:p>
        </w:tc>
      </w:tr>
      <w:tr w14:paraId="596E79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0878FE4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7981023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和服务。</w:t>
            </w:r>
          </w:p>
        </w:tc>
      </w:tr>
      <w:tr w14:paraId="267C9F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643A819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0CC338B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注：如本《供应商须知前附表》相关内容与竞争性磋商文件中的相关内容如有不一致处，则以本《供应商须知前附表》相关内容为准。</w:t>
            </w:r>
          </w:p>
        </w:tc>
      </w:tr>
      <w:tr w14:paraId="6CE57E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7" w:hRule="atLeast"/>
        </w:trPr>
        <w:tc>
          <w:tcPr>
            <w:tcW w:w="1701" w:type="dxa"/>
            <w:tcBorders>
              <w:top w:val="single" w:color="000000" w:sz="6" w:space="0"/>
              <w:left w:val="single" w:color="000000" w:sz="12" w:space="0"/>
              <w:bottom w:val="single" w:color="000000" w:sz="6" w:space="0"/>
              <w:right w:val="single" w:color="000000" w:sz="6" w:space="0"/>
            </w:tcBorders>
            <w:vAlign w:val="center"/>
          </w:tcPr>
          <w:p w14:paraId="138FE43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14:paraId="1EB09CA4">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备注：本项目招标代理服务费、</w:t>
            </w:r>
            <w:r>
              <w:rPr>
                <w:rStyle w:val="35"/>
                <w:rFonts w:hint="eastAsia" w:ascii="仿宋" w:hAnsi="仿宋" w:eastAsia="仿宋" w:cs="仿宋"/>
                <w:color w:val="auto"/>
                <w:sz w:val="24"/>
                <w:szCs w:val="24"/>
                <w:highlight w:val="none"/>
                <w:lang w:val="en-US" w:eastAsia="zh-CN"/>
              </w:rPr>
              <w:t>公证费</w:t>
            </w:r>
            <w:r>
              <w:rPr>
                <w:rStyle w:val="35"/>
                <w:rFonts w:hint="eastAsia" w:ascii="仿宋" w:hAnsi="仿宋" w:eastAsia="仿宋" w:cs="仿宋"/>
                <w:color w:val="auto"/>
                <w:sz w:val="24"/>
                <w:szCs w:val="24"/>
                <w:highlight w:val="none"/>
                <w:lang w:eastAsia="zh-CN"/>
              </w:rPr>
              <w:t>由中标人支付。</w:t>
            </w:r>
          </w:p>
        </w:tc>
      </w:tr>
    </w:tbl>
    <w:p w14:paraId="2EE10E42">
      <w:pPr>
        <w:keepNext w:val="0"/>
        <w:keepLines w:val="0"/>
        <w:pageBreakBefore w:val="0"/>
        <w:widowControl/>
        <w:shd w:val="clear"/>
        <w:kinsoku/>
        <w:wordWrap/>
        <w:overflowPunct/>
        <w:topLinePunct w:val="0"/>
        <w:autoSpaceDE/>
        <w:autoSpaceDN/>
        <w:bidi w:val="0"/>
        <w:adjustRightInd/>
        <w:snapToGrid/>
        <w:spacing w:line="579" w:lineRule="exact"/>
        <w:ind w:firstLine="643" w:firstLineChars="200"/>
        <w:jc w:val="center"/>
        <w:textAlignment w:val="baseline"/>
        <w:outlineLvl w:val="9"/>
        <w:rPr>
          <w:rStyle w:val="35"/>
          <w:rFonts w:hint="eastAsia" w:ascii="仿宋" w:hAnsi="仿宋" w:eastAsia="仿宋" w:cs="仿宋"/>
          <w:b/>
          <w:color w:val="auto"/>
          <w:sz w:val="32"/>
          <w:highlight w:val="none"/>
          <w:lang w:eastAsia="zh-CN"/>
        </w:rPr>
      </w:pPr>
      <w:bookmarkStart w:id="13" w:name="_Toc12436"/>
      <w:bookmarkStart w:id="14" w:name="_Toc7923"/>
      <w:bookmarkStart w:id="15" w:name="_Toc3325"/>
      <w:bookmarkStart w:id="16" w:name="_Toc1619"/>
      <w:bookmarkStart w:id="17" w:name="_Toc28100"/>
    </w:p>
    <w:p w14:paraId="6C665A47">
      <w:pPr>
        <w:pStyle w:val="11"/>
        <w:shd w:val="clear"/>
        <w:rPr>
          <w:rStyle w:val="35"/>
          <w:rFonts w:hint="eastAsia" w:ascii="仿宋" w:hAnsi="仿宋" w:eastAsia="仿宋" w:cs="仿宋"/>
          <w:b/>
          <w:color w:val="auto"/>
          <w:sz w:val="32"/>
          <w:highlight w:val="none"/>
          <w:lang w:eastAsia="zh-CN"/>
        </w:rPr>
      </w:pPr>
    </w:p>
    <w:p w14:paraId="0C18358D">
      <w:pPr>
        <w:rPr>
          <w:rFonts w:hint="eastAsia"/>
          <w:color w:val="auto"/>
          <w:highlight w:val="none"/>
          <w:lang w:eastAsia="zh-CN"/>
        </w:rPr>
      </w:pPr>
    </w:p>
    <w:p w14:paraId="572C604B">
      <w:pPr>
        <w:rPr>
          <w:rFonts w:hint="eastAsia"/>
          <w:color w:val="auto"/>
          <w:highlight w:val="none"/>
          <w:lang w:eastAsia="zh-CN"/>
        </w:rPr>
      </w:pPr>
    </w:p>
    <w:p w14:paraId="2E7DFD7C">
      <w:pPr>
        <w:shd w:val="clear"/>
        <w:spacing w:line="579" w:lineRule="exact"/>
        <w:ind w:firstLine="643" w:firstLineChars="200"/>
        <w:jc w:val="center"/>
        <w:outlineLvl w:val="1"/>
        <w:rPr>
          <w:rStyle w:val="35"/>
          <w:rFonts w:ascii="仿宋" w:hAnsi="仿宋" w:eastAsia="仿宋" w:cs="仿宋"/>
          <w:b/>
          <w:color w:val="auto"/>
          <w:sz w:val="32"/>
          <w:highlight w:val="none"/>
          <w:lang w:eastAsia="zh-CN"/>
        </w:rPr>
      </w:pPr>
      <w:bookmarkStart w:id="18" w:name="_Toc9474"/>
      <w:r>
        <w:rPr>
          <w:rStyle w:val="35"/>
          <w:rFonts w:hint="eastAsia" w:ascii="仿宋" w:hAnsi="仿宋" w:eastAsia="仿宋" w:cs="仿宋"/>
          <w:b/>
          <w:color w:val="auto"/>
          <w:sz w:val="32"/>
          <w:highlight w:val="none"/>
          <w:lang w:eastAsia="zh-CN"/>
        </w:rPr>
        <w:t>第一章供应商须知</w:t>
      </w:r>
      <w:bookmarkEnd w:id="13"/>
      <w:bookmarkEnd w:id="14"/>
      <w:bookmarkEnd w:id="15"/>
      <w:bookmarkEnd w:id="16"/>
      <w:bookmarkEnd w:id="17"/>
      <w:bookmarkEnd w:id="18"/>
    </w:p>
    <w:p w14:paraId="5A9FBE28">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1.项目概况</w:t>
      </w:r>
    </w:p>
    <w:p w14:paraId="6F1D6498">
      <w:pPr>
        <w:shd w:val="clear"/>
        <w:spacing w:line="579" w:lineRule="exact"/>
        <w:ind w:firstLine="480" w:firstLineChars="200"/>
        <w:rPr>
          <w:rStyle w:val="35"/>
          <w:rFonts w:ascii="仿宋" w:hAnsi="仿宋" w:eastAsia="仿宋" w:cs="仿宋"/>
          <w:b/>
          <w:color w:val="auto"/>
          <w:sz w:val="32"/>
          <w:highlight w:val="none"/>
          <w:lang w:eastAsia="zh-CN"/>
        </w:rPr>
      </w:pPr>
      <w:r>
        <w:rPr>
          <w:rStyle w:val="35"/>
          <w:rFonts w:hint="eastAsia" w:ascii="仿宋" w:hAnsi="仿宋" w:eastAsia="仿宋" w:cs="仿宋"/>
          <w:color w:val="auto"/>
          <w:sz w:val="24"/>
          <w:szCs w:val="24"/>
          <w:highlight w:val="none"/>
          <w:lang w:eastAsia="zh-CN"/>
        </w:rPr>
        <w:t>1.1项目名称：详见供应商须知前附表；</w:t>
      </w:r>
    </w:p>
    <w:p w14:paraId="728E8AEA">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1.2招标方式：详见供应商须知前附表；</w:t>
      </w:r>
    </w:p>
    <w:p w14:paraId="429752A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1.3采购内容：详见供应商须知前附表；</w:t>
      </w:r>
    </w:p>
    <w:p w14:paraId="6F379A4B">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1.4资金来源：详见供应商须知前附表；</w:t>
      </w:r>
    </w:p>
    <w:p w14:paraId="4C9C2C2E">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w:t>
      </w:r>
      <w:r>
        <w:rPr>
          <w:rStyle w:val="35"/>
          <w:rFonts w:hint="eastAsia" w:ascii="仿宋" w:hAnsi="仿宋" w:eastAsia="仿宋" w:cs="仿宋"/>
          <w:color w:val="auto"/>
          <w:sz w:val="24"/>
          <w:szCs w:val="24"/>
          <w:highlight w:val="none"/>
          <w:lang w:val="en-US" w:eastAsia="zh-CN"/>
        </w:rPr>
        <w:t>服务</w:t>
      </w:r>
      <w:r>
        <w:rPr>
          <w:rStyle w:val="35"/>
          <w:rFonts w:hint="eastAsia" w:ascii="仿宋" w:hAnsi="仿宋" w:eastAsia="仿宋" w:cs="仿宋"/>
          <w:color w:val="auto"/>
          <w:sz w:val="24"/>
          <w:szCs w:val="24"/>
          <w:highlight w:val="none"/>
          <w:lang w:eastAsia="zh-CN"/>
        </w:rPr>
        <w:t>地点：详见供应商须知前附表；</w:t>
      </w:r>
    </w:p>
    <w:p w14:paraId="5F3A66E1">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1.6合同履行期限：详见供应商须知前附表；</w:t>
      </w:r>
    </w:p>
    <w:p w14:paraId="0AF8F3A8">
      <w:pPr>
        <w:shd w:val="clear"/>
        <w:spacing w:line="579" w:lineRule="exact"/>
        <w:ind w:firstLine="45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b/>
          <w:color w:val="auto"/>
          <w:spacing w:val="-8"/>
          <w:sz w:val="24"/>
          <w:szCs w:val="24"/>
          <w:highlight w:val="none"/>
          <w:lang w:eastAsia="zh-CN"/>
        </w:rPr>
        <w:t>2</w:t>
      </w:r>
      <w:r>
        <w:rPr>
          <w:rStyle w:val="35"/>
          <w:rFonts w:hint="eastAsia" w:ascii="仿宋" w:hAnsi="仿宋" w:eastAsia="仿宋" w:cs="仿宋"/>
          <w:b/>
          <w:color w:val="auto"/>
          <w:spacing w:val="-3"/>
          <w:sz w:val="24"/>
          <w:szCs w:val="24"/>
          <w:highlight w:val="none"/>
          <w:lang w:eastAsia="zh-CN"/>
        </w:rPr>
        <w:t>.定义</w:t>
      </w:r>
    </w:p>
    <w:p w14:paraId="3F03B2F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下述术语和缩写的定义为：</w:t>
      </w:r>
    </w:p>
    <w:p w14:paraId="510A1B33">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2.1“招标人”“采购人”系指依法进行政府采购的国家机关、事业单位、团体组织。本次政府采购的采购人名称、地址、联系人、电话详见供应商须知前附表。</w:t>
      </w:r>
    </w:p>
    <w:p w14:paraId="70FBDC4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2.2“采购代理机构”“采购代理机构”系指接受采购人委托，代理采购项目的采购代理机构。本次政府采购的采购代理机构名称、地址、联系人、电话详见供应商须知前附表。</w:t>
      </w:r>
    </w:p>
    <w:p w14:paraId="2970E9D4">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2.3“供应商”系指向采购人提供货物、工程或者服务的法人、其他组织或者自然人。</w:t>
      </w:r>
    </w:p>
    <w:p w14:paraId="149275E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2.4“货物”系指各种形态和种类的物品，包括原材料、设备、产品等。</w:t>
      </w:r>
    </w:p>
    <w:p w14:paraId="380EC2AC">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2.5“工程”系指建设工程，包括建筑物和构筑物的新建、改建、扩建，装修、拆除，修缮等。</w:t>
      </w:r>
    </w:p>
    <w:p w14:paraId="2A48C6BF">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2.6“服务”系指除货物和工程以外的其他政府采购对象。</w:t>
      </w:r>
    </w:p>
    <w:p w14:paraId="1C7FC36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2.8偏离</w:t>
      </w:r>
    </w:p>
    <w:p w14:paraId="1FBF9F64">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2.8.1本条所称偏离为响应文件对竞争性磋商文件的偏离，即不满足或不响应竞争性磋商文件的要求。偏离分为对竞争性磋商文件的实质性要求条款偏离和对竞争性磋商文件的一般商务和技术条款偏离。</w:t>
      </w:r>
    </w:p>
    <w:p w14:paraId="517677B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2.8.2除法律、法规和规章规定外。竞争性磋商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供应商注意，并认真查看竞争性磋商文件中的每一个条款及要求，因误读竞争性磋商文件而造成的后果，采购人概不负责。</w:t>
      </w:r>
    </w:p>
    <w:p w14:paraId="3DB9CCD7">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2.9特别说明</w:t>
      </w:r>
    </w:p>
    <w:p w14:paraId="05DE0E3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2.9.1供应商所使用的资格、信誉、荣誉、业绩与企业认证等必须为供应商所拥有。</w:t>
      </w:r>
    </w:p>
    <w:p w14:paraId="4DF94B20">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2.9.2供应商应仔细阅读竞争性磋商文件中的所有内容，按照竞争性磋商文件的要求编制、提交响应文件，并对其所提供的全部资料的真实性承担法律责任。</w:t>
      </w:r>
    </w:p>
    <w:p w14:paraId="07B5C55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2.9.3竞争性磋商文件所提供的资料，是采购人现有的能被供应商利用的资料，采购人对供应商做出的任何推论、理解和结论均不负任何责任。</w:t>
      </w:r>
    </w:p>
    <w:p w14:paraId="6F625D9B">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3.供应商资格</w:t>
      </w:r>
    </w:p>
    <w:p w14:paraId="29FEA8CE">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3.1供应商资格：详见供应商须知前附表。</w:t>
      </w:r>
    </w:p>
    <w:p w14:paraId="72ECC64C">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3.2供应商应遵守中华人民共和国法律、法规和行政规章。</w:t>
      </w:r>
    </w:p>
    <w:p w14:paraId="0C8DF7AF">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3.3供应商不得存在下列情形之一：</w:t>
      </w:r>
    </w:p>
    <w:p w14:paraId="3862E7A4">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（1）与采购人、代理机构存在利害关系。</w:t>
      </w:r>
    </w:p>
    <w:p w14:paraId="61E551A7">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（2）单位负责人为同一人或者存在控股、管理关系的不同供应商，不得参加同一合同项下的政府采购活动。</w:t>
      </w:r>
    </w:p>
    <w:p w14:paraId="6EA7EF31">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4.投标费用</w:t>
      </w:r>
    </w:p>
    <w:p w14:paraId="7834B10D">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4.1无论投标过程中的做法和结果如何，供应商将自行承担所有与参加投标有关的费用。</w:t>
      </w:r>
    </w:p>
    <w:p w14:paraId="0F3890D9">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5.联合体形式</w:t>
      </w:r>
    </w:p>
    <w:p w14:paraId="08854F55">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5.1除供应商须知前附表中另有规定，本次招标不接受为联合体形式的供应商。</w:t>
      </w:r>
    </w:p>
    <w:p w14:paraId="00A27053">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6．现场勘察</w:t>
      </w:r>
    </w:p>
    <w:p w14:paraId="35CBF094">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6.1供应商应按供应商须知前附表中规定对采购项目现场和周围环境进行考察。</w:t>
      </w:r>
    </w:p>
    <w:p w14:paraId="3FE9943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6.2勘察现场的费用由供应商自己承担，勘察期间所发生的人身伤害及财产损失由供应商自己负责。</w:t>
      </w:r>
    </w:p>
    <w:p w14:paraId="2E0D07FF">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6.3采购人不对供应商据此而做出的推论、理解和结论负责。一旦成交，供应商不得以任何借口，而提出额外补偿，或延长合同期限的要求。</w:t>
      </w:r>
    </w:p>
    <w:p w14:paraId="3B10C8CF">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7.采购进口产品</w:t>
      </w:r>
    </w:p>
    <w:p w14:paraId="2287229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7.1除供应商须知前附表另有规定外，本项目不接受进口产品参加采购活动。</w:t>
      </w:r>
    </w:p>
    <w:p w14:paraId="20D4D45A">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8.政府采购政策的支持</w:t>
      </w:r>
    </w:p>
    <w:p w14:paraId="4ACCDD2E">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8.1政府采购有关的货物采购执行环境标志产品政府优先采购政策。在采购过程中执行最新一期的环境标志产品政府采购清单。优先采购政策规定可在：中国政府采购网（http://www.ccgp.gov.cn/）查询。</w:t>
      </w:r>
    </w:p>
    <w:p w14:paraId="169062B1">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8.2政府采购有关的货物采购应当执行节能产品政府强制采购和优先采购政策。在采购过程中执行最新一期的节能产品政府采购清单。优先采购政策规定可在：中国政府采购网（http://www.ccgp.gov.cn/）查询。</w:t>
      </w:r>
    </w:p>
    <w:p w14:paraId="46B4A9AA">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8.3供应商符合支持中小企业发展优惠政策的，报价可以优惠扣除。本项目价格扣除比例见</w:t>
      </w:r>
      <w:r>
        <w:rPr>
          <w:rStyle w:val="35"/>
          <w:rFonts w:hint="eastAsia" w:ascii="仿宋" w:hAnsi="仿宋" w:eastAsia="仿宋" w:cs="仿宋"/>
          <w:b/>
          <w:bCs/>
          <w:color w:val="auto"/>
          <w:sz w:val="24"/>
          <w:szCs w:val="24"/>
          <w:highlight w:val="none"/>
          <w:lang w:val="en-US" w:eastAsia="zh-CN"/>
        </w:rPr>
        <w:t>供应商</w:t>
      </w:r>
      <w:r>
        <w:rPr>
          <w:rStyle w:val="35"/>
          <w:rFonts w:hint="eastAsia" w:ascii="仿宋" w:hAnsi="仿宋" w:eastAsia="仿宋" w:cs="仿宋"/>
          <w:b/>
          <w:bCs/>
          <w:color w:val="auto"/>
          <w:sz w:val="24"/>
          <w:szCs w:val="24"/>
          <w:highlight w:val="none"/>
          <w:lang w:eastAsia="zh-CN"/>
        </w:rPr>
        <w:t>须知前附表</w:t>
      </w:r>
      <w:r>
        <w:rPr>
          <w:rStyle w:val="35"/>
          <w:rFonts w:hint="eastAsia" w:ascii="仿宋" w:hAnsi="仿宋" w:eastAsia="仿宋" w:cs="仿宋"/>
          <w:color w:val="auto"/>
          <w:sz w:val="24"/>
          <w:szCs w:val="24"/>
          <w:highlight w:val="none"/>
          <w:lang w:eastAsia="zh-CN"/>
        </w:rPr>
        <w:t>。</w:t>
      </w:r>
    </w:p>
    <w:p w14:paraId="65473CFB">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8.4供应商在签署相关承诺、提供相关信息前，应当认真阅读财政部门的相关政策规定。符合本章第8.1-8.3款规定的，应当提供相关的证明材料。</w:t>
      </w:r>
    </w:p>
    <w:p w14:paraId="3C10CD35">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w:t>
      </w:r>
      <w:r>
        <w:rPr>
          <w:rStyle w:val="35"/>
          <w:rFonts w:hint="eastAsia" w:ascii="仿宋" w:hAnsi="仿宋" w:eastAsia="仿宋" w:cs="仿宋"/>
          <w:color w:val="auto"/>
          <w:sz w:val="24"/>
          <w:szCs w:val="24"/>
          <w:highlight w:val="none"/>
          <w:lang w:val="en-US" w:eastAsia="zh-CN"/>
        </w:rPr>
        <w:t>5</w:t>
      </w:r>
      <w:r>
        <w:rPr>
          <w:rStyle w:val="35"/>
          <w:rFonts w:hint="eastAsia" w:ascii="仿宋" w:hAnsi="仿宋" w:eastAsia="仿宋" w:cs="仿宋"/>
          <w:color w:val="auto"/>
          <w:sz w:val="24"/>
          <w:szCs w:val="24"/>
          <w:highlight w:val="none"/>
          <w:lang w:eastAsia="zh-CN"/>
        </w:rPr>
        <w:t>供应商在签署相关承诺、提供相关信息前，应当认真阅读财政部门的相关政策规定。符合本章第8.1-8.3款规定的，应当提供相关的证明材料。</w:t>
      </w:r>
    </w:p>
    <w:p w14:paraId="26D3F492">
      <w:pPr>
        <w:shd w:val="clear"/>
        <w:spacing w:before="20" w:line="579" w:lineRule="exact"/>
        <w:ind w:left="1933" w:right="1780"/>
        <w:jc w:val="center"/>
        <w:outlineLvl w:val="1"/>
        <w:rPr>
          <w:rStyle w:val="35"/>
          <w:rFonts w:ascii="仿宋" w:hAnsi="仿宋" w:eastAsia="仿宋" w:cs="仿宋"/>
          <w:b/>
          <w:color w:val="auto"/>
          <w:sz w:val="32"/>
          <w:highlight w:val="none"/>
          <w:lang w:eastAsia="zh-CN"/>
        </w:rPr>
      </w:pPr>
      <w:bookmarkStart w:id="19" w:name="_Toc12869"/>
      <w:bookmarkStart w:id="20" w:name="_Toc18208"/>
      <w:bookmarkStart w:id="21" w:name="_Toc14484"/>
      <w:bookmarkStart w:id="22" w:name="_Toc29726"/>
      <w:bookmarkStart w:id="23" w:name="_Toc29622"/>
      <w:bookmarkStart w:id="24" w:name="_Toc7015"/>
      <w:r>
        <w:rPr>
          <w:rStyle w:val="35"/>
          <w:rFonts w:hint="eastAsia" w:ascii="仿宋" w:hAnsi="仿宋" w:eastAsia="仿宋" w:cs="仿宋"/>
          <w:b/>
          <w:color w:val="auto"/>
          <w:sz w:val="32"/>
          <w:highlight w:val="none"/>
          <w:lang w:eastAsia="zh-CN"/>
        </w:rPr>
        <w:t>第二章 竞争性磋商文件的编写</w:t>
      </w:r>
      <w:bookmarkEnd w:id="19"/>
      <w:bookmarkEnd w:id="20"/>
      <w:bookmarkEnd w:id="21"/>
      <w:bookmarkEnd w:id="22"/>
      <w:bookmarkEnd w:id="23"/>
      <w:bookmarkEnd w:id="24"/>
    </w:p>
    <w:p w14:paraId="08DA26A3">
      <w:pPr>
        <w:pStyle w:val="45"/>
        <w:shd w:val="clear"/>
        <w:spacing w:before="111"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9.竞争性磋商文件的构成</w:t>
      </w:r>
    </w:p>
    <w:p w14:paraId="45A5AAE4">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9.1竞争性磋商文件由下述部分组成：</w:t>
      </w:r>
    </w:p>
    <w:p w14:paraId="40FA7BB0">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第一部分竞争性磋商公告</w:t>
      </w:r>
    </w:p>
    <w:p w14:paraId="419EA8D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第二部分供应商须知</w:t>
      </w:r>
    </w:p>
    <w:p w14:paraId="2D87CB0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第三部分采购内容及参数要求</w:t>
      </w:r>
    </w:p>
    <w:p w14:paraId="04A1432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第四部分合同条款</w:t>
      </w:r>
    </w:p>
    <w:p w14:paraId="16A62B80">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第五部分附件</w:t>
      </w:r>
    </w:p>
    <w:p w14:paraId="575E5BF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9.2竞争性磋商文件以中文书写。</w:t>
      </w:r>
    </w:p>
    <w:p w14:paraId="0D33B58C">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9.3供应商被视为熟悉本招标项目的各种情况以及与履行合同有关的一切其他情况。</w:t>
      </w:r>
    </w:p>
    <w:p w14:paraId="0F63935F">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9.4供应商获取竞争性磋商文件后，应仔细检查竞争性磋商文件的所有内容，如有残缺应在领到竞争性磋商文件后1日内向采购人提出，否则，由此引起的投标损失自负；供应商同时应认真审阅竞争性磋商文件中所有的事项、格式、条款和规范要求等，如果供应商编制的响应文件，没有按照竞争性磋商文件要求提交全部资料或者没有对竞争性磋商文件做出实质性响应，其风险应由供应商自行承担，并根据有关条款规定，其投标有可能被拒绝。</w:t>
      </w:r>
    </w:p>
    <w:p w14:paraId="27662DB8">
      <w:pPr>
        <w:pStyle w:val="45"/>
        <w:shd w:val="clear"/>
        <w:spacing w:before="111"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10.竞争性磋商文件的澄清、标前会议</w:t>
      </w:r>
    </w:p>
    <w:p w14:paraId="4B504AA4">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10.1供应商对竞争性磋商文件如有疑点，可在投标截止期5日前按竞争性磋商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14:paraId="0C7390BB">
      <w:pPr>
        <w:pStyle w:val="45"/>
        <w:shd w:val="clear"/>
        <w:spacing w:before="111"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11.竞争性磋商文件的修改或补充</w:t>
      </w:r>
    </w:p>
    <w:p w14:paraId="6B2E2BE8">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11.1在投标截止期5日前的任何时间，采购人可主动或依据供应商要求澄清的问题而修改或补充竞争性磋商文件，并以书面形式通知所有供应商，供应商在收到该通知后应立即以电报或传真的形式予以确认。</w:t>
      </w:r>
    </w:p>
    <w:p w14:paraId="64EFDE6C">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11.2为使供应商在准备投标时有适当的时间考虑响应文件的修改，采购人有权决定推迟投标截止日期和开标日期，并将此变更通知所有的供应商。</w:t>
      </w:r>
    </w:p>
    <w:p w14:paraId="6228C21F">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11.3竞争性磋商文件的修改书和补充文件将构成竞争性磋商文件的一部分，并且比竞争性磋商文件对供应商具有优先的约束力。</w:t>
      </w:r>
    </w:p>
    <w:p w14:paraId="52B7F2A7">
      <w:pPr>
        <w:pStyle w:val="46"/>
        <w:shd w:val="clear"/>
        <w:spacing w:line="579" w:lineRule="exact"/>
        <w:ind w:left="52" w:firstLine="482" w:firstLineChars="200"/>
        <w:rPr>
          <w:rStyle w:val="35"/>
          <w:rFonts w:ascii="仿宋" w:hAnsi="仿宋" w:eastAsia="仿宋" w:cs="仿宋"/>
          <w:color w:val="auto"/>
          <w:sz w:val="24"/>
          <w:szCs w:val="24"/>
          <w:highlight w:val="none"/>
          <w:lang w:eastAsia="zh-CN"/>
        </w:rPr>
      </w:pPr>
    </w:p>
    <w:p w14:paraId="29088F12">
      <w:pPr>
        <w:shd w:val="clear"/>
        <w:spacing w:before="21" w:line="579" w:lineRule="exact"/>
        <w:ind w:left="1043" w:right="992"/>
        <w:jc w:val="center"/>
        <w:outlineLvl w:val="1"/>
        <w:rPr>
          <w:rStyle w:val="35"/>
          <w:rFonts w:ascii="仿宋" w:hAnsi="仿宋" w:eastAsia="仿宋" w:cs="仿宋"/>
          <w:b/>
          <w:color w:val="auto"/>
          <w:sz w:val="32"/>
          <w:highlight w:val="none"/>
          <w:lang w:eastAsia="zh-CN"/>
        </w:rPr>
      </w:pPr>
      <w:bookmarkStart w:id="25" w:name="_Toc25160"/>
      <w:bookmarkStart w:id="26" w:name="_Toc9127"/>
      <w:bookmarkStart w:id="27" w:name="_Toc11037"/>
      <w:bookmarkStart w:id="28" w:name="_Toc29486"/>
      <w:bookmarkStart w:id="29" w:name="_Toc7496"/>
      <w:bookmarkStart w:id="30" w:name="_Toc16274"/>
      <w:r>
        <w:rPr>
          <w:rStyle w:val="35"/>
          <w:rFonts w:hint="eastAsia" w:ascii="仿宋" w:hAnsi="仿宋" w:eastAsia="仿宋" w:cs="仿宋"/>
          <w:b/>
          <w:color w:val="auto"/>
          <w:sz w:val="32"/>
          <w:highlight w:val="none"/>
          <w:lang w:eastAsia="zh-CN"/>
        </w:rPr>
        <w:t>第三章 响应文件的编写</w:t>
      </w:r>
      <w:bookmarkEnd w:id="25"/>
      <w:bookmarkEnd w:id="26"/>
      <w:bookmarkEnd w:id="27"/>
      <w:bookmarkEnd w:id="28"/>
      <w:bookmarkEnd w:id="29"/>
      <w:bookmarkEnd w:id="30"/>
    </w:p>
    <w:p w14:paraId="38941999">
      <w:pPr>
        <w:pStyle w:val="45"/>
        <w:shd w:val="clear"/>
        <w:snapToGrid w:val="0"/>
        <w:spacing w:before="114"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12.要求</w:t>
      </w:r>
    </w:p>
    <w:p w14:paraId="61D628B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12.1供应商应详细阅读竞争性磋商文件中的条款、格式、表示、条件和规范等所有内容，按竞争性磋商文件的要求份数提供响应文件，并保证所提供的全部材料的真实性，以使其投标对竞争性磋商文件做出实质性响应。否则，其投标可能被拒绝。</w:t>
      </w:r>
    </w:p>
    <w:p w14:paraId="60CCF673">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13.响应文件语言和度量单位</w:t>
      </w:r>
    </w:p>
    <w:p w14:paraId="530109A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13.1响应文件及供应商和采购人就招标、投标交换的文件和往来信件，须以中文书写。供应商可提交其他语言的资料，但应附中文注释，在有差异时，以中文为主。</w:t>
      </w:r>
    </w:p>
    <w:p w14:paraId="61A5CE5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13.2除在竞争性磋商文件的技术规格中另有规定外，计量单位应使用中华人民共和国法定计量单位（国际单位制和国家选定的其它计量单位）。</w:t>
      </w:r>
    </w:p>
    <w:p w14:paraId="5B058177">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14.响应文件的组成</w:t>
      </w:r>
    </w:p>
    <w:p w14:paraId="451FDBB3">
      <w:pPr>
        <w:shd w:val="clear"/>
        <w:snapToGrid w:val="0"/>
        <w:spacing w:line="579" w:lineRule="exact"/>
        <w:ind w:firstLine="480" w:firstLineChars="200"/>
        <w:rPr>
          <w:rFonts w:hint="default" w:ascii="仿宋" w:hAnsi="仿宋" w:eastAsia="仿宋" w:cs="仿宋"/>
          <w:b/>
          <w:iCs/>
          <w:color w:val="auto"/>
          <w:sz w:val="24"/>
          <w:highlight w:val="none"/>
          <w:u w:val="single"/>
          <w:lang w:val="en-US" w:eastAsia="zh-CN"/>
        </w:rPr>
      </w:pPr>
      <w:r>
        <w:rPr>
          <w:rStyle w:val="35"/>
          <w:rFonts w:hint="eastAsia" w:ascii="仿宋" w:hAnsi="仿宋" w:eastAsia="仿宋" w:cs="仿宋"/>
          <w:color w:val="auto"/>
          <w:sz w:val="24"/>
          <w:szCs w:val="24"/>
          <w:highlight w:val="none"/>
          <w:lang w:eastAsia="zh-CN"/>
        </w:rPr>
        <w:t>14.1</w:t>
      </w:r>
      <w:r>
        <w:rPr>
          <w:rStyle w:val="35"/>
          <w:rFonts w:hint="eastAsia" w:ascii="仿宋" w:hAnsi="仿宋" w:eastAsia="仿宋" w:cs="仿宋"/>
          <w:b/>
          <w:bCs/>
          <w:color w:val="auto"/>
          <w:sz w:val="24"/>
          <w:szCs w:val="24"/>
          <w:highlight w:val="none"/>
          <w:lang w:eastAsia="zh-CN"/>
        </w:rPr>
        <w:t>响应文件</w:t>
      </w:r>
      <w:r>
        <w:rPr>
          <w:rStyle w:val="35"/>
          <w:rFonts w:hint="eastAsia" w:ascii="仿宋" w:hAnsi="仿宋" w:eastAsia="仿宋" w:cs="仿宋"/>
          <w:b/>
          <w:bCs/>
          <w:color w:val="auto"/>
          <w:sz w:val="24"/>
          <w:szCs w:val="24"/>
          <w:highlight w:val="none"/>
          <w:lang w:val="en-US" w:eastAsia="zh-CN"/>
        </w:rPr>
        <w:t>组成内容详见第五部分附件</w:t>
      </w:r>
    </w:p>
    <w:p w14:paraId="13A67DD4">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14.2所有资格证明文件，正本中的资格证明文件（如业绩、资质证书等）均须为加盖供应商公章的复印件或扫描件，以备开标时与原件核对（有特别说明的除外），副本为正本的复印件；开标结束后，可根据供应商的需要退回原件（针对本招标项目的特定授权原件不予退还）。</w:t>
      </w:r>
    </w:p>
    <w:p w14:paraId="1C4CBBE0">
      <w:pPr>
        <w:shd w:val="clear"/>
        <w:snapToGrid w:val="0"/>
        <w:spacing w:line="579" w:lineRule="exact"/>
        <w:ind w:firstLine="482" w:firstLineChars="200"/>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14.3</w:t>
      </w:r>
      <w:r>
        <w:rPr>
          <w:rStyle w:val="35"/>
          <w:rFonts w:hint="eastAsia" w:ascii="仿宋" w:hAnsi="仿宋" w:eastAsia="仿宋" w:cs="仿宋"/>
          <w:b/>
          <w:bCs/>
          <w:color w:val="auto"/>
          <w:sz w:val="24"/>
          <w:szCs w:val="24"/>
          <w:highlight w:val="none"/>
          <w:lang w:val="en-US" w:eastAsia="zh-CN"/>
        </w:rPr>
        <w:t>评审前，采购人或采购代理机构将根据供应商提供的资格证明文件对其进行资格审查。</w:t>
      </w:r>
      <w:r>
        <w:rPr>
          <w:rStyle w:val="35"/>
          <w:rFonts w:hint="eastAsia" w:ascii="仿宋" w:hAnsi="仿宋" w:eastAsia="仿宋" w:cs="仿宋"/>
          <w:b/>
          <w:bCs/>
          <w:color w:val="auto"/>
          <w:sz w:val="24"/>
          <w:szCs w:val="24"/>
          <w:highlight w:val="none"/>
          <w:lang w:eastAsia="zh-CN"/>
        </w:rPr>
        <w:t>所有资格证明文件必须满足竞争性磋商文件的要求，否则将导致投标被否决。</w:t>
      </w:r>
    </w:p>
    <w:p w14:paraId="2EC8CF9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14.4供应商可按竞争性磋商文件的范本格式中提供的响应文件格式填写响应文件；如提供的范本格式有不完善之处，请自行补充完善。</w:t>
      </w:r>
    </w:p>
    <w:p w14:paraId="1610112C">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15.符合竞争性磋商文件规定的证明文件</w:t>
      </w:r>
    </w:p>
    <w:p w14:paraId="5124052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15.1供应商提供的资格证明材料，须满足供应商须知前附表的要求。</w:t>
      </w:r>
    </w:p>
    <w:p w14:paraId="09FD34C6">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15.2供应商为联合体形式的，则应提交联合体各方的资格文件，否则将视为未实质性响应条款而被拒绝。</w:t>
      </w:r>
    </w:p>
    <w:p w14:paraId="1347C18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15.3供应商确保所提供货物（或服务），其质量满足中华人民共和国国家相关标准，使用的原辅材料要符合质量要求，拟投入的设备完好率足以胜任本项目的工作。</w:t>
      </w:r>
    </w:p>
    <w:p w14:paraId="78644C3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15.4供应商须提交证明拟供货物（或服务）符合竞争性磋商文件规定的技术响应文件，作为响应文件的一部分。</w:t>
      </w:r>
    </w:p>
    <w:p w14:paraId="6DBFEB84">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15.5提供的货物（或服务）符合规定的相应技术标准、环保及节能标准等。</w:t>
      </w:r>
    </w:p>
    <w:p w14:paraId="730C21C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15.6对照采购人的采购内容及技术要求，逐条确定，指出所提供的货物（或服务）是否实质性响应竞争性磋商文件的要求，如有偏离，须填报偏离表（见附件）。</w:t>
      </w:r>
    </w:p>
    <w:p w14:paraId="403BF4E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15.7供应商应当提交符合竞争性磋商文件规定的业绩证明文件，该证明文件作为响应文件的一部分，业绩证明文件的要求详见供应商须知前附表没有按要求提供资料或提供资料不完全，其风险由供应商自行承担。</w:t>
      </w:r>
    </w:p>
    <w:p w14:paraId="65FABA26">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16.投标报价</w:t>
      </w:r>
    </w:p>
    <w:p w14:paraId="501F3916">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16.1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7D8E33A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16.2其报价须保证在投标有效期及交付期内固定不变。采购人不接受有任何选择性报价。</w:t>
      </w:r>
    </w:p>
    <w:p w14:paraId="3CEDB49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16.3为了防止本次招标的投标报价过高，超出采购人为本次采购项目的资金支付能力，采购人依据主管部门的批复为本次招标项目的设定了最高投标限价（即采购预算），如果供应商的投标报价高于本项目的最高投标限价，其响应文件将被拒绝；如果所有供应商的投标报价均超出最高投标限价，采购人有权重新组织招标。</w:t>
      </w:r>
    </w:p>
    <w:p w14:paraId="1F562627">
      <w:pPr>
        <w:shd w:val="clear"/>
        <w:spacing w:line="579" w:lineRule="exact"/>
        <w:ind w:firstLine="480" w:firstLineChars="200"/>
        <w:rPr>
          <w:rFonts w:hint="eastAsia" w:ascii="仿宋" w:hAnsi="仿宋" w:eastAsia="仿宋" w:cs="仿宋"/>
          <w:color w:val="auto"/>
          <w:kern w:val="0"/>
          <w:sz w:val="24"/>
          <w:szCs w:val="20"/>
          <w:highlight w:val="none"/>
          <w:lang w:bidi="ar"/>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4</w:t>
      </w:r>
      <w:r>
        <w:rPr>
          <w:rFonts w:hint="eastAsia" w:ascii="仿宋" w:hAnsi="仿宋" w:eastAsia="仿宋" w:cs="仿宋"/>
          <w:color w:val="auto"/>
          <w:kern w:val="0"/>
          <w:sz w:val="24"/>
          <w:szCs w:val="20"/>
          <w:highlight w:val="none"/>
          <w:lang w:bidi="ar"/>
        </w:rPr>
        <w:t xml:space="preserve"> 磋商结束后，磋商小组可根据磋商情况，要求</w:t>
      </w:r>
      <w:r>
        <w:rPr>
          <w:rFonts w:hint="eastAsia" w:ascii="仿宋" w:hAnsi="仿宋" w:eastAsia="仿宋" w:cs="仿宋"/>
          <w:color w:val="auto"/>
          <w:kern w:val="0"/>
          <w:sz w:val="24"/>
          <w:szCs w:val="20"/>
          <w:highlight w:val="none"/>
          <w:lang w:val="en-US" w:eastAsia="zh-CN" w:bidi="ar"/>
        </w:rPr>
        <w:t>供应商</w:t>
      </w:r>
      <w:r>
        <w:rPr>
          <w:rFonts w:hint="eastAsia" w:ascii="仿宋" w:hAnsi="仿宋" w:eastAsia="仿宋" w:cs="仿宋"/>
          <w:color w:val="auto"/>
          <w:kern w:val="0"/>
          <w:sz w:val="24"/>
          <w:szCs w:val="20"/>
          <w:highlight w:val="none"/>
          <w:lang w:bidi="ar"/>
        </w:rPr>
        <w:t>进行第</w:t>
      </w:r>
      <w:r>
        <w:rPr>
          <w:rFonts w:hint="eastAsia" w:ascii="仿宋" w:hAnsi="仿宋" w:eastAsia="仿宋" w:cs="仿宋"/>
          <w:color w:val="auto"/>
          <w:kern w:val="0"/>
          <w:sz w:val="24"/>
          <w:szCs w:val="20"/>
          <w:highlight w:val="none"/>
          <w:lang w:eastAsia="zh-CN" w:bidi="ar"/>
        </w:rPr>
        <w:t>三次</w:t>
      </w:r>
      <w:r>
        <w:rPr>
          <w:rFonts w:hint="eastAsia" w:ascii="仿宋" w:hAnsi="仿宋" w:eastAsia="仿宋" w:cs="仿宋"/>
          <w:color w:val="auto"/>
          <w:kern w:val="0"/>
          <w:sz w:val="24"/>
          <w:szCs w:val="20"/>
          <w:highlight w:val="none"/>
          <w:lang w:bidi="ar"/>
        </w:rPr>
        <w:t>报价和第三次报价，并确定最终报价。最终报价是响应文件的有效组成部分。</w:t>
      </w:r>
    </w:p>
    <w:p w14:paraId="7062A4AE">
      <w:pPr>
        <w:shd w:val="clear"/>
        <w:spacing w:line="579" w:lineRule="exact"/>
        <w:ind w:firstLine="480" w:firstLineChars="200"/>
        <w:rPr>
          <w:rStyle w:val="35"/>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5</w:t>
      </w:r>
      <w:r>
        <w:rPr>
          <w:rFonts w:hint="eastAsia" w:ascii="仿宋" w:hAnsi="仿宋" w:eastAsia="仿宋" w:cs="仿宋"/>
          <w:color w:val="auto"/>
          <w:kern w:val="0"/>
          <w:sz w:val="24"/>
          <w:szCs w:val="20"/>
          <w:highlight w:val="none"/>
          <w:lang w:bidi="ar"/>
        </w:rPr>
        <w:t xml:space="preserve"> </w:t>
      </w:r>
      <w:r>
        <w:rPr>
          <w:rFonts w:hint="eastAsia" w:ascii="仿宋" w:hAnsi="仿宋" w:eastAsia="仿宋" w:cs="仿宋"/>
          <w:color w:val="auto"/>
          <w:kern w:val="0"/>
          <w:sz w:val="24"/>
          <w:szCs w:val="20"/>
          <w:highlight w:val="none"/>
          <w:lang w:eastAsia="zh-CN" w:bidi="ar"/>
        </w:rPr>
        <w:t>参与竞争性谈判和竞争性磋商项目供应商，开标结束后，请及时进入“网上报价”页面（详见操作手册），等待最终报价通知。如未在系统提示的报价时限内报价，则视为上一轮报价为最终报价</w:t>
      </w:r>
      <w:r>
        <w:rPr>
          <w:rFonts w:hint="eastAsia" w:ascii="仿宋" w:hAnsi="仿宋" w:eastAsia="仿宋" w:cs="仿宋"/>
          <w:color w:val="auto"/>
          <w:kern w:val="0"/>
          <w:sz w:val="24"/>
          <w:szCs w:val="20"/>
          <w:highlight w:val="none"/>
          <w:lang w:bidi="ar"/>
        </w:rPr>
        <w:t>。</w:t>
      </w:r>
    </w:p>
    <w:p w14:paraId="70CC6D0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w:t>
      </w:r>
      <w:r>
        <w:rPr>
          <w:rStyle w:val="35"/>
          <w:rFonts w:hint="eastAsia" w:ascii="仿宋" w:hAnsi="仿宋" w:eastAsia="仿宋" w:cs="仿宋"/>
          <w:color w:val="auto"/>
          <w:sz w:val="24"/>
          <w:szCs w:val="24"/>
          <w:highlight w:val="none"/>
          <w:lang w:val="en-US" w:eastAsia="zh-CN"/>
        </w:rPr>
        <w:t>6</w:t>
      </w:r>
      <w:r>
        <w:rPr>
          <w:rStyle w:val="35"/>
          <w:rFonts w:hint="eastAsia" w:ascii="仿宋" w:hAnsi="仿宋" w:eastAsia="仿宋" w:cs="仿宋"/>
          <w:color w:val="auto"/>
          <w:sz w:val="24"/>
          <w:szCs w:val="24"/>
          <w:highlight w:val="none"/>
          <w:lang w:eastAsia="zh-CN"/>
        </w:rPr>
        <w:t>投标报价货币单位：人民币。</w:t>
      </w:r>
    </w:p>
    <w:p w14:paraId="2308C1A9">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17.投标有效期</w:t>
      </w:r>
    </w:p>
    <w:p w14:paraId="1489BC3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17.1投标有效期详见供应商须知前附表，如不满足其投标将被否决。</w:t>
      </w:r>
    </w:p>
    <w:p w14:paraId="46115FEF">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17.2特殊情况下，采购人可于投标有效期期满之前，要求供应商同意延长投标有效期。供应商可以拒绝或同意上述要求，但要求与答复均须是书面文件。对于同意该要求的供应商，采购人既不要求也不允许其修改响应文件。</w:t>
      </w:r>
    </w:p>
    <w:p w14:paraId="06FF81A7">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18．磋商保证金</w:t>
      </w:r>
    </w:p>
    <w:p w14:paraId="2760ABE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18.1磋商保证金的缴纳详见供应商须知前附表。未按规定提交磋商保证金的投标，将被视为投标无效。</w:t>
      </w:r>
    </w:p>
    <w:p w14:paraId="14FC2C0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18.2磋商保证金的退还详见供应商须知前附表。</w:t>
      </w:r>
    </w:p>
    <w:p w14:paraId="19C04E14">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18.3不予退还保证金的情形，详见供应商须知前附表。</w:t>
      </w:r>
    </w:p>
    <w:p w14:paraId="5C3362B3">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19.响应文件的签署及规定</w:t>
      </w:r>
    </w:p>
    <w:p w14:paraId="67126BB7">
      <w:pPr>
        <w:shd w:val="clear"/>
        <w:snapToGrid w:val="0"/>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19.1电子响应文件使用政采云平台响应文件制作工具以及磋商文件要求进行制作编制。响应文件制作时，按照磋商文件中明确的响应文件目录和格式进行编制，保证目录清晰、内容完整。</w:t>
      </w:r>
    </w:p>
    <w:p w14:paraId="3F7C0C27">
      <w:pPr>
        <w:shd w:val="clear"/>
        <w:snapToGrid w:val="0"/>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19.2电子响应文件须使用供应商电子公章及法定代表人的电子签名。若无电子签章和签名，则视为无效响应。</w:t>
      </w:r>
    </w:p>
    <w:p w14:paraId="5880DD60">
      <w:pPr>
        <w:shd w:val="clear"/>
        <w:snapToGrid w:val="0"/>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19.3电子招投标文件具有法律效力，与其他形式的招投标文件在内容和格式上等同，若响应文件与磋商文件要求不一致，其内容影响成交结果时，责任由供应商自行承担。供应商递交的电子响应文件因供应商自身原因而导致无法导入电子辅助评标系统，该响应文件视为无效响应文件，将导致其响应被拒绝。</w:t>
      </w:r>
    </w:p>
    <w:p w14:paraId="665D424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p>
    <w:p w14:paraId="589C84A2">
      <w:pPr>
        <w:pStyle w:val="46"/>
        <w:shd w:val="clear"/>
        <w:spacing w:before="30" w:line="579" w:lineRule="exact"/>
        <w:ind w:left="2874"/>
        <w:jc w:val="left"/>
        <w:outlineLvl w:val="1"/>
        <w:rPr>
          <w:rStyle w:val="35"/>
          <w:rFonts w:ascii="仿宋" w:hAnsi="仿宋" w:eastAsia="仿宋" w:cs="仿宋"/>
          <w:color w:val="auto"/>
          <w:highlight w:val="none"/>
          <w:lang w:eastAsia="zh-CN"/>
        </w:rPr>
      </w:pPr>
      <w:bookmarkStart w:id="31" w:name="_Toc10035"/>
      <w:bookmarkStart w:id="32" w:name="_Toc1653"/>
      <w:bookmarkStart w:id="33" w:name="_Toc895"/>
      <w:bookmarkStart w:id="34" w:name="_Toc2843"/>
      <w:bookmarkStart w:id="35" w:name="_Toc8392"/>
      <w:bookmarkStart w:id="36" w:name="_Toc15073"/>
      <w:r>
        <w:rPr>
          <w:rStyle w:val="35"/>
          <w:rFonts w:hint="eastAsia" w:ascii="仿宋" w:hAnsi="仿宋" w:eastAsia="仿宋" w:cs="仿宋"/>
          <w:color w:val="auto"/>
          <w:highlight w:val="none"/>
          <w:lang w:eastAsia="zh-CN"/>
        </w:rPr>
        <w:t>第四章 响应文件的递交</w:t>
      </w:r>
      <w:bookmarkEnd w:id="31"/>
      <w:bookmarkEnd w:id="32"/>
      <w:bookmarkEnd w:id="33"/>
      <w:bookmarkEnd w:id="34"/>
      <w:bookmarkEnd w:id="35"/>
      <w:bookmarkEnd w:id="36"/>
    </w:p>
    <w:p w14:paraId="621DB4B1">
      <w:pPr>
        <w:pStyle w:val="45"/>
        <w:shd w:val="clear"/>
        <w:spacing w:before="26"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20.响应性文件的密封与标记</w:t>
      </w:r>
    </w:p>
    <w:p w14:paraId="777770D0">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20.1加密的电子响应文件（.jmbs格式）应在响应文件递交截止时间前通过政采云平台上传完成。</w:t>
      </w:r>
    </w:p>
    <w:p w14:paraId="43AC8D49">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20.2逾期上传或者未上传指定地点的响应文件，采购人不予受理。</w:t>
      </w:r>
    </w:p>
    <w:p w14:paraId="1F0CC3BB">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21.响应文件递交截止时间</w:t>
      </w:r>
    </w:p>
    <w:p w14:paraId="2A107F68">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1</w:t>
      </w:r>
      <w:r>
        <w:rPr>
          <w:rStyle w:val="35"/>
          <w:rFonts w:hint="eastAsia" w:ascii="仿宋" w:hAnsi="仿宋" w:eastAsia="仿宋" w:cs="仿宋"/>
          <w:color w:val="auto"/>
          <w:sz w:val="24"/>
          <w:szCs w:val="24"/>
          <w:highlight w:val="none"/>
          <w:lang w:eastAsia="zh-CN"/>
        </w:rPr>
        <w:t>.1 供应商应在供应商须知前附表规定的提交响应文件截止时间前，将响应文件上传至平台。逾期上传或者未上传指定地点的响应文件，采购人不予受理。</w:t>
      </w:r>
    </w:p>
    <w:p w14:paraId="3E8363FE">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21.</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出现因竞争性磋商文件的修改推迟投标截止时间时，则按采购人修改通知规定的时间递交。</w:t>
      </w:r>
    </w:p>
    <w:p w14:paraId="17B7231F">
      <w:pPr>
        <w:shd w:val="clear"/>
        <w:spacing w:line="579" w:lineRule="exact"/>
        <w:ind w:firstLine="482"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22.响应文件的修改和撤回</w:t>
      </w:r>
    </w:p>
    <w:p w14:paraId="3210CF33">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1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D9C627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22.</w:t>
      </w:r>
      <w:r>
        <w:rPr>
          <w:rStyle w:val="35"/>
          <w:rFonts w:hint="eastAsia" w:ascii="仿宋" w:hAnsi="仿宋" w:eastAsia="仿宋" w:cs="仿宋"/>
          <w:color w:val="auto"/>
          <w:sz w:val="24"/>
          <w:szCs w:val="24"/>
          <w:highlight w:val="none"/>
          <w:lang w:val="en-US" w:eastAsia="zh-CN"/>
        </w:rPr>
        <w:t>1</w:t>
      </w:r>
      <w:r>
        <w:rPr>
          <w:rStyle w:val="35"/>
          <w:rFonts w:hint="eastAsia" w:ascii="仿宋" w:hAnsi="仿宋" w:eastAsia="仿宋" w:cs="仿宋"/>
          <w:color w:val="auto"/>
          <w:sz w:val="24"/>
          <w:szCs w:val="24"/>
          <w:highlight w:val="none"/>
          <w:lang w:eastAsia="zh-CN"/>
        </w:rPr>
        <w:t>供应商不得在开标时间起至投标有效期期满前撤回响应文件。</w:t>
      </w:r>
    </w:p>
    <w:p w14:paraId="4598488B">
      <w:pPr>
        <w:pStyle w:val="46"/>
        <w:keepNext w:val="0"/>
        <w:keepLines w:val="0"/>
        <w:pageBreakBefore w:val="0"/>
        <w:widowControl/>
        <w:shd w:val="clear"/>
        <w:kinsoku/>
        <w:wordWrap/>
        <w:overflowPunct/>
        <w:topLinePunct w:val="0"/>
        <w:autoSpaceDE/>
        <w:autoSpaceDN/>
        <w:bidi w:val="0"/>
        <w:adjustRightInd/>
        <w:snapToGrid/>
        <w:spacing w:before="34" w:line="579" w:lineRule="exact"/>
        <w:ind w:left="0" w:leftChars="0" w:firstLine="0" w:firstLineChars="0"/>
        <w:jc w:val="both"/>
        <w:textAlignment w:val="baseline"/>
        <w:outlineLvl w:val="9"/>
        <w:rPr>
          <w:rStyle w:val="35"/>
          <w:rFonts w:hint="eastAsia" w:ascii="仿宋" w:hAnsi="仿宋" w:eastAsia="仿宋" w:cs="仿宋"/>
          <w:color w:val="auto"/>
          <w:highlight w:val="none"/>
          <w:lang w:eastAsia="zh-CN"/>
        </w:rPr>
      </w:pPr>
      <w:bookmarkStart w:id="37" w:name="_Toc5219"/>
      <w:bookmarkStart w:id="38" w:name="_Toc15274"/>
      <w:bookmarkStart w:id="39" w:name="_Toc13653"/>
      <w:bookmarkStart w:id="40" w:name="_Toc2807"/>
      <w:bookmarkStart w:id="41" w:name="_Toc19864"/>
    </w:p>
    <w:p w14:paraId="290897E4">
      <w:pPr>
        <w:pStyle w:val="46"/>
        <w:shd w:val="clear"/>
        <w:spacing w:before="34" w:line="579" w:lineRule="exact"/>
        <w:ind w:left="153"/>
        <w:outlineLvl w:val="1"/>
        <w:rPr>
          <w:rStyle w:val="35"/>
          <w:rFonts w:ascii="仿宋" w:hAnsi="仿宋" w:eastAsia="仿宋" w:cs="仿宋"/>
          <w:color w:val="auto"/>
          <w:highlight w:val="none"/>
          <w:lang w:eastAsia="zh-CN"/>
        </w:rPr>
      </w:pPr>
      <w:bookmarkStart w:id="42" w:name="_Toc14066"/>
      <w:r>
        <w:rPr>
          <w:rStyle w:val="35"/>
          <w:rFonts w:hint="eastAsia" w:ascii="仿宋" w:hAnsi="仿宋" w:eastAsia="仿宋" w:cs="仿宋"/>
          <w:color w:val="auto"/>
          <w:highlight w:val="none"/>
          <w:lang w:eastAsia="zh-CN"/>
        </w:rPr>
        <w:t>第五章 开标</w:t>
      </w:r>
      <w:bookmarkEnd w:id="37"/>
      <w:bookmarkEnd w:id="38"/>
      <w:bookmarkEnd w:id="39"/>
      <w:bookmarkEnd w:id="40"/>
      <w:bookmarkEnd w:id="41"/>
      <w:bookmarkEnd w:id="42"/>
    </w:p>
    <w:p w14:paraId="066C8432">
      <w:pPr>
        <w:shd w:val="clear"/>
        <w:spacing w:line="579" w:lineRule="exact"/>
        <w:ind w:firstLine="458" w:firstLineChars="200"/>
        <w:rPr>
          <w:rStyle w:val="35"/>
          <w:rFonts w:hint="eastAsia" w:ascii="仿宋" w:hAnsi="仿宋" w:eastAsia="仿宋" w:cs="仿宋"/>
          <w:b/>
          <w:color w:val="auto"/>
          <w:w w:val="95"/>
          <w:sz w:val="24"/>
          <w:szCs w:val="24"/>
          <w:highlight w:val="none"/>
          <w:lang w:eastAsia="zh-CN"/>
        </w:rPr>
      </w:pPr>
      <w:r>
        <w:rPr>
          <w:rStyle w:val="35"/>
          <w:rFonts w:hint="eastAsia" w:ascii="仿宋" w:hAnsi="仿宋" w:eastAsia="仿宋" w:cs="仿宋"/>
          <w:b/>
          <w:color w:val="auto"/>
          <w:w w:val="95"/>
          <w:sz w:val="24"/>
          <w:szCs w:val="24"/>
          <w:highlight w:val="none"/>
          <w:lang w:eastAsia="zh-CN"/>
        </w:rPr>
        <w:t>23．</w:t>
      </w:r>
      <w:r>
        <w:rPr>
          <w:rStyle w:val="35"/>
          <w:rFonts w:hint="eastAsia" w:ascii="仿宋" w:hAnsi="仿宋" w:eastAsia="仿宋" w:cs="仿宋"/>
          <w:b/>
          <w:color w:val="auto"/>
          <w:w w:val="95"/>
          <w:sz w:val="24"/>
          <w:szCs w:val="24"/>
          <w:highlight w:val="none"/>
          <w:lang w:val="en-US" w:eastAsia="zh-CN"/>
        </w:rPr>
        <w:t>1</w:t>
      </w:r>
      <w:r>
        <w:rPr>
          <w:rStyle w:val="35"/>
          <w:rFonts w:hint="eastAsia" w:ascii="仿宋" w:hAnsi="仿宋" w:eastAsia="仿宋" w:cs="仿宋"/>
          <w:b/>
          <w:color w:val="auto"/>
          <w:w w:val="95"/>
          <w:sz w:val="24"/>
          <w:szCs w:val="24"/>
          <w:highlight w:val="none"/>
          <w:lang w:eastAsia="zh-CN"/>
        </w:rPr>
        <w:t>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5A38601B">
      <w:pPr>
        <w:shd w:val="clear"/>
        <w:spacing w:line="579" w:lineRule="exact"/>
        <w:ind w:firstLine="458" w:firstLineChars="200"/>
        <w:rPr>
          <w:rStyle w:val="35"/>
          <w:rFonts w:hint="eastAsia" w:ascii="仿宋" w:hAnsi="仿宋" w:eastAsia="仿宋" w:cs="仿宋"/>
          <w:b/>
          <w:color w:val="auto"/>
          <w:w w:val="95"/>
          <w:sz w:val="24"/>
          <w:szCs w:val="24"/>
          <w:highlight w:val="none"/>
          <w:lang w:eastAsia="zh-CN"/>
        </w:rPr>
      </w:pPr>
      <w:r>
        <w:rPr>
          <w:rStyle w:val="35"/>
          <w:rFonts w:hint="eastAsia" w:ascii="仿宋" w:hAnsi="仿宋" w:eastAsia="仿宋" w:cs="仿宋"/>
          <w:b/>
          <w:color w:val="auto"/>
          <w:w w:val="95"/>
          <w:sz w:val="24"/>
          <w:szCs w:val="24"/>
          <w:highlight w:val="none"/>
          <w:lang w:val="en-US" w:eastAsia="zh-CN"/>
        </w:rPr>
        <w:t>23.2</w:t>
      </w:r>
      <w:r>
        <w:rPr>
          <w:rStyle w:val="35"/>
          <w:rFonts w:hint="eastAsia" w:ascii="仿宋" w:hAnsi="仿宋" w:eastAsia="仿宋" w:cs="仿宋"/>
          <w:b/>
          <w:color w:val="auto"/>
          <w:w w:val="95"/>
          <w:sz w:val="24"/>
          <w:szCs w:val="24"/>
          <w:highlight w:val="none"/>
          <w:lang w:eastAsia="zh-CN"/>
        </w:rPr>
        <w:t>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02D8BC93">
      <w:pPr>
        <w:shd w:val="clear"/>
        <w:spacing w:line="579" w:lineRule="exact"/>
        <w:ind w:firstLine="458" w:firstLineChars="200"/>
        <w:rPr>
          <w:rStyle w:val="35"/>
          <w:rFonts w:hint="eastAsia" w:ascii="仿宋" w:hAnsi="仿宋" w:eastAsia="仿宋" w:cs="仿宋"/>
          <w:b/>
          <w:color w:val="auto"/>
          <w:w w:val="95"/>
          <w:sz w:val="24"/>
          <w:szCs w:val="24"/>
          <w:highlight w:val="none"/>
          <w:lang w:eastAsia="zh-CN"/>
        </w:rPr>
      </w:pPr>
      <w:r>
        <w:rPr>
          <w:rStyle w:val="35"/>
          <w:rFonts w:hint="eastAsia" w:ascii="仿宋" w:hAnsi="仿宋" w:eastAsia="仿宋" w:cs="仿宋"/>
          <w:b/>
          <w:color w:val="auto"/>
          <w:w w:val="95"/>
          <w:sz w:val="24"/>
          <w:szCs w:val="24"/>
          <w:highlight w:val="none"/>
          <w:lang w:val="en-US" w:eastAsia="zh-CN"/>
        </w:rPr>
        <w:t xml:space="preserve">  23.3</w:t>
      </w:r>
      <w:r>
        <w:rPr>
          <w:rStyle w:val="35"/>
          <w:rFonts w:hint="eastAsia" w:ascii="仿宋" w:hAnsi="仿宋" w:eastAsia="仿宋" w:cs="仿宋"/>
          <w:b/>
          <w:color w:val="auto"/>
          <w:w w:val="95"/>
          <w:sz w:val="24"/>
          <w:szCs w:val="24"/>
          <w:highlight w:val="none"/>
          <w:lang w:eastAsia="zh-CN"/>
        </w:rPr>
        <w:t>参与竞争性谈判和竞争性磋商项目供应商，开标结束后，请及时进入“网上报价”页面（详见操作手册），等待最终报价通知。如未在系统提示的报价时限内报价，则视为上一轮报价为最终报价。</w:t>
      </w:r>
    </w:p>
    <w:p w14:paraId="1F88E133">
      <w:pPr>
        <w:keepNext/>
        <w:keepLines/>
        <w:pageBreakBefore w:val="0"/>
        <w:widowControl/>
        <w:shd w:val="clear"/>
        <w:kinsoku/>
        <w:wordWrap/>
        <w:overflowPunct/>
        <w:topLinePunct w:val="0"/>
        <w:autoSpaceDE/>
        <w:autoSpaceDN/>
        <w:bidi w:val="0"/>
        <w:adjustRightInd/>
        <w:snapToGrid/>
        <w:textAlignment w:val="baseline"/>
        <w:outlineLvl w:val="9"/>
        <w:rPr>
          <w:rFonts w:hint="default"/>
          <w:color w:val="auto"/>
          <w:highlight w:val="none"/>
          <w:lang w:val="en-US" w:eastAsia="zh-CN"/>
        </w:rPr>
      </w:pPr>
    </w:p>
    <w:p w14:paraId="7B74A647">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Style w:val="35"/>
          <w:rFonts w:hint="eastAsia" w:ascii="仿宋" w:hAnsi="仿宋" w:eastAsia="仿宋" w:cs="仿宋"/>
          <w:b/>
          <w:color w:val="auto"/>
          <w:sz w:val="32"/>
          <w:highlight w:val="none"/>
          <w:lang w:eastAsia="zh-CN"/>
        </w:rPr>
      </w:pPr>
      <w:bookmarkStart w:id="43" w:name="_Toc7217"/>
    </w:p>
    <w:p w14:paraId="520F4202">
      <w:pPr>
        <w:shd w:val="clear"/>
        <w:spacing w:line="579" w:lineRule="exact"/>
        <w:jc w:val="center"/>
        <w:outlineLvl w:val="1"/>
        <w:rPr>
          <w:rStyle w:val="35"/>
          <w:rFonts w:ascii="仿宋" w:hAnsi="仿宋" w:eastAsia="仿宋" w:cs="仿宋"/>
          <w:b/>
          <w:color w:val="auto"/>
          <w:sz w:val="32"/>
          <w:highlight w:val="none"/>
          <w:lang w:eastAsia="zh-CN"/>
        </w:rPr>
      </w:pPr>
      <w:bookmarkStart w:id="44" w:name="_Toc2700"/>
      <w:bookmarkStart w:id="45" w:name="_Toc25316"/>
      <w:bookmarkStart w:id="46" w:name="_Toc3015"/>
      <w:bookmarkStart w:id="47" w:name="_Toc21833"/>
      <w:bookmarkStart w:id="48" w:name="_Toc23607"/>
      <w:r>
        <w:rPr>
          <w:rStyle w:val="35"/>
          <w:rFonts w:hint="eastAsia" w:ascii="仿宋" w:hAnsi="仿宋" w:eastAsia="仿宋" w:cs="仿宋"/>
          <w:b/>
          <w:color w:val="auto"/>
          <w:sz w:val="32"/>
          <w:highlight w:val="none"/>
          <w:lang w:eastAsia="zh-CN"/>
        </w:rPr>
        <w:t>第六章 评标</w:t>
      </w:r>
      <w:bookmarkEnd w:id="43"/>
      <w:bookmarkEnd w:id="44"/>
      <w:bookmarkEnd w:id="45"/>
      <w:bookmarkEnd w:id="46"/>
      <w:bookmarkEnd w:id="47"/>
      <w:bookmarkEnd w:id="48"/>
    </w:p>
    <w:p w14:paraId="123B62F4">
      <w:pPr>
        <w:pStyle w:val="45"/>
        <w:shd w:val="clear"/>
        <w:snapToGrid w:val="0"/>
        <w:spacing w:before="113"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24.评审小组</w:t>
      </w:r>
    </w:p>
    <w:p w14:paraId="3D7A96B0">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24.1采购人将根据《中华人民共和国政府采购法》及相关的法律、法规等，依法组建本次招标的评审小组，负责本次招标的评审、评标等活动。评审小组负责向采购人推荐中标候选人或者根据采购人的授权直接确定中标人。</w:t>
      </w:r>
    </w:p>
    <w:p w14:paraId="69D6BD15">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24.2评审小组成员名单在评标结果公告前应当保密。</w:t>
      </w:r>
    </w:p>
    <w:p w14:paraId="73E4118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24.3评审小组由采购人代表和评审专家组成，成员人数应当为3人或以上单数，其中评审专家不得少于成员总数的三分之二。</w:t>
      </w:r>
    </w:p>
    <w:p w14:paraId="19ACF5C5">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7E855EF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24.5评标中因评审成员缺席、回避或者健康等特殊原因导致评审小组组成不符合相关规定的，采购人或者采购代理机构应当依法补足后继续评标。被更换的评审小组成员所作出的评标意见无效。无法及时补足评审小组成员的，采购人或者采购代理机构应当停止评标活动，封存所有响应文件和开标、评标资料，依法重新组建评审小组进行评标。原评审小组所作出的评标意见无效。采购人或者采购代理机构应当将变更、重新组建评审小组的情况予以记录，并随采购文件一并存档。</w:t>
      </w:r>
    </w:p>
    <w:p w14:paraId="35C0C9D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24.6评标专家应符合下列条件：</w:t>
      </w:r>
    </w:p>
    <w:p w14:paraId="7E2FA2EF">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24.6.1具有良好的职业道德，廉洁自律，遵纪守法，无行贿、受贿、欺诈等不良信用记录；</w:t>
      </w:r>
    </w:p>
    <w:p w14:paraId="06F06DF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24.6.2具有中级专业技术职称或同等专业水平且从事相关领域工作满8年，或者具有高级专业技术职称或同等专业水平；</w:t>
      </w:r>
    </w:p>
    <w:p w14:paraId="605112A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24.6.3熟悉政府采购相关政策法规；</w:t>
      </w:r>
    </w:p>
    <w:p w14:paraId="5AAB795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24.6.4承诺以独立身份参加评审工作，依法履行评审专家工作职责并承担相应法律责任的中国公民；</w:t>
      </w:r>
    </w:p>
    <w:p w14:paraId="74C5070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24.6.5身体健康，能够承担评审工作；</w:t>
      </w:r>
    </w:p>
    <w:p w14:paraId="5C84C3E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24.6.6申请成为评审专家前三年内，无《政府采购评审专家管理办法》中规定的不良行为记录。</w:t>
      </w:r>
    </w:p>
    <w:p w14:paraId="7C5CB04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有下列情形之一的，不得担任评审小组成员：</w:t>
      </w:r>
    </w:p>
    <w:p w14:paraId="6911468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(1)参加采购活动前三年内，与供应商存在劳动关系，或者担任过供应商的董事、监事,或者是供应商的控股股东或实际控制人；</w:t>
      </w:r>
    </w:p>
    <w:p w14:paraId="55ABD84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(2)与供应商的法定代表人或者负责人有夫妻、直系血亲、三代以内旁系血亲或者近姻亲关系；</w:t>
      </w:r>
    </w:p>
    <w:p w14:paraId="40B0AA00">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(3)与供应商有其他可能影响政府采购活动公平、公正进行的关系。</w:t>
      </w:r>
    </w:p>
    <w:p w14:paraId="0A8A3486">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24.7评审小组负责具体评标事务，并独立履行下列职责：</w:t>
      </w:r>
    </w:p>
    <w:p w14:paraId="6D60459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(1)审查、评价响应文件是否符合竞争性磋商文件的商务、技术等实质性要求；</w:t>
      </w:r>
    </w:p>
    <w:p w14:paraId="5A548E7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(2)要求供应商对响应文件的有关事项作出澄清或者说明；</w:t>
      </w:r>
    </w:p>
    <w:p w14:paraId="7A2E4D15">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(3)对响应文件进行比较和评价；</w:t>
      </w:r>
    </w:p>
    <w:p w14:paraId="72E51FC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(4)确定中标候选人名单，以及根据采购人委托直接确定中标人；</w:t>
      </w:r>
    </w:p>
    <w:p w14:paraId="0DB6F1A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(5)向采购人、采购代理机构或者有关部门报告评标中发现的违法行为。</w:t>
      </w:r>
    </w:p>
    <w:p w14:paraId="13E2AF5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24.8评审小组及其成员不得有下列行为：</w:t>
      </w:r>
    </w:p>
    <w:p w14:paraId="073BE09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(1)确定参与评标至评标结束前私自接触供应商；</w:t>
      </w:r>
    </w:p>
    <w:p w14:paraId="24DDAF6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(2)接受供应商提出的与响应文件不一致的澄清或者说明，本竞争性磋商文件第</w:t>
      </w:r>
    </w:p>
    <w:p w14:paraId="7F63B8A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27.1款规定的情形除外；</w:t>
      </w:r>
    </w:p>
    <w:p w14:paraId="1C2817B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(3)违反评标纪律发表倾向性意见或者征询采购人的倾向性意见；</w:t>
      </w:r>
    </w:p>
    <w:p w14:paraId="51026A4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(4)对需要专业判断的主观评审因素协商评分；</w:t>
      </w:r>
    </w:p>
    <w:p w14:paraId="0EF21990">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(5)在评标过程中擅离职守，影响评标程序正常进行的；</w:t>
      </w:r>
    </w:p>
    <w:p w14:paraId="76F50F5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(6)记录、复制或者带走任何评标资料；</w:t>
      </w:r>
    </w:p>
    <w:p w14:paraId="5292BE70">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(7)其他不遵守评标纪律的行为。</w:t>
      </w:r>
    </w:p>
    <w:p w14:paraId="0ABC357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评审小组成员有前款第(1)至(5)项行为之一的，其评审意见无效，并不得获取评审劳务报酬和报销异地评审差旅费。</w:t>
      </w:r>
    </w:p>
    <w:p w14:paraId="0E52E547">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25.评审过程的保密性</w:t>
      </w:r>
    </w:p>
    <w:p w14:paraId="222BC3F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25.1采购人、采购代理机构应当采取必要措施，保证评审在严格保密的情况下进行。除采购人代表、评审现场组织人员外，采购人的其他工作人员以及与评审工作无关的人员不得进入评审现场。</w:t>
      </w:r>
    </w:p>
    <w:p w14:paraId="26F72F8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25.2开标后，直到授予中标人合同为止，凡属于对响应文件的审查、澄清、评价和比较的有关资料以及中标候选人的推荐情况和授标建议等内容、与评标有关的其他任何情况均应严格保密；评审小组成员及参与评标的有关工作人员均不得向供应商或其他无关的人员透露，违者给予警告、取消担任评审小组成员的资格。</w:t>
      </w:r>
    </w:p>
    <w:p w14:paraId="25632A6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25.3投标供应商在评审过程中，所进行的力图影响评审结果的、不符合《中华人民共和国政府采购法》及其相关法律、法规的以及不符合本次招标的有关规定的活动，将被取消其中标资格。</w:t>
      </w:r>
    </w:p>
    <w:p w14:paraId="5BAB7184">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26.评审依据及评标办法</w:t>
      </w:r>
    </w:p>
    <w:p w14:paraId="4720C655">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26.1评审的依据：采购人的竞争性磋商文件和供应商的响应文件。</w:t>
      </w:r>
    </w:p>
    <w:p w14:paraId="31EB7F96">
      <w:pPr>
        <w:shd w:val="clear"/>
        <w:snapToGrid w:val="0"/>
        <w:spacing w:line="579" w:lineRule="exact"/>
        <w:ind w:firstLine="480"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lang w:eastAsia="zh-CN"/>
        </w:rPr>
        <w:t>26.2评标办法：</w:t>
      </w:r>
      <w:r>
        <w:rPr>
          <w:rStyle w:val="35"/>
          <w:rFonts w:hint="eastAsia" w:ascii="仿宋" w:hAnsi="仿宋" w:eastAsia="仿宋" w:cs="仿宋"/>
          <w:b/>
          <w:color w:val="auto"/>
          <w:sz w:val="24"/>
          <w:szCs w:val="24"/>
          <w:highlight w:val="none"/>
          <w:lang w:eastAsia="zh-CN"/>
        </w:rPr>
        <w:t>综合评分法</w:t>
      </w:r>
    </w:p>
    <w:p w14:paraId="24CCB44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综合评分法，是指响应文件满足竞争性磋商文件全部实质性要求，且按照评审因素的量化指标评审得分最高的供应商为中标候选人的评标方法。</w:t>
      </w:r>
    </w:p>
    <w:p w14:paraId="7719B1E5">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26.3评审程序：</w:t>
      </w:r>
    </w:p>
    <w:p w14:paraId="284FEAEC">
      <w:pPr>
        <w:shd w:val="clear"/>
        <w:snapToGrid w:val="0"/>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成立评标委员会→初步评审（符合性审查）→错误性修正→详细评审（商务、技术部分评审，报价得分计算）→推荐中标候选人→完成评标报告</w:t>
      </w:r>
    </w:p>
    <w:p w14:paraId="130C085A">
      <w:pPr>
        <w:shd w:val="clear"/>
        <w:snapToGrid w:val="0"/>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通过初步评审的响应文件，方可进入下一环节的评审。</w:t>
      </w:r>
    </w:p>
    <w:p w14:paraId="74C25944">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27.初步评审</w:t>
      </w:r>
    </w:p>
    <w:p w14:paraId="1BC25D9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27.1评审小组对响应文件的有效性、完整性和响应程度进行审查时，应当以书面方式要求供应商对响应文件中含义不明确、对同类问题表述不一致或者有明显文字和计算错误的内容作必要的澄清、说明或补正。</w:t>
      </w:r>
    </w:p>
    <w:p w14:paraId="6FDFD76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供应商的澄清、说明或补正应以书面方式进行，并加盖公章，或者由法定代表人或其授权的代表签字。供应商的澄清、说明或者补正不得超出响应文件的范围或者改变竞争性磋商文件的实质性内容。</w:t>
      </w:r>
    </w:p>
    <w:p w14:paraId="350BAE8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按上述规定，经供应商确认后，对供应商起约束作用。如果供应商不确认的，则其投标无效。</w:t>
      </w:r>
    </w:p>
    <w:p w14:paraId="2FD3187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27.2采购方不接受不符合国家有关部门相关规定的投标报价或优惠方案。</w:t>
      </w:r>
    </w:p>
    <w:p w14:paraId="57B2EC4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27.3在评审过程中，评审小组发现供应商以他人名义投标、串通投标、以行贿手段谋取中标或者以其他弄虚作假方式投标的，该供应商的投标将被否决。</w:t>
      </w:r>
    </w:p>
    <w:p w14:paraId="2B94ABF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27.4有下列情形之一的，视为供应商串通投标，其投标无效：</w:t>
      </w:r>
    </w:p>
    <w:p w14:paraId="707B476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(1)不同供应商的响应文件由同一单位或者个人编制；</w:t>
      </w:r>
    </w:p>
    <w:p w14:paraId="58308A5F">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(2)不同供应商委托同一单位或者个人办理投标事宜；</w:t>
      </w:r>
    </w:p>
    <w:p w14:paraId="5B9C723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(3)不同供应商的响应文件载明的项目管理成员或者联系人员为同一人；</w:t>
      </w:r>
    </w:p>
    <w:p w14:paraId="14E4E7E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(4)不同供应商的响应文件异常一致或者投标报价呈规律性差异；</w:t>
      </w:r>
    </w:p>
    <w:p w14:paraId="2AC8128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(5)不同供应商的响应文件相互混装；</w:t>
      </w:r>
    </w:p>
    <w:p w14:paraId="737050B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(6)不同供应商的磋商保证金从同一单位或者个人的账户转出。</w:t>
      </w:r>
    </w:p>
    <w:p w14:paraId="64BFEC8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27.5供应商存在下列情况之一的，投标无效：</w:t>
      </w:r>
    </w:p>
    <w:p w14:paraId="7CBEE98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(1)未按照竞争性磋商文件的规定提交磋商保证金的；</w:t>
      </w:r>
    </w:p>
    <w:p w14:paraId="0F8280B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(2)响应文件未按竞争性磋商文件要求签署、盖章的；</w:t>
      </w:r>
    </w:p>
    <w:p w14:paraId="134A401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(3)不具备竞争性磋商文件中规定的资格要求的；</w:t>
      </w:r>
    </w:p>
    <w:p w14:paraId="7CB680D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(4)报价超过竞争性磋商文件中规定的预算金额或者最高限价的；</w:t>
      </w:r>
    </w:p>
    <w:p w14:paraId="7AF3344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(5)响应文件含有采购人不能接受的附加条件的；</w:t>
      </w:r>
    </w:p>
    <w:p w14:paraId="6141479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(6)法律、法规和竞争性磋商文件规定的其他无效情形。</w:t>
      </w:r>
    </w:p>
    <w:p w14:paraId="73CDC15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27.6评审小组应当审查每一响应文件是否对竞争性磋商文件提出的所有实质性要求和条件做出响应。未能在实质上响应的投标，其投标将被否决。</w:t>
      </w:r>
    </w:p>
    <w:p w14:paraId="133DB8E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27.7供应商不得误导、干扰采购方的评审活动，否则将废除其投标。</w:t>
      </w:r>
    </w:p>
    <w:p w14:paraId="3E0A9CB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27.8评审小组根据上述规定否决不合格投标，因有效投标不足本次评审办法规定数量而使得投标明显缺乏竞争性时，根据《中华人民共和国政府采购法》的相关规定，将作流标处理。</w:t>
      </w:r>
    </w:p>
    <w:p w14:paraId="61F15749">
      <w:pPr>
        <w:shd w:val="clear"/>
        <w:snapToGrid w:val="0"/>
        <w:spacing w:line="579" w:lineRule="exact"/>
        <w:ind w:firstLine="482" w:firstLineChars="200"/>
        <w:rPr>
          <w:rStyle w:val="35"/>
          <w:rFonts w:hint="default" w:ascii="仿宋" w:hAnsi="仿宋" w:eastAsia="仿宋" w:cs="仿宋"/>
          <w:b/>
          <w:color w:val="auto"/>
          <w:sz w:val="24"/>
          <w:szCs w:val="24"/>
          <w:highlight w:val="none"/>
          <w:lang w:val="en-US" w:eastAsia="zh-CN"/>
        </w:rPr>
      </w:pPr>
      <w:r>
        <w:rPr>
          <w:rStyle w:val="35"/>
          <w:rFonts w:hint="eastAsia" w:ascii="仿宋" w:hAnsi="仿宋" w:eastAsia="仿宋" w:cs="仿宋"/>
          <w:b/>
          <w:color w:val="auto"/>
          <w:sz w:val="24"/>
          <w:szCs w:val="24"/>
          <w:highlight w:val="none"/>
          <w:lang w:eastAsia="zh-CN"/>
        </w:rPr>
        <w:t>初步评审的标准详见附表1、</w:t>
      </w:r>
      <w:r>
        <w:rPr>
          <w:rStyle w:val="35"/>
          <w:rFonts w:hint="eastAsia" w:ascii="仿宋" w:hAnsi="仿宋" w:eastAsia="仿宋" w:cs="仿宋"/>
          <w:b/>
          <w:color w:val="auto"/>
          <w:sz w:val="24"/>
          <w:szCs w:val="24"/>
          <w:highlight w:val="none"/>
          <w:lang w:val="en-US" w:eastAsia="zh-CN"/>
        </w:rPr>
        <w:t>2</w:t>
      </w:r>
    </w:p>
    <w:p w14:paraId="12347E4B">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28.响应文件计算错误的修正</w:t>
      </w:r>
    </w:p>
    <w:p w14:paraId="22A4DB85">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28.1响应文件中报价出现前后不一致的，评审小组按以下原则对投标报价进行修正：</w:t>
      </w:r>
    </w:p>
    <w:p w14:paraId="7C11565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a.响应文件中开标一览表（报价表）内容与响应文件中相应内容不一致的，以开标一览表（报价表）为准；</w:t>
      </w:r>
    </w:p>
    <w:p w14:paraId="4491DCD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b.大写金额和小写金额不一致的，以大写金额为准；</w:t>
      </w:r>
    </w:p>
    <w:p w14:paraId="0D82B1B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c.单价金额小数点或者百分比有明显错位的，以开标一览表的总价为准，并修改单价；</w:t>
      </w:r>
    </w:p>
    <w:p w14:paraId="72774EDF">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d.总价金额与按单价汇总金额不一致的，以单价金额计算结果为准。</w:t>
      </w:r>
    </w:p>
    <w:p w14:paraId="55D3213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同时出现两种以上不一致的，按照前款规定的顺序修正。</w:t>
      </w:r>
    </w:p>
    <w:p w14:paraId="37C0819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28.2修正后的最终投标报价若超过最高投标限价（如有），评审小组应当否决其投标。</w:t>
      </w:r>
    </w:p>
    <w:p w14:paraId="434888A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28.3按上述修正错误的原则及方法调整或修正响应文件的投标报价，经供应商确认后，对供应商起约束作用。如果供应商不确认的，则其投标无效。</w:t>
      </w:r>
    </w:p>
    <w:p w14:paraId="34A15D92">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29.详细评审</w:t>
      </w:r>
    </w:p>
    <w:p w14:paraId="1044FA9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29.1经符合性审查合格的响应文件，评审小组应当根据竞争性磋商文件确定的评审标准和方法，确定最终采购需求和提交最后报价的供应商后，由评审小组采用综合评分法对提交最后报价的供应商的响应文件进行综合评分。</w:t>
      </w:r>
    </w:p>
    <w:p w14:paraId="2CDAF37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29.2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B07455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29.3磋商小组所有成员应当集中与单一供应商分别进行磋商，并给予所有参加磋商的供应商平等的磋商机会。</w:t>
      </w:r>
    </w:p>
    <w:p w14:paraId="5C8FD6D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29.4根据综合评分法完成评审工作后，评审小组应当向采购人递交书面评审报告。</w:t>
      </w:r>
    </w:p>
    <w:p w14:paraId="2D2BFDD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w:t>
      </w:r>
      <w:r>
        <w:rPr>
          <w:rStyle w:val="35"/>
          <w:rFonts w:hint="eastAsia" w:ascii="仿宋" w:hAnsi="仿宋" w:eastAsia="仿宋" w:cs="仿宋"/>
          <w:color w:val="auto"/>
          <w:sz w:val="24"/>
          <w:szCs w:val="24"/>
          <w:highlight w:val="none"/>
          <w:lang w:val="en-US" w:eastAsia="zh-CN"/>
        </w:rPr>
        <w:t>5</w:t>
      </w:r>
      <w:r>
        <w:rPr>
          <w:rStyle w:val="35"/>
          <w:rFonts w:hint="eastAsia" w:ascii="仿宋" w:hAnsi="仿宋" w:eastAsia="仿宋" w:cs="仿宋"/>
          <w:color w:val="auto"/>
          <w:sz w:val="24"/>
          <w:szCs w:val="24"/>
          <w:highlight w:val="none"/>
          <w:lang w:eastAsia="zh-CN"/>
        </w:rPr>
        <w:t>评审因素及标准(详见评分细则)</w:t>
      </w:r>
    </w:p>
    <w:p w14:paraId="5F24DFD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评审因素：与供应商所提供货物服务的质量相关，包括投标报价、技术或者服务水平、履约能力、售后服务等。</w:t>
      </w:r>
    </w:p>
    <w:p w14:paraId="46936795">
      <w:pPr>
        <w:pStyle w:val="45"/>
        <w:shd w:val="clear"/>
        <w:spacing w:line="579" w:lineRule="exac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（1）商务技术部分</w:t>
      </w:r>
      <w:r>
        <w:rPr>
          <w:rStyle w:val="35"/>
          <w:rFonts w:hint="eastAsia" w:ascii="仿宋" w:hAnsi="仿宋" w:eastAsia="仿宋" w:cs="仿宋"/>
          <w:color w:val="auto"/>
          <w:highlight w:val="none"/>
          <w:lang w:val="en-US" w:eastAsia="zh-CN"/>
        </w:rPr>
        <w:t>90</w:t>
      </w:r>
      <w:r>
        <w:rPr>
          <w:rStyle w:val="35"/>
          <w:rFonts w:hint="eastAsia" w:ascii="仿宋" w:hAnsi="仿宋" w:eastAsia="仿宋" w:cs="仿宋"/>
          <w:color w:val="auto"/>
          <w:highlight w:val="none"/>
          <w:lang w:eastAsia="zh-CN"/>
        </w:rPr>
        <w:t>分；</w:t>
      </w:r>
    </w:p>
    <w:p w14:paraId="22C34C4A">
      <w:pPr>
        <w:shd w:val="clear"/>
        <w:spacing w:before="125" w:line="579" w:lineRule="exact"/>
        <w:ind w:left="591"/>
        <w:rPr>
          <w:rStyle w:val="35"/>
          <w:rFonts w:ascii="仿宋" w:hAnsi="仿宋" w:eastAsia="仿宋" w:cs="仿宋"/>
          <w:b/>
          <w:color w:val="auto"/>
          <w:sz w:val="24"/>
          <w:highlight w:val="none"/>
          <w:lang w:eastAsia="zh-CN"/>
        </w:rPr>
      </w:pPr>
      <w:r>
        <w:rPr>
          <w:rStyle w:val="35"/>
          <w:rFonts w:hint="eastAsia" w:ascii="仿宋" w:hAnsi="仿宋" w:eastAsia="仿宋" w:cs="仿宋"/>
          <w:b/>
          <w:color w:val="auto"/>
          <w:sz w:val="24"/>
          <w:highlight w:val="none"/>
          <w:lang w:eastAsia="zh-CN"/>
        </w:rPr>
        <w:t>（2）投标报价部分</w:t>
      </w:r>
      <w:r>
        <w:rPr>
          <w:rStyle w:val="35"/>
          <w:rFonts w:hint="eastAsia" w:ascii="仿宋" w:hAnsi="仿宋" w:eastAsia="仿宋" w:cs="仿宋"/>
          <w:b/>
          <w:color w:val="auto"/>
          <w:sz w:val="24"/>
          <w:highlight w:val="none"/>
          <w:lang w:val="en-US" w:eastAsia="zh-CN"/>
        </w:rPr>
        <w:t>10</w:t>
      </w:r>
      <w:r>
        <w:rPr>
          <w:rStyle w:val="35"/>
          <w:rFonts w:hint="eastAsia" w:ascii="仿宋" w:hAnsi="仿宋" w:eastAsia="仿宋" w:cs="仿宋"/>
          <w:b/>
          <w:color w:val="auto"/>
          <w:sz w:val="24"/>
          <w:highlight w:val="none"/>
          <w:lang w:eastAsia="zh-CN"/>
        </w:rPr>
        <w:t>分。</w:t>
      </w:r>
    </w:p>
    <w:p w14:paraId="1D94CF5E">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计算各项分值时，按四舍五入的原则，保留小数点后二位。</w:t>
      </w:r>
    </w:p>
    <w:p w14:paraId="6610324D">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29.7报价</w:t>
      </w:r>
    </w:p>
    <w:p w14:paraId="28BD289A">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29.7.1本次采购方式为竞争性磋商，待评审小组与供应商对采购标的的技术、服务等磋商结束后，评审小组要求所有实质性响应的供应商，在规定的时间内提交最后报价。</w:t>
      </w:r>
    </w:p>
    <w:p w14:paraId="10995FA4">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29.7.2</w:t>
      </w:r>
      <w:r>
        <w:rPr>
          <w:rStyle w:val="35"/>
          <w:rFonts w:hint="eastAsia" w:ascii="仿宋" w:hAnsi="仿宋" w:eastAsia="仿宋" w:cs="仿宋"/>
          <w:b/>
          <w:color w:val="auto"/>
          <w:w w:val="95"/>
          <w:sz w:val="24"/>
          <w:szCs w:val="24"/>
          <w:highlight w:val="none"/>
          <w:lang w:eastAsia="zh-CN"/>
        </w:rPr>
        <w:t>参与竞争性谈判和竞争性磋商项目供应商，开标结束后，进入“网上报价”页面，等待最终报价通知。如未在系统提示的报价时限内报价，则视为上一轮报价为最终报价。</w:t>
      </w:r>
      <w:r>
        <w:rPr>
          <w:rStyle w:val="35"/>
          <w:rFonts w:hint="eastAsia" w:ascii="仿宋" w:hAnsi="仿宋" w:eastAsia="仿宋" w:cs="仿宋"/>
          <w:color w:val="auto"/>
          <w:sz w:val="24"/>
          <w:szCs w:val="24"/>
          <w:highlight w:val="none"/>
          <w:lang w:eastAsia="zh-CN"/>
        </w:rPr>
        <w:t>最后报价不进行公开唱标。</w:t>
      </w:r>
    </w:p>
    <w:p w14:paraId="26FB495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29.7.3经磋商确定最终采购需求和提交最后报价的供应商后，由评审小组采用综合评分法对提交最后报价的供应商的价格得分进行计算。</w:t>
      </w:r>
    </w:p>
    <w:p w14:paraId="51E423FC">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29.7.4供应商的投标报价得分计算说明：</w:t>
      </w:r>
    </w:p>
    <w:p w14:paraId="4F9AB5BF">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价格分统一采用低价优先法计算，即满足磋商文件要求且最</w:t>
      </w:r>
      <w:r>
        <w:rPr>
          <w:rStyle w:val="35"/>
          <w:rFonts w:hint="eastAsia" w:ascii="仿宋" w:hAnsi="仿宋" w:eastAsia="仿宋" w:cs="仿宋"/>
          <w:color w:val="auto"/>
          <w:sz w:val="24"/>
          <w:szCs w:val="24"/>
          <w:highlight w:val="none"/>
          <w:lang w:val="en-US" w:eastAsia="zh-CN"/>
        </w:rPr>
        <w:t>终</w:t>
      </w:r>
      <w:r>
        <w:rPr>
          <w:rStyle w:val="35"/>
          <w:rFonts w:hint="eastAsia" w:ascii="仿宋" w:hAnsi="仿宋" w:eastAsia="仿宋" w:cs="仿宋"/>
          <w:color w:val="auto"/>
          <w:sz w:val="24"/>
          <w:szCs w:val="24"/>
          <w:highlight w:val="none"/>
          <w:lang w:eastAsia="zh-CN"/>
        </w:rPr>
        <w:t>报价最低的供应商的价格为磋商基准价，其价格分为满分。其他供应商的价格分统一按照下列公式计算：</w:t>
      </w:r>
    </w:p>
    <w:p w14:paraId="313F3CA4">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磋商报价得分=（磋商基准价/最后磋商报价）×价格权值×100</w:t>
      </w:r>
    </w:p>
    <w:p w14:paraId="396D447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本项目的价格权值为</w:t>
      </w:r>
      <w:r>
        <w:rPr>
          <w:rStyle w:val="35"/>
          <w:rFonts w:hint="eastAsia" w:ascii="仿宋" w:hAnsi="仿宋" w:eastAsia="仿宋" w:cs="仿宋"/>
          <w:color w:val="auto"/>
          <w:sz w:val="24"/>
          <w:szCs w:val="24"/>
          <w:highlight w:val="none"/>
          <w:lang w:val="en-US" w:eastAsia="zh-CN"/>
        </w:rPr>
        <w:t>10</w:t>
      </w:r>
      <w:r>
        <w:rPr>
          <w:rStyle w:val="35"/>
          <w:rFonts w:hint="eastAsia" w:ascii="仿宋" w:hAnsi="仿宋" w:eastAsia="仿宋" w:cs="仿宋"/>
          <w:color w:val="auto"/>
          <w:sz w:val="24"/>
          <w:szCs w:val="24"/>
          <w:highlight w:val="none"/>
          <w:lang w:eastAsia="zh-CN"/>
        </w:rPr>
        <w:t>%</w:t>
      </w:r>
    </w:p>
    <w:p w14:paraId="3130F53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项目评审过程中，不得去掉最终报价中的最高报价和最低报价。</w:t>
      </w:r>
    </w:p>
    <w:p w14:paraId="2F9DF2AA">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29.7.5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投标处理。</w:t>
      </w:r>
    </w:p>
    <w:p w14:paraId="67748057">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29.8综合得分</w:t>
      </w:r>
    </w:p>
    <w:p w14:paraId="0C8BEA08">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综合得分=商务技术部分得分+投标报价部分得分。</w:t>
      </w:r>
    </w:p>
    <w:p w14:paraId="3BA04AD7">
      <w:pPr>
        <w:shd w:val="clear"/>
        <w:spacing w:before="127" w:line="579" w:lineRule="exact"/>
        <w:ind w:left="581" w:right="3232"/>
        <w:rPr>
          <w:rStyle w:val="35"/>
          <w:rFonts w:ascii="仿宋" w:hAnsi="仿宋" w:eastAsia="仿宋" w:cs="仿宋"/>
          <w:b/>
          <w:color w:val="auto"/>
          <w:sz w:val="24"/>
          <w:highlight w:val="none"/>
          <w:lang w:eastAsia="zh-CN"/>
        </w:rPr>
      </w:pPr>
      <w:r>
        <w:rPr>
          <w:rStyle w:val="35"/>
          <w:rFonts w:hint="eastAsia" w:ascii="仿宋" w:hAnsi="仿宋" w:eastAsia="仿宋" w:cs="仿宋"/>
          <w:b/>
          <w:color w:val="auto"/>
          <w:sz w:val="24"/>
          <w:highlight w:val="none"/>
          <w:lang w:eastAsia="zh-CN"/>
        </w:rPr>
        <w:t>详细评审的标准详见附表</w:t>
      </w:r>
      <w:r>
        <w:rPr>
          <w:rStyle w:val="35"/>
          <w:rFonts w:hint="eastAsia" w:ascii="仿宋" w:hAnsi="仿宋" w:eastAsia="仿宋" w:cs="仿宋"/>
          <w:b/>
          <w:color w:val="auto"/>
          <w:sz w:val="24"/>
          <w:highlight w:val="none"/>
          <w:lang w:val="en-US" w:eastAsia="zh-CN"/>
        </w:rPr>
        <w:t>3</w:t>
      </w:r>
      <w:r>
        <w:rPr>
          <w:rStyle w:val="35"/>
          <w:rFonts w:hint="eastAsia" w:ascii="仿宋" w:hAnsi="仿宋" w:eastAsia="仿宋" w:cs="仿宋"/>
          <w:b/>
          <w:color w:val="auto"/>
          <w:sz w:val="24"/>
          <w:highlight w:val="none"/>
          <w:lang w:eastAsia="zh-CN"/>
        </w:rPr>
        <w:t>。</w:t>
      </w:r>
    </w:p>
    <w:p w14:paraId="4A18B362">
      <w:pPr>
        <w:shd w:val="clear"/>
        <w:rPr>
          <w:rStyle w:val="35"/>
          <w:rFonts w:ascii="仿宋" w:hAnsi="仿宋" w:eastAsia="仿宋" w:cs="仿宋"/>
          <w:color w:val="auto"/>
          <w:sz w:val="28"/>
          <w:highlight w:val="none"/>
          <w:lang w:eastAsia="zh-CN"/>
        </w:rPr>
        <w:sectPr>
          <w:footerReference r:id="rId4" w:type="default"/>
          <w:pgSz w:w="11910" w:h="16840"/>
          <w:pgMar w:top="1480" w:right="1180" w:bottom="1180" w:left="1480" w:header="0" w:footer="912" w:gutter="0"/>
          <w:pgNumType w:fmt="decimal" w:start="1"/>
          <w:cols w:space="720" w:num="1"/>
        </w:sectPr>
      </w:pPr>
    </w:p>
    <w:p w14:paraId="7208F89C">
      <w:pPr>
        <w:shd w:val="clear"/>
        <w:spacing w:after="42" w:line="361" w:lineRule="exact"/>
        <w:ind w:left="169"/>
        <w:rPr>
          <w:rStyle w:val="35"/>
          <w:rFonts w:hint="eastAsia" w:ascii="仿宋" w:hAnsi="仿宋" w:eastAsia="仿宋" w:cs="仿宋"/>
          <w:b/>
          <w:color w:val="auto"/>
          <w:sz w:val="28"/>
          <w:highlight w:val="none"/>
          <w:lang w:eastAsia="zh-CN"/>
        </w:rPr>
      </w:pPr>
      <w:r>
        <w:rPr>
          <w:rStyle w:val="35"/>
          <w:rFonts w:hint="eastAsia" w:ascii="仿宋" w:hAnsi="仿宋" w:eastAsia="仿宋" w:cs="仿宋"/>
          <w:b/>
          <w:color w:val="auto"/>
          <w:sz w:val="28"/>
          <w:highlight w:val="none"/>
          <w:lang w:eastAsia="zh-CN"/>
        </w:rPr>
        <w:t>附表1：初步评审-</w:t>
      </w:r>
      <w:r>
        <w:rPr>
          <w:rStyle w:val="35"/>
          <w:rFonts w:hint="eastAsia" w:ascii="仿宋" w:hAnsi="仿宋" w:eastAsia="仿宋" w:cs="仿宋"/>
          <w:b/>
          <w:color w:val="auto"/>
          <w:sz w:val="28"/>
          <w:highlight w:val="none"/>
          <w:lang w:val="en-US" w:eastAsia="zh-CN"/>
        </w:rPr>
        <w:t>资格</w:t>
      </w:r>
      <w:r>
        <w:rPr>
          <w:rStyle w:val="35"/>
          <w:rFonts w:hint="eastAsia" w:ascii="仿宋" w:hAnsi="仿宋" w:eastAsia="仿宋" w:cs="仿宋"/>
          <w:b/>
          <w:color w:val="auto"/>
          <w:sz w:val="28"/>
          <w:highlight w:val="none"/>
          <w:lang w:eastAsia="zh-CN"/>
        </w:rPr>
        <w:t>性审查表</w:t>
      </w:r>
    </w:p>
    <w:tbl>
      <w:tblPr>
        <w:tblStyle w:val="27"/>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2DAB5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5F219347">
            <w:pPr>
              <w:pStyle w:val="43"/>
              <w:shd w:val="clear"/>
              <w:rPr>
                <w:rStyle w:val="35"/>
                <w:rFonts w:ascii="仿宋" w:hAnsi="仿宋" w:eastAsia="仿宋" w:cs="仿宋"/>
                <w:b/>
                <w:color w:val="auto"/>
                <w:sz w:val="24"/>
                <w:szCs w:val="24"/>
                <w:highlight w:val="none"/>
                <w:lang w:eastAsia="zh-CN"/>
              </w:rPr>
            </w:pPr>
          </w:p>
          <w:p w14:paraId="05B5F0B7">
            <w:pPr>
              <w:pStyle w:val="43"/>
              <w:shd w:val="clear"/>
              <w:rPr>
                <w:rStyle w:val="35"/>
                <w:rFonts w:ascii="仿宋" w:hAnsi="仿宋" w:eastAsia="仿宋" w:cs="仿宋"/>
                <w:b/>
                <w:color w:val="auto"/>
                <w:sz w:val="24"/>
                <w:szCs w:val="24"/>
                <w:highlight w:val="none"/>
                <w:lang w:eastAsia="zh-CN"/>
              </w:rPr>
            </w:pPr>
          </w:p>
          <w:p w14:paraId="27BEBED0">
            <w:pPr>
              <w:pStyle w:val="43"/>
              <w:shd w:val="clear"/>
              <w:spacing w:before="1"/>
              <w:ind w:left="13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0D1FD5F5">
            <w:pPr>
              <w:pStyle w:val="43"/>
              <w:shd w:val="clear"/>
              <w:rPr>
                <w:rStyle w:val="35"/>
                <w:rFonts w:ascii="仿宋" w:hAnsi="仿宋" w:eastAsia="仿宋" w:cs="仿宋"/>
                <w:b/>
                <w:color w:val="auto"/>
                <w:sz w:val="24"/>
                <w:szCs w:val="24"/>
                <w:highlight w:val="none"/>
                <w:lang w:eastAsia="zh-CN"/>
              </w:rPr>
            </w:pPr>
          </w:p>
          <w:p w14:paraId="40935FFE">
            <w:pPr>
              <w:pStyle w:val="43"/>
              <w:shd w:val="clear"/>
              <w:rPr>
                <w:rStyle w:val="35"/>
                <w:rFonts w:ascii="仿宋" w:hAnsi="仿宋" w:eastAsia="仿宋" w:cs="仿宋"/>
                <w:b/>
                <w:color w:val="auto"/>
                <w:sz w:val="24"/>
                <w:szCs w:val="24"/>
                <w:highlight w:val="none"/>
                <w:lang w:eastAsia="zh-CN"/>
              </w:rPr>
            </w:pPr>
          </w:p>
          <w:p w14:paraId="7C9A1C33">
            <w:pPr>
              <w:pStyle w:val="43"/>
              <w:shd w:val="clear"/>
              <w:spacing w:before="1"/>
              <w:ind w:left="2412"/>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w:t>
            </w:r>
            <w:r>
              <w:rPr>
                <w:rStyle w:val="35"/>
                <w:rFonts w:hint="eastAsia" w:ascii="仿宋" w:hAnsi="仿宋" w:eastAsia="仿宋" w:cs="仿宋"/>
                <w:color w:val="auto"/>
                <w:sz w:val="24"/>
                <w:szCs w:val="24"/>
                <w:highlight w:val="none"/>
                <w:lang w:val="en-US" w:eastAsia="zh-CN"/>
              </w:rPr>
              <w:t>资格</w:t>
            </w:r>
            <w:r>
              <w:rPr>
                <w:rStyle w:val="35"/>
                <w:rFonts w:hint="eastAsia" w:ascii="仿宋" w:hAnsi="仿宋" w:eastAsia="仿宋" w:cs="仿宋"/>
                <w:color w:val="auto"/>
                <w:sz w:val="24"/>
                <w:szCs w:val="24"/>
                <w:highlight w:val="none"/>
                <w:lang w:eastAsia="zh-CN"/>
              </w:rPr>
              <w:t>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05B06B0D">
            <w:pPr>
              <w:pStyle w:val="43"/>
              <w:shd w:val="clear"/>
              <w:spacing w:before="157"/>
              <w:ind w:left="25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评审意见</w:t>
            </w:r>
          </w:p>
        </w:tc>
      </w:tr>
      <w:tr w14:paraId="6E928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1934CFE9">
            <w:pPr>
              <w:shd w:val="clear"/>
              <w:rPr>
                <w:rStyle w:val="35"/>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3057E4CB">
            <w:pPr>
              <w:shd w:val="clear"/>
              <w:rPr>
                <w:rStyle w:val="35"/>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tcPr>
          <w:p w14:paraId="2B937125">
            <w:pPr>
              <w:pStyle w:val="43"/>
              <w:shd w:val="clear"/>
              <w:spacing w:before="157"/>
              <w:ind w:left="235"/>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tcPr>
          <w:p w14:paraId="2F81FB7E">
            <w:pPr>
              <w:pStyle w:val="43"/>
              <w:shd w:val="clear"/>
              <w:spacing w:before="157"/>
              <w:ind w:left="25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否</w:t>
            </w:r>
          </w:p>
        </w:tc>
      </w:tr>
      <w:tr w14:paraId="07B37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1AA88DB9">
            <w:pPr>
              <w:pStyle w:val="43"/>
              <w:shd w:val="clear"/>
              <w:spacing w:before="1"/>
              <w:rPr>
                <w:rStyle w:val="35"/>
                <w:rFonts w:ascii="仿宋" w:hAnsi="仿宋" w:eastAsia="仿宋" w:cs="仿宋"/>
                <w:b/>
                <w:color w:val="auto"/>
                <w:sz w:val="24"/>
                <w:szCs w:val="24"/>
                <w:highlight w:val="none"/>
              </w:rPr>
            </w:pPr>
          </w:p>
          <w:p w14:paraId="57E9442D">
            <w:pPr>
              <w:pStyle w:val="43"/>
              <w:shd w:val="clear"/>
              <w:spacing w:before="1"/>
              <w:ind w:left="6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vAlign w:val="center"/>
          </w:tcPr>
          <w:p w14:paraId="3324EAC3">
            <w:pPr>
              <w:keepNext w:val="0"/>
              <w:keepLines w:val="0"/>
              <w:widowControl/>
              <w:suppressLineNumbers w:val="0"/>
              <w:shd w:val="clear"/>
              <w:jc w:val="left"/>
              <w:textAlignment w:val="center"/>
              <w:rPr>
                <w:rStyle w:val="35"/>
                <w:rFonts w:hint="eastAsia" w:ascii="仿宋" w:hAnsi="仿宋" w:eastAsia="仿宋" w:cs="仿宋"/>
                <w:color w:val="auto"/>
                <w:sz w:val="24"/>
                <w:szCs w:val="24"/>
                <w:highlight w:val="none"/>
                <w:lang w:val="en-US" w:eastAsia="zh-CN" w:bidi="ar-SA"/>
              </w:rPr>
            </w:pPr>
            <w:r>
              <w:rPr>
                <w:rStyle w:val="35"/>
                <w:rFonts w:hint="eastAsia" w:ascii="仿宋" w:hAnsi="仿宋" w:eastAsia="仿宋" w:cs="仿宋"/>
                <w:color w:val="auto"/>
                <w:sz w:val="24"/>
                <w:szCs w:val="24"/>
                <w:highlight w:val="none"/>
                <w:lang w:val="en-US" w:eastAsia="zh-CN" w:bidi="ar-SA"/>
              </w:rPr>
              <w:t>具有独立承担民事责任的能力；（法人或者其他组织的营业执照等证明文件；自然人需提供身份证明；）</w:t>
            </w:r>
          </w:p>
        </w:tc>
        <w:tc>
          <w:tcPr>
            <w:tcW w:w="631" w:type="dxa"/>
            <w:tcBorders>
              <w:top w:val="single" w:color="000000" w:sz="4" w:space="0"/>
              <w:left w:val="single" w:color="000000" w:sz="4" w:space="0"/>
              <w:bottom w:val="single" w:color="000000" w:sz="4" w:space="0"/>
              <w:right w:val="single" w:color="000000" w:sz="4" w:space="0"/>
            </w:tcBorders>
          </w:tcPr>
          <w:p w14:paraId="34D47EDA">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52DBF19">
            <w:pPr>
              <w:pStyle w:val="43"/>
              <w:shd w:val="clear"/>
              <w:rPr>
                <w:rStyle w:val="35"/>
                <w:rFonts w:ascii="仿宋" w:hAnsi="仿宋" w:eastAsia="仿宋" w:cs="仿宋"/>
                <w:color w:val="auto"/>
                <w:sz w:val="24"/>
                <w:szCs w:val="24"/>
                <w:highlight w:val="none"/>
                <w:lang w:eastAsia="zh-CN"/>
              </w:rPr>
            </w:pPr>
          </w:p>
        </w:tc>
      </w:tr>
      <w:tr w14:paraId="5431F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228EDD85">
            <w:pPr>
              <w:pStyle w:val="43"/>
              <w:shd w:val="clear"/>
              <w:spacing w:before="1"/>
              <w:ind w:left="65"/>
              <w:jc w:val="center"/>
              <w:rPr>
                <w:rStyle w:val="35"/>
                <w:rFonts w:hint="eastAsia"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2</w:t>
            </w:r>
          </w:p>
        </w:tc>
        <w:tc>
          <w:tcPr>
            <w:tcW w:w="7084" w:type="dxa"/>
            <w:tcBorders>
              <w:top w:val="single" w:color="000000" w:sz="4" w:space="0"/>
              <w:left w:val="single" w:color="000000" w:sz="4" w:space="0"/>
              <w:bottom w:val="single" w:color="000000" w:sz="4" w:space="0"/>
              <w:right w:val="single" w:color="000000" w:sz="4" w:space="0"/>
            </w:tcBorders>
            <w:vAlign w:val="center"/>
          </w:tcPr>
          <w:p w14:paraId="0E84A50D">
            <w:pPr>
              <w:keepNext w:val="0"/>
              <w:keepLines w:val="0"/>
              <w:widowControl/>
              <w:suppressLineNumbers w:val="0"/>
              <w:shd w:val="clear"/>
              <w:jc w:val="left"/>
              <w:textAlignment w:val="center"/>
              <w:rPr>
                <w:rStyle w:val="35"/>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pacing w:val="0"/>
                <w:sz w:val="24"/>
                <w:szCs w:val="24"/>
                <w:highlight w:val="none"/>
                <w:lang w:val="en-US" w:eastAsia="zh-CN"/>
              </w:rPr>
              <w:t>提供法定代表人身份证明或法定代表人授权委托书；</w:t>
            </w:r>
          </w:p>
        </w:tc>
        <w:tc>
          <w:tcPr>
            <w:tcW w:w="631" w:type="dxa"/>
            <w:tcBorders>
              <w:top w:val="single" w:color="000000" w:sz="4" w:space="0"/>
              <w:left w:val="single" w:color="000000" w:sz="4" w:space="0"/>
              <w:bottom w:val="single" w:color="000000" w:sz="4" w:space="0"/>
              <w:right w:val="single" w:color="000000" w:sz="4" w:space="0"/>
            </w:tcBorders>
          </w:tcPr>
          <w:p w14:paraId="5C728564">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462B08F">
            <w:pPr>
              <w:pStyle w:val="43"/>
              <w:shd w:val="clear"/>
              <w:rPr>
                <w:rStyle w:val="35"/>
                <w:rFonts w:ascii="仿宋" w:hAnsi="仿宋" w:eastAsia="仿宋" w:cs="仿宋"/>
                <w:color w:val="auto"/>
                <w:sz w:val="24"/>
                <w:szCs w:val="24"/>
                <w:highlight w:val="none"/>
                <w:lang w:eastAsia="zh-CN"/>
              </w:rPr>
            </w:pPr>
          </w:p>
        </w:tc>
      </w:tr>
      <w:tr w14:paraId="21A1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01437A6D">
            <w:pPr>
              <w:pStyle w:val="43"/>
              <w:shd w:val="clear"/>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vAlign w:val="center"/>
          </w:tcPr>
          <w:p w14:paraId="0D5C1467">
            <w:pPr>
              <w:keepNext w:val="0"/>
              <w:keepLines w:val="0"/>
              <w:widowControl/>
              <w:suppressLineNumbers w:val="0"/>
              <w:shd w:val="clear"/>
              <w:jc w:val="left"/>
              <w:textAlignment w:val="center"/>
              <w:rPr>
                <w:rStyle w:val="35"/>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pacing w:val="0"/>
                <w:sz w:val="24"/>
                <w:szCs w:val="24"/>
                <w:highlight w:val="none"/>
              </w:rPr>
              <w:t>满足《中华人民共和国政府采购法》第二十二条规定</w:t>
            </w:r>
            <w:r>
              <w:rPr>
                <w:rStyle w:val="35"/>
                <w:rFonts w:hint="eastAsia" w:ascii="仿宋" w:hAnsi="仿宋" w:eastAsia="仿宋" w:cs="仿宋"/>
                <w:color w:val="auto"/>
                <w:sz w:val="24"/>
                <w:szCs w:val="24"/>
                <w:highlight w:val="none"/>
                <w:lang w:val="en-US" w:eastAsia="zh-CN" w:bidi="ar-SA"/>
              </w:rPr>
              <w:t>；（须提政府采购供应商信用承诺函）</w:t>
            </w:r>
          </w:p>
        </w:tc>
        <w:tc>
          <w:tcPr>
            <w:tcW w:w="631" w:type="dxa"/>
            <w:tcBorders>
              <w:top w:val="single" w:color="000000" w:sz="4" w:space="0"/>
              <w:left w:val="single" w:color="000000" w:sz="4" w:space="0"/>
              <w:bottom w:val="single" w:color="000000" w:sz="4" w:space="0"/>
              <w:right w:val="single" w:color="000000" w:sz="4" w:space="0"/>
            </w:tcBorders>
          </w:tcPr>
          <w:p w14:paraId="159E8059">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23139CA">
            <w:pPr>
              <w:pStyle w:val="43"/>
              <w:shd w:val="clear"/>
              <w:rPr>
                <w:rStyle w:val="35"/>
                <w:rFonts w:ascii="仿宋" w:hAnsi="仿宋" w:eastAsia="仿宋" w:cs="仿宋"/>
                <w:color w:val="auto"/>
                <w:sz w:val="24"/>
                <w:szCs w:val="24"/>
                <w:highlight w:val="none"/>
                <w:lang w:eastAsia="zh-CN"/>
              </w:rPr>
            </w:pPr>
          </w:p>
        </w:tc>
      </w:tr>
      <w:tr w14:paraId="03E88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5DD9B3ED">
            <w:pPr>
              <w:pStyle w:val="43"/>
              <w:shd w:val="clear"/>
              <w:spacing w:before="168"/>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vAlign w:val="center"/>
          </w:tcPr>
          <w:p w14:paraId="35811816">
            <w:pPr>
              <w:keepNext w:val="0"/>
              <w:keepLines w:val="0"/>
              <w:widowControl/>
              <w:suppressLineNumbers w:val="0"/>
              <w:shd w:val="clear"/>
              <w:jc w:val="left"/>
              <w:textAlignment w:val="center"/>
              <w:rPr>
                <w:rStyle w:val="35"/>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kern w:val="0"/>
                <w:sz w:val="26"/>
                <w:szCs w:val="26"/>
                <w:highlight w:val="none"/>
                <w:u w:val="none"/>
                <w:lang w:val="en-US" w:eastAsia="zh-CN" w:bidi="ar"/>
              </w:rPr>
              <w:t>提供供应商无关联关系书面声明函；</w:t>
            </w:r>
          </w:p>
        </w:tc>
        <w:tc>
          <w:tcPr>
            <w:tcW w:w="631" w:type="dxa"/>
            <w:tcBorders>
              <w:top w:val="single" w:color="000000" w:sz="4" w:space="0"/>
              <w:left w:val="single" w:color="000000" w:sz="4" w:space="0"/>
              <w:bottom w:val="single" w:color="000000" w:sz="4" w:space="0"/>
              <w:right w:val="single" w:color="000000" w:sz="4" w:space="0"/>
            </w:tcBorders>
          </w:tcPr>
          <w:p w14:paraId="44FBE30A">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12D11EC7">
            <w:pPr>
              <w:pStyle w:val="43"/>
              <w:shd w:val="clear"/>
              <w:rPr>
                <w:rStyle w:val="35"/>
                <w:rFonts w:ascii="仿宋" w:hAnsi="仿宋" w:eastAsia="仿宋" w:cs="仿宋"/>
                <w:color w:val="auto"/>
                <w:sz w:val="24"/>
                <w:szCs w:val="24"/>
                <w:highlight w:val="none"/>
                <w:lang w:eastAsia="zh-CN"/>
              </w:rPr>
            </w:pPr>
          </w:p>
        </w:tc>
      </w:tr>
      <w:tr w14:paraId="33508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72C7F082">
            <w:pPr>
              <w:pStyle w:val="43"/>
              <w:shd w:val="clear"/>
              <w:spacing w:before="168"/>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vAlign w:val="center"/>
          </w:tcPr>
          <w:p w14:paraId="304075FF">
            <w:pPr>
              <w:keepNext w:val="0"/>
              <w:keepLines w:val="0"/>
              <w:widowControl/>
              <w:suppressLineNumbers w:val="0"/>
              <w:shd w:val="clear"/>
              <w:jc w:val="left"/>
              <w:textAlignment w:val="center"/>
              <w:rPr>
                <w:rFonts w:hint="eastAsia" w:ascii="仿宋" w:hAnsi="仿宋" w:eastAsia="仿宋" w:cs="仿宋"/>
                <w:i w:val="0"/>
                <w:iCs w:val="0"/>
                <w:color w:val="auto"/>
                <w:kern w:val="0"/>
                <w:sz w:val="26"/>
                <w:szCs w:val="26"/>
                <w:highlight w:val="none"/>
                <w:u w:val="none"/>
                <w:lang w:val="en-US" w:eastAsia="zh-CN" w:bidi="ar"/>
              </w:rPr>
            </w:pPr>
            <w:r>
              <w:rPr>
                <w:rStyle w:val="35"/>
                <w:rFonts w:hint="eastAsia" w:ascii="仿宋" w:hAnsi="仿宋" w:eastAsia="仿宋" w:cs="仿宋"/>
                <w:color w:val="auto"/>
                <w:sz w:val="24"/>
                <w:szCs w:val="24"/>
                <w:highlight w:val="none"/>
                <w:lang w:val="en-US" w:eastAsia="zh-CN" w:bidi="ar-SA"/>
              </w:rPr>
              <w:t>提供《中小企业声明函》，供应商必须为中小企业（含中型、小型、微型企业）。</w:t>
            </w:r>
            <w:r>
              <w:rPr>
                <w:rStyle w:val="35"/>
                <w:rFonts w:hint="eastAsia" w:ascii="仿宋" w:hAnsi="仿宋" w:eastAsia="仿宋" w:cs="仿宋"/>
                <w:color w:val="auto"/>
                <w:sz w:val="24"/>
                <w:szCs w:val="24"/>
                <w:highlight w:val="none"/>
                <w:lang w:eastAsia="zh-CN"/>
              </w:rPr>
              <w:t>（监狱企业、残疾人福利性单位视同小微企业）</w:t>
            </w:r>
          </w:p>
        </w:tc>
        <w:tc>
          <w:tcPr>
            <w:tcW w:w="631" w:type="dxa"/>
            <w:tcBorders>
              <w:top w:val="single" w:color="000000" w:sz="4" w:space="0"/>
              <w:left w:val="single" w:color="000000" w:sz="4" w:space="0"/>
              <w:bottom w:val="single" w:color="000000" w:sz="4" w:space="0"/>
              <w:right w:val="single" w:color="000000" w:sz="4" w:space="0"/>
            </w:tcBorders>
          </w:tcPr>
          <w:p w14:paraId="36A99004">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A3C2416">
            <w:pPr>
              <w:pStyle w:val="43"/>
              <w:shd w:val="clear"/>
              <w:rPr>
                <w:rStyle w:val="35"/>
                <w:rFonts w:ascii="仿宋" w:hAnsi="仿宋" w:eastAsia="仿宋" w:cs="仿宋"/>
                <w:color w:val="auto"/>
                <w:sz w:val="24"/>
                <w:szCs w:val="24"/>
                <w:highlight w:val="none"/>
                <w:lang w:eastAsia="zh-CN"/>
              </w:rPr>
            </w:pPr>
          </w:p>
        </w:tc>
      </w:tr>
      <w:tr w14:paraId="6FFEA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4CC0CC9D">
            <w:pPr>
              <w:pStyle w:val="43"/>
              <w:shd w:val="clear"/>
              <w:rPr>
                <w:rStyle w:val="35"/>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48BE1A9C">
            <w:pPr>
              <w:pStyle w:val="43"/>
              <w:shd w:val="clear"/>
              <w:tabs>
                <w:tab w:val="left" w:pos="686"/>
              </w:tabs>
              <w:spacing w:before="121"/>
              <w:ind w:left="5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6EB9255E">
            <w:pPr>
              <w:pStyle w:val="43"/>
              <w:shd w:val="clear"/>
              <w:rPr>
                <w:rStyle w:val="35"/>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562320EC">
            <w:pPr>
              <w:pStyle w:val="43"/>
              <w:shd w:val="clear"/>
              <w:rPr>
                <w:rStyle w:val="35"/>
                <w:rFonts w:ascii="仿宋" w:hAnsi="仿宋" w:eastAsia="仿宋" w:cs="仿宋"/>
                <w:color w:val="auto"/>
                <w:sz w:val="24"/>
                <w:szCs w:val="24"/>
                <w:highlight w:val="none"/>
              </w:rPr>
            </w:pPr>
          </w:p>
        </w:tc>
      </w:tr>
    </w:tbl>
    <w:p w14:paraId="6F6DF2E1">
      <w:pPr>
        <w:pStyle w:val="7"/>
        <w:shd w:val="clear"/>
        <w:rPr>
          <w:rStyle w:val="35"/>
          <w:rFonts w:hint="eastAsia" w:ascii="仿宋" w:hAnsi="仿宋" w:eastAsia="仿宋" w:cs="仿宋"/>
          <w:b/>
          <w:color w:val="auto"/>
          <w:sz w:val="28"/>
          <w:highlight w:val="none"/>
          <w:lang w:eastAsia="zh-CN"/>
        </w:rPr>
      </w:pPr>
    </w:p>
    <w:p w14:paraId="5F582292">
      <w:pPr>
        <w:shd w:val="clear"/>
        <w:spacing w:before="49"/>
        <w:ind w:left="531"/>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说明：（1）上述各项中用“√”表示通过，“×”表示不通过；</w:t>
      </w:r>
    </w:p>
    <w:p w14:paraId="7FB23B47">
      <w:pPr>
        <w:shd w:val="clear"/>
        <w:spacing w:before="83" w:line="326" w:lineRule="auto"/>
        <w:ind w:left="171" w:right="208" w:firstLine="360"/>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pacing w:val="-5"/>
          <w:sz w:val="20"/>
          <w:szCs w:val="24"/>
          <w:highlight w:val="none"/>
          <w:lang w:eastAsia="zh-CN"/>
        </w:rPr>
        <w:t>（2）上述各项中如有一项为“×”，则结论为“×”，表示该响应文件不能通过</w:t>
      </w:r>
      <w:r>
        <w:rPr>
          <w:rStyle w:val="35"/>
          <w:rFonts w:hint="eastAsia" w:ascii="仿宋" w:hAnsi="仿宋" w:eastAsia="仿宋" w:cs="仿宋"/>
          <w:color w:val="auto"/>
          <w:spacing w:val="-5"/>
          <w:sz w:val="20"/>
          <w:szCs w:val="24"/>
          <w:highlight w:val="none"/>
          <w:lang w:val="en-US" w:eastAsia="zh-CN"/>
        </w:rPr>
        <w:t>资格审查，其响应文件不予评审</w:t>
      </w:r>
      <w:r>
        <w:rPr>
          <w:rStyle w:val="35"/>
          <w:rFonts w:hint="eastAsia" w:ascii="仿宋" w:hAnsi="仿宋" w:eastAsia="仿宋" w:cs="仿宋"/>
          <w:color w:val="auto"/>
          <w:spacing w:val="-5"/>
          <w:sz w:val="20"/>
          <w:szCs w:val="24"/>
          <w:highlight w:val="none"/>
          <w:lang w:eastAsia="zh-CN"/>
        </w:rPr>
        <w:t>。</w:t>
      </w:r>
    </w:p>
    <w:p w14:paraId="7B3EEDCC">
      <w:pPr>
        <w:shd w:val="clear"/>
        <w:spacing w:before="83" w:line="326" w:lineRule="auto"/>
        <w:ind w:left="171" w:right="122" w:firstLine="360"/>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w:t>
      </w:r>
      <w:r>
        <w:rPr>
          <w:rStyle w:val="35"/>
          <w:rFonts w:hint="eastAsia" w:ascii="仿宋" w:hAnsi="仿宋" w:eastAsia="仿宋" w:cs="仿宋"/>
          <w:color w:val="auto"/>
          <w:sz w:val="20"/>
          <w:szCs w:val="24"/>
          <w:highlight w:val="none"/>
          <w:lang w:val="en-US" w:eastAsia="zh-CN"/>
        </w:rPr>
        <w:t>3</w:t>
      </w:r>
      <w:r>
        <w:rPr>
          <w:rStyle w:val="35"/>
          <w:rFonts w:hint="eastAsia" w:ascii="仿宋" w:hAnsi="仿宋" w:eastAsia="仿宋" w:cs="仿宋"/>
          <w:color w:val="auto"/>
          <w:sz w:val="20"/>
          <w:szCs w:val="24"/>
          <w:highlight w:val="none"/>
          <w:lang w:eastAsia="zh-CN"/>
        </w:rPr>
        <w:t>）供应商请认真阅读和理解上述内容，避免响应文件中有违背上述审查标准之一的情况发生而造成投标被否决。</w:t>
      </w:r>
    </w:p>
    <w:p w14:paraId="358A6E6C">
      <w:pPr>
        <w:shd w:val="clear"/>
        <w:rPr>
          <w:rStyle w:val="35"/>
          <w:rFonts w:hint="eastAsia" w:ascii="仿宋" w:hAnsi="仿宋" w:eastAsia="仿宋" w:cs="仿宋"/>
          <w:b/>
          <w:color w:val="auto"/>
          <w:sz w:val="28"/>
          <w:highlight w:val="none"/>
          <w:lang w:eastAsia="zh-CN"/>
        </w:rPr>
      </w:pPr>
    </w:p>
    <w:p w14:paraId="796728EF">
      <w:pPr>
        <w:pStyle w:val="7"/>
        <w:shd w:val="clear"/>
        <w:rPr>
          <w:rStyle w:val="35"/>
          <w:rFonts w:hint="eastAsia" w:ascii="仿宋" w:hAnsi="仿宋" w:eastAsia="仿宋" w:cs="仿宋"/>
          <w:b/>
          <w:color w:val="auto"/>
          <w:sz w:val="28"/>
          <w:highlight w:val="none"/>
          <w:lang w:eastAsia="zh-CN"/>
        </w:rPr>
      </w:pPr>
    </w:p>
    <w:p w14:paraId="4DC7E2DE">
      <w:pPr>
        <w:shd w:val="clear"/>
        <w:rPr>
          <w:rStyle w:val="35"/>
          <w:rFonts w:hint="eastAsia" w:ascii="仿宋" w:hAnsi="仿宋" w:eastAsia="仿宋" w:cs="仿宋"/>
          <w:b/>
          <w:color w:val="auto"/>
          <w:sz w:val="28"/>
          <w:highlight w:val="none"/>
          <w:lang w:eastAsia="zh-CN"/>
        </w:rPr>
      </w:pPr>
    </w:p>
    <w:p w14:paraId="13AA674A">
      <w:pPr>
        <w:pStyle w:val="33"/>
        <w:keepNext/>
        <w:keepLines/>
        <w:pageBreakBefore w:val="0"/>
        <w:widowControl/>
        <w:shd w:val="clear"/>
        <w:kinsoku/>
        <w:wordWrap/>
        <w:overflowPunct/>
        <w:topLinePunct w:val="0"/>
        <w:autoSpaceDE/>
        <w:autoSpaceDN/>
        <w:bidi w:val="0"/>
        <w:adjustRightInd/>
        <w:snapToGrid/>
        <w:spacing w:line="377" w:lineRule="auto"/>
        <w:textAlignment w:val="baseline"/>
        <w:outlineLvl w:val="9"/>
        <w:rPr>
          <w:rStyle w:val="35"/>
          <w:rFonts w:hint="eastAsia" w:ascii="仿宋" w:hAnsi="仿宋" w:eastAsia="仿宋" w:cs="仿宋"/>
          <w:b/>
          <w:color w:val="auto"/>
          <w:sz w:val="28"/>
          <w:highlight w:val="none"/>
          <w:lang w:eastAsia="zh-CN"/>
        </w:rPr>
      </w:pPr>
    </w:p>
    <w:p w14:paraId="21D00815">
      <w:pPr>
        <w:pStyle w:val="34"/>
        <w:shd w:val="clear"/>
        <w:rPr>
          <w:rStyle w:val="35"/>
          <w:rFonts w:hint="eastAsia" w:ascii="仿宋" w:hAnsi="仿宋" w:eastAsia="仿宋" w:cs="仿宋"/>
          <w:b/>
          <w:color w:val="auto"/>
          <w:sz w:val="28"/>
          <w:highlight w:val="none"/>
          <w:lang w:eastAsia="zh-CN"/>
        </w:rPr>
      </w:pPr>
    </w:p>
    <w:p w14:paraId="31C5E5CC">
      <w:pPr>
        <w:pStyle w:val="34"/>
        <w:shd w:val="clear"/>
        <w:rPr>
          <w:rStyle w:val="35"/>
          <w:rFonts w:hint="eastAsia" w:ascii="仿宋" w:hAnsi="仿宋" w:eastAsia="仿宋" w:cs="仿宋"/>
          <w:b/>
          <w:color w:val="auto"/>
          <w:sz w:val="28"/>
          <w:highlight w:val="none"/>
          <w:lang w:eastAsia="zh-CN"/>
        </w:rPr>
      </w:pPr>
    </w:p>
    <w:p w14:paraId="161785C1">
      <w:pPr>
        <w:pStyle w:val="34"/>
        <w:shd w:val="clear"/>
        <w:rPr>
          <w:rStyle w:val="35"/>
          <w:rFonts w:hint="eastAsia" w:ascii="仿宋" w:hAnsi="仿宋" w:eastAsia="仿宋" w:cs="仿宋"/>
          <w:b/>
          <w:color w:val="auto"/>
          <w:sz w:val="28"/>
          <w:highlight w:val="none"/>
          <w:lang w:eastAsia="zh-CN"/>
        </w:rPr>
      </w:pPr>
    </w:p>
    <w:p w14:paraId="468095D1">
      <w:pPr>
        <w:pStyle w:val="34"/>
        <w:shd w:val="clear"/>
        <w:rPr>
          <w:rStyle w:val="35"/>
          <w:rFonts w:hint="eastAsia" w:ascii="仿宋" w:hAnsi="仿宋" w:eastAsia="仿宋" w:cs="仿宋"/>
          <w:b/>
          <w:color w:val="auto"/>
          <w:sz w:val="28"/>
          <w:highlight w:val="none"/>
          <w:lang w:eastAsia="zh-CN"/>
        </w:rPr>
      </w:pPr>
    </w:p>
    <w:p w14:paraId="656FC06A">
      <w:pPr>
        <w:pStyle w:val="34"/>
        <w:shd w:val="clear"/>
        <w:rPr>
          <w:rStyle w:val="35"/>
          <w:rFonts w:hint="eastAsia" w:ascii="仿宋" w:hAnsi="仿宋" w:eastAsia="仿宋" w:cs="仿宋"/>
          <w:b/>
          <w:color w:val="auto"/>
          <w:sz w:val="28"/>
          <w:highlight w:val="none"/>
          <w:lang w:eastAsia="zh-CN"/>
        </w:rPr>
      </w:pPr>
    </w:p>
    <w:p w14:paraId="75C3807C">
      <w:pPr>
        <w:pStyle w:val="34"/>
        <w:shd w:val="clear"/>
        <w:rPr>
          <w:rStyle w:val="35"/>
          <w:rFonts w:hint="eastAsia" w:ascii="仿宋" w:hAnsi="仿宋" w:eastAsia="仿宋" w:cs="仿宋"/>
          <w:b/>
          <w:color w:val="auto"/>
          <w:sz w:val="28"/>
          <w:highlight w:val="none"/>
          <w:lang w:eastAsia="zh-CN"/>
        </w:rPr>
      </w:pPr>
    </w:p>
    <w:p w14:paraId="3C949196">
      <w:pPr>
        <w:pStyle w:val="34"/>
        <w:shd w:val="clear"/>
        <w:rPr>
          <w:rStyle w:val="35"/>
          <w:rFonts w:hint="eastAsia" w:ascii="仿宋" w:hAnsi="仿宋" w:eastAsia="仿宋" w:cs="仿宋"/>
          <w:b/>
          <w:color w:val="auto"/>
          <w:sz w:val="28"/>
          <w:highlight w:val="none"/>
          <w:lang w:eastAsia="zh-CN"/>
        </w:rPr>
      </w:pPr>
    </w:p>
    <w:p w14:paraId="632CDBDC">
      <w:pPr>
        <w:pStyle w:val="7"/>
        <w:shd w:val="clear"/>
        <w:rPr>
          <w:rStyle w:val="35"/>
          <w:rFonts w:hint="eastAsia" w:ascii="仿宋" w:hAnsi="仿宋" w:eastAsia="仿宋" w:cs="仿宋"/>
          <w:b/>
          <w:color w:val="auto"/>
          <w:sz w:val="28"/>
          <w:highlight w:val="none"/>
          <w:lang w:eastAsia="zh-CN"/>
        </w:rPr>
      </w:pPr>
    </w:p>
    <w:p w14:paraId="15E0C188">
      <w:pPr>
        <w:pStyle w:val="7"/>
        <w:shd w:val="clear"/>
        <w:rPr>
          <w:color w:val="auto"/>
          <w:highlight w:val="none"/>
          <w:lang w:eastAsia="zh-CN"/>
        </w:rPr>
      </w:pPr>
      <w:r>
        <w:rPr>
          <w:rStyle w:val="35"/>
          <w:rFonts w:hint="eastAsia" w:ascii="仿宋" w:hAnsi="仿宋" w:eastAsia="仿宋" w:cs="仿宋"/>
          <w:b/>
          <w:color w:val="auto"/>
          <w:sz w:val="28"/>
          <w:highlight w:val="none"/>
          <w:lang w:val="en-US" w:eastAsia="zh-CN"/>
        </w:rPr>
        <w:t>附表2：</w:t>
      </w:r>
      <w:r>
        <w:rPr>
          <w:rStyle w:val="35"/>
          <w:rFonts w:hint="eastAsia" w:ascii="仿宋" w:hAnsi="仿宋" w:eastAsia="仿宋" w:cs="仿宋"/>
          <w:b/>
          <w:color w:val="auto"/>
          <w:sz w:val="28"/>
          <w:highlight w:val="none"/>
          <w:lang w:eastAsia="zh-CN"/>
        </w:rPr>
        <w:t>初步评审-</w:t>
      </w:r>
      <w:r>
        <w:rPr>
          <w:rStyle w:val="35"/>
          <w:rFonts w:hint="eastAsia" w:ascii="仿宋" w:hAnsi="仿宋" w:eastAsia="仿宋" w:cs="仿宋"/>
          <w:b/>
          <w:color w:val="auto"/>
          <w:sz w:val="28"/>
          <w:highlight w:val="none"/>
          <w:lang w:val="en-US" w:eastAsia="zh-CN"/>
        </w:rPr>
        <w:t>符合</w:t>
      </w:r>
      <w:r>
        <w:rPr>
          <w:rStyle w:val="35"/>
          <w:rFonts w:hint="eastAsia" w:ascii="仿宋" w:hAnsi="仿宋" w:eastAsia="仿宋" w:cs="仿宋"/>
          <w:b/>
          <w:color w:val="auto"/>
          <w:sz w:val="28"/>
          <w:highlight w:val="none"/>
          <w:lang w:eastAsia="zh-CN"/>
        </w:rPr>
        <w:t>性审查表</w:t>
      </w:r>
    </w:p>
    <w:tbl>
      <w:tblPr>
        <w:tblStyle w:val="27"/>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16DF2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5B1F9979">
            <w:pPr>
              <w:pStyle w:val="43"/>
              <w:shd w:val="clear"/>
              <w:rPr>
                <w:rStyle w:val="35"/>
                <w:rFonts w:ascii="仿宋" w:hAnsi="仿宋" w:eastAsia="仿宋" w:cs="仿宋"/>
                <w:b/>
                <w:color w:val="auto"/>
                <w:sz w:val="24"/>
                <w:szCs w:val="24"/>
                <w:highlight w:val="none"/>
                <w:lang w:eastAsia="zh-CN"/>
              </w:rPr>
            </w:pPr>
          </w:p>
          <w:p w14:paraId="5E38DC13">
            <w:pPr>
              <w:pStyle w:val="43"/>
              <w:shd w:val="clear"/>
              <w:rPr>
                <w:rStyle w:val="35"/>
                <w:rFonts w:ascii="仿宋" w:hAnsi="仿宋" w:eastAsia="仿宋" w:cs="仿宋"/>
                <w:b/>
                <w:color w:val="auto"/>
                <w:sz w:val="24"/>
                <w:szCs w:val="24"/>
                <w:highlight w:val="none"/>
                <w:lang w:eastAsia="zh-CN"/>
              </w:rPr>
            </w:pPr>
          </w:p>
          <w:p w14:paraId="7E6942DE">
            <w:pPr>
              <w:pStyle w:val="43"/>
              <w:shd w:val="clear"/>
              <w:spacing w:before="1"/>
              <w:ind w:left="13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32EE7A4F">
            <w:pPr>
              <w:pStyle w:val="43"/>
              <w:shd w:val="clear"/>
              <w:rPr>
                <w:rStyle w:val="35"/>
                <w:rFonts w:ascii="仿宋" w:hAnsi="仿宋" w:eastAsia="仿宋" w:cs="仿宋"/>
                <w:b/>
                <w:color w:val="auto"/>
                <w:sz w:val="24"/>
                <w:szCs w:val="24"/>
                <w:highlight w:val="none"/>
                <w:lang w:eastAsia="zh-CN"/>
              </w:rPr>
            </w:pPr>
          </w:p>
          <w:p w14:paraId="5E628BDE">
            <w:pPr>
              <w:pStyle w:val="43"/>
              <w:shd w:val="clear"/>
              <w:rPr>
                <w:rStyle w:val="35"/>
                <w:rFonts w:ascii="仿宋" w:hAnsi="仿宋" w:eastAsia="仿宋" w:cs="仿宋"/>
                <w:b/>
                <w:color w:val="auto"/>
                <w:sz w:val="24"/>
                <w:szCs w:val="24"/>
                <w:highlight w:val="none"/>
                <w:lang w:eastAsia="zh-CN"/>
              </w:rPr>
            </w:pPr>
          </w:p>
          <w:p w14:paraId="7B20D331">
            <w:pPr>
              <w:pStyle w:val="43"/>
              <w:shd w:val="clear"/>
              <w:spacing w:before="1"/>
              <w:ind w:left="2412"/>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响应文件符合性审查内容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69A916DA">
            <w:pPr>
              <w:pStyle w:val="43"/>
              <w:shd w:val="clear"/>
              <w:spacing w:before="157"/>
              <w:ind w:left="25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评审意见</w:t>
            </w:r>
          </w:p>
        </w:tc>
      </w:tr>
      <w:tr w14:paraId="76445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4A66DEC1">
            <w:pPr>
              <w:shd w:val="clear"/>
              <w:rPr>
                <w:rStyle w:val="35"/>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20C80807">
            <w:pPr>
              <w:shd w:val="clear"/>
              <w:rPr>
                <w:rStyle w:val="35"/>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tcPr>
          <w:p w14:paraId="594780BF">
            <w:pPr>
              <w:pStyle w:val="43"/>
              <w:shd w:val="clear"/>
              <w:spacing w:before="157"/>
              <w:ind w:left="235"/>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tcPr>
          <w:p w14:paraId="2B7B9871">
            <w:pPr>
              <w:pStyle w:val="43"/>
              <w:shd w:val="clear"/>
              <w:spacing w:before="157"/>
              <w:ind w:left="25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否</w:t>
            </w:r>
          </w:p>
        </w:tc>
      </w:tr>
      <w:tr w14:paraId="61B0C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5A40C6CF">
            <w:pPr>
              <w:pStyle w:val="43"/>
              <w:shd w:val="clear"/>
              <w:spacing w:before="1"/>
              <w:rPr>
                <w:rStyle w:val="35"/>
                <w:rFonts w:ascii="仿宋" w:hAnsi="仿宋" w:eastAsia="仿宋" w:cs="仿宋"/>
                <w:b/>
                <w:color w:val="auto"/>
                <w:sz w:val="24"/>
                <w:szCs w:val="24"/>
                <w:highlight w:val="none"/>
              </w:rPr>
            </w:pPr>
          </w:p>
          <w:p w14:paraId="51F4F8C9">
            <w:pPr>
              <w:pStyle w:val="43"/>
              <w:shd w:val="clear"/>
              <w:spacing w:before="1"/>
              <w:ind w:left="6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tcPr>
          <w:p w14:paraId="3DCBDA64">
            <w:pPr>
              <w:pStyle w:val="43"/>
              <w:shd w:val="clear"/>
              <w:spacing w:before="114" w:line="242" w:lineRule="auto"/>
              <w:ind w:left="55" w:right="72"/>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凡竞争性磋商文件中要求盖章或签字处，是否按要求加盖单位公章、法定代表人或被授权委托人签字或盖章的。</w:t>
            </w:r>
          </w:p>
        </w:tc>
        <w:tc>
          <w:tcPr>
            <w:tcW w:w="631" w:type="dxa"/>
            <w:tcBorders>
              <w:top w:val="single" w:color="000000" w:sz="4" w:space="0"/>
              <w:left w:val="single" w:color="000000" w:sz="4" w:space="0"/>
              <w:bottom w:val="single" w:color="000000" w:sz="4" w:space="0"/>
              <w:right w:val="single" w:color="000000" w:sz="4" w:space="0"/>
            </w:tcBorders>
          </w:tcPr>
          <w:p w14:paraId="07B15BCD">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A219718">
            <w:pPr>
              <w:pStyle w:val="43"/>
              <w:shd w:val="clear"/>
              <w:rPr>
                <w:rStyle w:val="35"/>
                <w:rFonts w:ascii="仿宋" w:hAnsi="仿宋" w:eastAsia="仿宋" w:cs="仿宋"/>
                <w:color w:val="auto"/>
                <w:sz w:val="24"/>
                <w:szCs w:val="24"/>
                <w:highlight w:val="none"/>
                <w:lang w:eastAsia="zh-CN"/>
              </w:rPr>
            </w:pPr>
          </w:p>
        </w:tc>
      </w:tr>
      <w:tr w14:paraId="4A55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07DE2E42">
            <w:pPr>
              <w:pStyle w:val="43"/>
              <w:shd w:val="clear"/>
              <w:spacing w:before="171"/>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2</w:t>
            </w:r>
          </w:p>
        </w:tc>
        <w:tc>
          <w:tcPr>
            <w:tcW w:w="7084" w:type="dxa"/>
            <w:tcBorders>
              <w:top w:val="single" w:color="000000" w:sz="4" w:space="0"/>
              <w:left w:val="single" w:color="000000" w:sz="4" w:space="0"/>
              <w:bottom w:val="single" w:color="000000" w:sz="4" w:space="0"/>
              <w:right w:val="single" w:color="000000" w:sz="4" w:space="0"/>
            </w:tcBorders>
          </w:tcPr>
          <w:p w14:paraId="795FADE2">
            <w:pPr>
              <w:pStyle w:val="43"/>
              <w:shd w:val="clear"/>
              <w:spacing w:before="122"/>
              <w:ind w:left="55"/>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eastAsia="zh-CN"/>
              </w:rPr>
              <w:t>供应商按照竞争性磋商文件规定的金额、形式、时效和内容提供了投标担保。</w:t>
            </w:r>
          </w:p>
        </w:tc>
        <w:tc>
          <w:tcPr>
            <w:tcW w:w="631" w:type="dxa"/>
            <w:tcBorders>
              <w:top w:val="single" w:color="000000" w:sz="4" w:space="0"/>
              <w:left w:val="single" w:color="000000" w:sz="4" w:space="0"/>
              <w:bottom w:val="single" w:color="000000" w:sz="4" w:space="0"/>
              <w:right w:val="single" w:color="000000" w:sz="4" w:space="0"/>
            </w:tcBorders>
          </w:tcPr>
          <w:p w14:paraId="5BBC053D">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19CBEFFE">
            <w:pPr>
              <w:pStyle w:val="43"/>
              <w:shd w:val="clear"/>
              <w:rPr>
                <w:rStyle w:val="35"/>
                <w:rFonts w:ascii="仿宋" w:hAnsi="仿宋" w:eastAsia="仿宋" w:cs="仿宋"/>
                <w:color w:val="auto"/>
                <w:sz w:val="24"/>
                <w:szCs w:val="24"/>
                <w:highlight w:val="none"/>
                <w:lang w:eastAsia="zh-CN"/>
              </w:rPr>
            </w:pPr>
          </w:p>
        </w:tc>
      </w:tr>
      <w:tr w14:paraId="0CAD8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02AAD02C">
            <w:pPr>
              <w:pStyle w:val="43"/>
              <w:shd w:val="clear"/>
              <w:spacing w:before="171"/>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tcPr>
          <w:p w14:paraId="0B0689D9">
            <w:pPr>
              <w:pStyle w:val="43"/>
              <w:shd w:val="clear"/>
              <w:spacing w:before="122"/>
              <w:ind w:left="55"/>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投标</w:t>
            </w:r>
            <w:r>
              <w:rPr>
                <w:rStyle w:val="35"/>
                <w:rFonts w:hint="eastAsia" w:ascii="仿宋" w:hAnsi="仿宋" w:eastAsia="仿宋" w:cs="仿宋"/>
                <w:color w:val="auto"/>
                <w:sz w:val="24"/>
                <w:szCs w:val="24"/>
                <w:highlight w:val="none"/>
                <w:lang w:eastAsia="zh-CN"/>
              </w:rPr>
              <w:t>文件承诺</w:t>
            </w:r>
            <w:r>
              <w:rPr>
                <w:rStyle w:val="35"/>
                <w:rFonts w:hint="eastAsia" w:ascii="仿宋" w:hAnsi="仿宋" w:eastAsia="仿宋" w:cs="仿宋"/>
                <w:color w:val="auto"/>
                <w:sz w:val="24"/>
                <w:szCs w:val="24"/>
                <w:highlight w:val="none"/>
                <w:lang w:val="en-US" w:eastAsia="zh-CN"/>
              </w:rPr>
              <w:t>投标</w:t>
            </w:r>
            <w:r>
              <w:rPr>
                <w:rStyle w:val="35"/>
                <w:rFonts w:hint="eastAsia" w:ascii="仿宋" w:hAnsi="仿宋" w:eastAsia="仿宋" w:cs="仿宋"/>
                <w:color w:val="auto"/>
                <w:sz w:val="24"/>
                <w:szCs w:val="24"/>
                <w:highlight w:val="none"/>
                <w:lang w:eastAsia="zh-CN"/>
              </w:rPr>
              <w:t>有效期满足磋商文件要求（90日（日历日））</w:t>
            </w:r>
          </w:p>
        </w:tc>
        <w:tc>
          <w:tcPr>
            <w:tcW w:w="631" w:type="dxa"/>
            <w:tcBorders>
              <w:top w:val="single" w:color="000000" w:sz="4" w:space="0"/>
              <w:left w:val="single" w:color="000000" w:sz="4" w:space="0"/>
              <w:bottom w:val="single" w:color="000000" w:sz="4" w:space="0"/>
              <w:right w:val="single" w:color="000000" w:sz="4" w:space="0"/>
            </w:tcBorders>
          </w:tcPr>
          <w:p w14:paraId="4FDCCF9A">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12240643">
            <w:pPr>
              <w:pStyle w:val="43"/>
              <w:shd w:val="clear"/>
              <w:rPr>
                <w:rStyle w:val="35"/>
                <w:rFonts w:ascii="仿宋" w:hAnsi="仿宋" w:eastAsia="仿宋" w:cs="仿宋"/>
                <w:color w:val="auto"/>
                <w:sz w:val="24"/>
                <w:szCs w:val="24"/>
                <w:highlight w:val="none"/>
                <w:lang w:eastAsia="zh-CN"/>
              </w:rPr>
            </w:pPr>
          </w:p>
        </w:tc>
      </w:tr>
      <w:tr w14:paraId="48123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631" w:type="dxa"/>
            <w:tcBorders>
              <w:top w:val="single" w:color="000000" w:sz="4" w:space="0"/>
              <w:left w:val="single" w:color="000000" w:sz="4" w:space="0"/>
              <w:bottom w:val="single" w:color="000000" w:sz="4" w:space="0"/>
              <w:right w:val="single" w:color="000000" w:sz="4" w:space="0"/>
            </w:tcBorders>
          </w:tcPr>
          <w:p w14:paraId="064D11A7">
            <w:pPr>
              <w:pStyle w:val="43"/>
              <w:shd w:val="clear"/>
              <w:rPr>
                <w:rStyle w:val="35"/>
                <w:rFonts w:ascii="仿宋" w:hAnsi="仿宋" w:eastAsia="仿宋" w:cs="仿宋"/>
                <w:b/>
                <w:color w:val="auto"/>
                <w:sz w:val="24"/>
                <w:szCs w:val="24"/>
                <w:highlight w:val="none"/>
                <w:lang w:eastAsia="zh-CN"/>
              </w:rPr>
            </w:pPr>
          </w:p>
          <w:p w14:paraId="455B4C67">
            <w:pPr>
              <w:pStyle w:val="43"/>
              <w:shd w:val="clear"/>
              <w:spacing w:before="154"/>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tcPr>
          <w:p w14:paraId="43542789">
            <w:pPr>
              <w:pStyle w:val="43"/>
              <w:shd w:val="clear"/>
              <w:spacing w:before="112" w:line="244" w:lineRule="auto"/>
              <w:ind w:left="55" w:right="72"/>
              <w:jc w:val="both"/>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响应文件是否实质上响应了竞争性磋商文件的要求。实质上响应的投标应该是与竞争性磋商文件要求的重要条款、条件等相符，没有重大偏离或保留的投标。</w:t>
            </w:r>
          </w:p>
        </w:tc>
        <w:tc>
          <w:tcPr>
            <w:tcW w:w="631" w:type="dxa"/>
            <w:tcBorders>
              <w:top w:val="single" w:color="000000" w:sz="4" w:space="0"/>
              <w:left w:val="single" w:color="000000" w:sz="4" w:space="0"/>
              <w:bottom w:val="single" w:color="000000" w:sz="4" w:space="0"/>
              <w:right w:val="single" w:color="000000" w:sz="4" w:space="0"/>
            </w:tcBorders>
          </w:tcPr>
          <w:p w14:paraId="35F055D9">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9B6E153">
            <w:pPr>
              <w:pStyle w:val="43"/>
              <w:shd w:val="clear"/>
              <w:rPr>
                <w:rStyle w:val="35"/>
                <w:rFonts w:ascii="仿宋" w:hAnsi="仿宋" w:eastAsia="仿宋" w:cs="仿宋"/>
                <w:color w:val="auto"/>
                <w:sz w:val="24"/>
                <w:szCs w:val="24"/>
                <w:highlight w:val="none"/>
                <w:lang w:eastAsia="zh-CN"/>
              </w:rPr>
            </w:pPr>
          </w:p>
        </w:tc>
      </w:tr>
      <w:tr w14:paraId="021B9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14:paraId="0935216B">
            <w:pPr>
              <w:pStyle w:val="43"/>
              <w:shd w:val="clear"/>
              <w:spacing w:before="2"/>
              <w:rPr>
                <w:rStyle w:val="35"/>
                <w:rFonts w:ascii="仿宋" w:hAnsi="仿宋" w:eastAsia="仿宋" w:cs="仿宋"/>
                <w:b/>
                <w:color w:val="auto"/>
                <w:sz w:val="24"/>
                <w:szCs w:val="24"/>
                <w:highlight w:val="none"/>
                <w:lang w:eastAsia="zh-CN"/>
              </w:rPr>
            </w:pPr>
          </w:p>
          <w:p w14:paraId="1EE15C43">
            <w:pPr>
              <w:pStyle w:val="43"/>
              <w:shd w:val="clear"/>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tcPr>
          <w:p w14:paraId="289136AC">
            <w:pPr>
              <w:pStyle w:val="43"/>
              <w:shd w:val="clear"/>
              <w:spacing w:before="49" w:line="242" w:lineRule="auto"/>
              <w:ind w:left="55" w:right="32"/>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一份响应文件应只有一个投标报价，在竞争性磋商文件没有规定的情况下，未提交选择性的报价。</w:t>
            </w:r>
          </w:p>
        </w:tc>
        <w:tc>
          <w:tcPr>
            <w:tcW w:w="631" w:type="dxa"/>
            <w:tcBorders>
              <w:top w:val="single" w:color="000000" w:sz="4" w:space="0"/>
              <w:left w:val="single" w:color="000000" w:sz="4" w:space="0"/>
              <w:bottom w:val="single" w:color="000000" w:sz="4" w:space="0"/>
              <w:right w:val="single" w:color="000000" w:sz="4" w:space="0"/>
            </w:tcBorders>
          </w:tcPr>
          <w:p w14:paraId="3F305C63">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0CB4C207">
            <w:pPr>
              <w:pStyle w:val="43"/>
              <w:shd w:val="clear"/>
              <w:rPr>
                <w:rStyle w:val="35"/>
                <w:rFonts w:ascii="仿宋" w:hAnsi="仿宋" w:eastAsia="仿宋" w:cs="仿宋"/>
                <w:color w:val="auto"/>
                <w:sz w:val="24"/>
                <w:szCs w:val="24"/>
                <w:highlight w:val="none"/>
                <w:lang w:eastAsia="zh-CN"/>
              </w:rPr>
            </w:pPr>
          </w:p>
        </w:tc>
      </w:tr>
      <w:tr w14:paraId="30D3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31" w:type="dxa"/>
            <w:tcBorders>
              <w:top w:val="single" w:color="000000" w:sz="4" w:space="0"/>
              <w:left w:val="single" w:color="000000" w:sz="4" w:space="0"/>
              <w:bottom w:val="single" w:color="000000" w:sz="4" w:space="0"/>
              <w:right w:val="single" w:color="000000" w:sz="4" w:space="0"/>
            </w:tcBorders>
          </w:tcPr>
          <w:p w14:paraId="1BB166F7">
            <w:pPr>
              <w:pStyle w:val="43"/>
              <w:shd w:val="clear"/>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6</w:t>
            </w:r>
          </w:p>
        </w:tc>
        <w:tc>
          <w:tcPr>
            <w:tcW w:w="7084" w:type="dxa"/>
            <w:tcBorders>
              <w:top w:val="single" w:color="000000" w:sz="4" w:space="0"/>
              <w:left w:val="single" w:color="000000" w:sz="4" w:space="0"/>
              <w:bottom w:val="single" w:color="000000" w:sz="4" w:space="0"/>
              <w:right w:val="single" w:color="000000" w:sz="4" w:space="0"/>
            </w:tcBorders>
          </w:tcPr>
          <w:p w14:paraId="6F17E8B7">
            <w:pPr>
              <w:pStyle w:val="43"/>
              <w:shd w:val="clear"/>
              <w:spacing w:before="49" w:line="242" w:lineRule="auto"/>
              <w:ind w:left="55" w:right="32"/>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投标报价未超出最高限价。</w:t>
            </w:r>
          </w:p>
        </w:tc>
        <w:tc>
          <w:tcPr>
            <w:tcW w:w="631" w:type="dxa"/>
            <w:tcBorders>
              <w:top w:val="single" w:color="000000" w:sz="4" w:space="0"/>
              <w:left w:val="single" w:color="000000" w:sz="4" w:space="0"/>
              <w:bottom w:val="single" w:color="000000" w:sz="4" w:space="0"/>
              <w:right w:val="single" w:color="000000" w:sz="4" w:space="0"/>
            </w:tcBorders>
          </w:tcPr>
          <w:p w14:paraId="08119B79">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05E424C3">
            <w:pPr>
              <w:pStyle w:val="43"/>
              <w:shd w:val="clear"/>
              <w:rPr>
                <w:rStyle w:val="35"/>
                <w:rFonts w:ascii="仿宋" w:hAnsi="仿宋" w:eastAsia="仿宋" w:cs="仿宋"/>
                <w:color w:val="auto"/>
                <w:sz w:val="24"/>
                <w:szCs w:val="24"/>
                <w:highlight w:val="none"/>
                <w:lang w:eastAsia="zh-CN"/>
              </w:rPr>
            </w:pPr>
          </w:p>
        </w:tc>
      </w:tr>
      <w:tr w14:paraId="3697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3F9F0C20">
            <w:pPr>
              <w:pStyle w:val="43"/>
              <w:shd w:val="clear"/>
              <w:spacing w:before="168"/>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7</w:t>
            </w:r>
          </w:p>
        </w:tc>
        <w:tc>
          <w:tcPr>
            <w:tcW w:w="7084" w:type="dxa"/>
            <w:tcBorders>
              <w:top w:val="single" w:color="000000" w:sz="4" w:space="0"/>
              <w:left w:val="single" w:color="000000" w:sz="4" w:space="0"/>
              <w:bottom w:val="single" w:color="000000" w:sz="4" w:space="0"/>
              <w:right w:val="single" w:color="000000" w:sz="4" w:space="0"/>
            </w:tcBorders>
          </w:tcPr>
          <w:p w14:paraId="462585A6">
            <w:pPr>
              <w:pStyle w:val="43"/>
              <w:shd w:val="clear"/>
              <w:spacing w:before="119"/>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供应商的合同履行期限</w:t>
            </w:r>
            <w:r>
              <w:rPr>
                <w:rStyle w:val="35"/>
                <w:rFonts w:hint="eastAsia" w:ascii="仿宋" w:hAnsi="仿宋" w:eastAsia="仿宋" w:cs="仿宋"/>
                <w:color w:val="auto"/>
                <w:sz w:val="24"/>
                <w:szCs w:val="24"/>
                <w:highlight w:val="none"/>
                <w:lang w:val="en-US" w:eastAsia="zh-CN"/>
              </w:rPr>
              <w:t>满足</w:t>
            </w:r>
            <w:r>
              <w:rPr>
                <w:rStyle w:val="35"/>
                <w:rFonts w:hint="eastAsia" w:ascii="仿宋" w:hAnsi="仿宋" w:eastAsia="仿宋" w:cs="仿宋"/>
                <w:color w:val="auto"/>
                <w:sz w:val="24"/>
                <w:szCs w:val="24"/>
                <w:highlight w:val="none"/>
                <w:lang w:eastAsia="zh-CN"/>
              </w:rPr>
              <w:t>竞争性磋商文件规定的期限要求。</w:t>
            </w:r>
          </w:p>
        </w:tc>
        <w:tc>
          <w:tcPr>
            <w:tcW w:w="631" w:type="dxa"/>
            <w:tcBorders>
              <w:top w:val="single" w:color="000000" w:sz="4" w:space="0"/>
              <w:left w:val="single" w:color="000000" w:sz="4" w:space="0"/>
              <w:bottom w:val="single" w:color="000000" w:sz="4" w:space="0"/>
              <w:right w:val="single" w:color="000000" w:sz="4" w:space="0"/>
            </w:tcBorders>
          </w:tcPr>
          <w:p w14:paraId="07E038EF">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C75544A">
            <w:pPr>
              <w:pStyle w:val="43"/>
              <w:shd w:val="clear"/>
              <w:rPr>
                <w:rStyle w:val="35"/>
                <w:rFonts w:ascii="仿宋" w:hAnsi="仿宋" w:eastAsia="仿宋" w:cs="仿宋"/>
                <w:color w:val="auto"/>
                <w:sz w:val="24"/>
                <w:szCs w:val="24"/>
                <w:highlight w:val="none"/>
                <w:lang w:eastAsia="zh-CN"/>
              </w:rPr>
            </w:pPr>
          </w:p>
        </w:tc>
      </w:tr>
      <w:tr w14:paraId="0659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37A770F2">
            <w:pPr>
              <w:pStyle w:val="43"/>
              <w:shd w:val="clear"/>
              <w:spacing w:before="171"/>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8</w:t>
            </w:r>
          </w:p>
        </w:tc>
        <w:tc>
          <w:tcPr>
            <w:tcW w:w="7084" w:type="dxa"/>
            <w:tcBorders>
              <w:top w:val="single" w:color="000000" w:sz="4" w:space="0"/>
              <w:left w:val="single" w:color="000000" w:sz="4" w:space="0"/>
              <w:bottom w:val="single" w:color="000000" w:sz="4" w:space="0"/>
              <w:right w:val="single" w:color="000000" w:sz="4" w:space="0"/>
            </w:tcBorders>
          </w:tcPr>
          <w:p w14:paraId="627EAF37">
            <w:pPr>
              <w:pStyle w:val="43"/>
              <w:shd w:val="clear"/>
              <w:spacing w:before="121"/>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供应商未提出不同的验收、计量、支付办法。</w:t>
            </w:r>
          </w:p>
        </w:tc>
        <w:tc>
          <w:tcPr>
            <w:tcW w:w="631" w:type="dxa"/>
            <w:tcBorders>
              <w:top w:val="single" w:color="000000" w:sz="4" w:space="0"/>
              <w:left w:val="single" w:color="000000" w:sz="4" w:space="0"/>
              <w:bottom w:val="single" w:color="000000" w:sz="4" w:space="0"/>
              <w:right w:val="single" w:color="000000" w:sz="4" w:space="0"/>
            </w:tcBorders>
          </w:tcPr>
          <w:p w14:paraId="6F61CAD3">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0C4DC54">
            <w:pPr>
              <w:pStyle w:val="43"/>
              <w:shd w:val="clear"/>
              <w:rPr>
                <w:rStyle w:val="35"/>
                <w:rFonts w:ascii="仿宋" w:hAnsi="仿宋" w:eastAsia="仿宋" w:cs="仿宋"/>
                <w:color w:val="auto"/>
                <w:sz w:val="24"/>
                <w:szCs w:val="24"/>
                <w:highlight w:val="none"/>
                <w:lang w:eastAsia="zh-CN"/>
              </w:rPr>
            </w:pPr>
          </w:p>
        </w:tc>
      </w:tr>
      <w:tr w14:paraId="72D5B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44CF1428">
            <w:pPr>
              <w:pStyle w:val="43"/>
              <w:shd w:val="clear"/>
              <w:spacing w:before="171"/>
              <w:ind w:left="218" w:right="153"/>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9</w:t>
            </w:r>
          </w:p>
        </w:tc>
        <w:tc>
          <w:tcPr>
            <w:tcW w:w="7084" w:type="dxa"/>
            <w:tcBorders>
              <w:top w:val="single" w:color="000000" w:sz="4" w:space="0"/>
              <w:left w:val="single" w:color="000000" w:sz="4" w:space="0"/>
              <w:bottom w:val="single" w:color="000000" w:sz="4" w:space="0"/>
              <w:right w:val="single" w:color="000000" w:sz="4" w:space="0"/>
            </w:tcBorders>
          </w:tcPr>
          <w:p w14:paraId="340EFC3F">
            <w:pPr>
              <w:pStyle w:val="43"/>
              <w:shd w:val="clear"/>
              <w:spacing w:before="121"/>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响应文件未附有采购人不能接受的附加条件的。</w:t>
            </w:r>
          </w:p>
        </w:tc>
        <w:tc>
          <w:tcPr>
            <w:tcW w:w="631" w:type="dxa"/>
            <w:tcBorders>
              <w:top w:val="single" w:color="000000" w:sz="4" w:space="0"/>
              <w:left w:val="single" w:color="000000" w:sz="4" w:space="0"/>
              <w:bottom w:val="single" w:color="000000" w:sz="4" w:space="0"/>
              <w:right w:val="single" w:color="000000" w:sz="4" w:space="0"/>
            </w:tcBorders>
          </w:tcPr>
          <w:p w14:paraId="794938A3">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8348722">
            <w:pPr>
              <w:pStyle w:val="43"/>
              <w:shd w:val="clear"/>
              <w:rPr>
                <w:rStyle w:val="35"/>
                <w:rFonts w:ascii="仿宋" w:hAnsi="仿宋" w:eastAsia="仿宋" w:cs="仿宋"/>
                <w:color w:val="auto"/>
                <w:sz w:val="24"/>
                <w:szCs w:val="24"/>
                <w:highlight w:val="none"/>
                <w:lang w:eastAsia="zh-CN"/>
              </w:rPr>
            </w:pPr>
          </w:p>
        </w:tc>
      </w:tr>
      <w:tr w14:paraId="3ADA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7215AA62">
            <w:pPr>
              <w:pStyle w:val="43"/>
              <w:shd w:val="clear"/>
              <w:spacing w:before="171"/>
              <w:ind w:left="218" w:right="153"/>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10</w:t>
            </w:r>
          </w:p>
        </w:tc>
        <w:tc>
          <w:tcPr>
            <w:tcW w:w="7084" w:type="dxa"/>
            <w:tcBorders>
              <w:top w:val="single" w:color="000000" w:sz="4" w:space="0"/>
              <w:left w:val="single" w:color="000000" w:sz="4" w:space="0"/>
              <w:bottom w:val="single" w:color="000000" w:sz="4" w:space="0"/>
              <w:right w:val="single" w:color="000000" w:sz="4" w:space="0"/>
            </w:tcBorders>
          </w:tcPr>
          <w:p w14:paraId="2BA6192F">
            <w:pPr>
              <w:pStyle w:val="43"/>
              <w:shd w:val="clear"/>
              <w:spacing w:before="121"/>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不存在与其他供应商相互串通报价，或者与采购人串通投标的情形。</w:t>
            </w:r>
          </w:p>
        </w:tc>
        <w:tc>
          <w:tcPr>
            <w:tcW w:w="631" w:type="dxa"/>
            <w:tcBorders>
              <w:top w:val="single" w:color="000000" w:sz="4" w:space="0"/>
              <w:left w:val="single" w:color="000000" w:sz="4" w:space="0"/>
              <w:bottom w:val="single" w:color="000000" w:sz="4" w:space="0"/>
              <w:right w:val="single" w:color="000000" w:sz="4" w:space="0"/>
            </w:tcBorders>
          </w:tcPr>
          <w:p w14:paraId="26074385">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612AE0B2">
            <w:pPr>
              <w:pStyle w:val="43"/>
              <w:shd w:val="clear"/>
              <w:rPr>
                <w:rStyle w:val="35"/>
                <w:rFonts w:ascii="仿宋" w:hAnsi="仿宋" w:eastAsia="仿宋" w:cs="仿宋"/>
                <w:color w:val="auto"/>
                <w:sz w:val="24"/>
                <w:szCs w:val="24"/>
                <w:highlight w:val="none"/>
                <w:lang w:eastAsia="zh-CN"/>
              </w:rPr>
            </w:pPr>
          </w:p>
        </w:tc>
      </w:tr>
      <w:tr w14:paraId="4866B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3C78BB07">
            <w:pPr>
              <w:pStyle w:val="43"/>
              <w:shd w:val="clear"/>
              <w:spacing w:before="171"/>
              <w:ind w:left="218" w:right="153"/>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11</w:t>
            </w:r>
          </w:p>
        </w:tc>
        <w:tc>
          <w:tcPr>
            <w:tcW w:w="7084" w:type="dxa"/>
            <w:tcBorders>
              <w:top w:val="single" w:color="000000" w:sz="4" w:space="0"/>
              <w:left w:val="single" w:color="000000" w:sz="4" w:space="0"/>
              <w:bottom w:val="single" w:color="000000" w:sz="4" w:space="0"/>
              <w:right w:val="single" w:color="000000" w:sz="4" w:space="0"/>
            </w:tcBorders>
          </w:tcPr>
          <w:p w14:paraId="6D78CC27">
            <w:pPr>
              <w:pStyle w:val="43"/>
              <w:shd w:val="clear"/>
              <w:spacing w:before="121"/>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不存在法律、法规和竞争性磋商文件规定的其他无效情形。</w:t>
            </w:r>
          </w:p>
        </w:tc>
        <w:tc>
          <w:tcPr>
            <w:tcW w:w="631" w:type="dxa"/>
            <w:tcBorders>
              <w:top w:val="single" w:color="000000" w:sz="4" w:space="0"/>
              <w:left w:val="single" w:color="000000" w:sz="4" w:space="0"/>
              <w:bottom w:val="single" w:color="000000" w:sz="4" w:space="0"/>
              <w:right w:val="single" w:color="000000" w:sz="4" w:space="0"/>
            </w:tcBorders>
          </w:tcPr>
          <w:p w14:paraId="42A77C40">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712B2C4">
            <w:pPr>
              <w:pStyle w:val="43"/>
              <w:shd w:val="clear"/>
              <w:rPr>
                <w:rStyle w:val="35"/>
                <w:rFonts w:ascii="仿宋" w:hAnsi="仿宋" w:eastAsia="仿宋" w:cs="仿宋"/>
                <w:color w:val="auto"/>
                <w:sz w:val="24"/>
                <w:szCs w:val="24"/>
                <w:highlight w:val="none"/>
                <w:lang w:eastAsia="zh-CN"/>
              </w:rPr>
            </w:pPr>
          </w:p>
        </w:tc>
      </w:tr>
      <w:tr w14:paraId="2C0AA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7301968A">
            <w:pPr>
              <w:pStyle w:val="43"/>
              <w:shd w:val="clear"/>
              <w:rPr>
                <w:rStyle w:val="35"/>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7C0DE2A9">
            <w:pPr>
              <w:pStyle w:val="43"/>
              <w:shd w:val="clear"/>
              <w:tabs>
                <w:tab w:val="left" w:pos="686"/>
              </w:tabs>
              <w:spacing w:before="121"/>
              <w:ind w:left="5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265CB262">
            <w:pPr>
              <w:pStyle w:val="43"/>
              <w:shd w:val="clear"/>
              <w:rPr>
                <w:rStyle w:val="35"/>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700808D4">
            <w:pPr>
              <w:pStyle w:val="43"/>
              <w:shd w:val="clear"/>
              <w:rPr>
                <w:rStyle w:val="35"/>
                <w:rFonts w:ascii="仿宋" w:hAnsi="仿宋" w:eastAsia="仿宋" w:cs="仿宋"/>
                <w:color w:val="auto"/>
                <w:sz w:val="24"/>
                <w:szCs w:val="24"/>
                <w:highlight w:val="none"/>
              </w:rPr>
            </w:pPr>
          </w:p>
        </w:tc>
      </w:tr>
    </w:tbl>
    <w:p w14:paraId="43FBC2D7">
      <w:pPr>
        <w:shd w:val="clear"/>
        <w:spacing w:before="49"/>
        <w:ind w:left="531"/>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说明：（1）上述各项中用“√”表示通过，“×”表示不通过；</w:t>
      </w:r>
    </w:p>
    <w:p w14:paraId="223B3C02">
      <w:pPr>
        <w:shd w:val="clear"/>
        <w:spacing w:before="83" w:line="326" w:lineRule="auto"/>
        <w:ind w:left="171" w:right="208" w:firstLine="360"/>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pacing w:val="-5"/>
          <w:sz w:val="20"/>
          <w:szCs w:val="24"/>
          <w:highlight w:val="none"/>
          <w:lang w:eastAsia="zh-CN"/>
        </w:rPr>
        <w:t>（2）上述各项中如有一项为“×”，则结论为“×”，表示该响应文件中存在重大偏差，不能通过初步评审评委对某一分项评审认为不合格时，必须要写明原因。</w:t>
      </w:r>
    </w:p>
    <w:p w14:paraId="09E190E7">
      <w:pPr>
        <w:shd w:val="clear"/>
        <w:spacing w:before="20"/>
        <w:ind w:left="531"/>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（3）响应文件最终合格与否，以所有评委的评审意见中少数服从多数为原则定论。</w:t>
      </w:r>
    </w:p>
    <w:p w14:paraId="22E3596C">
      <w:pPr>
        <w:shd w:val="clear"/>
        <w:spacing w:before="83" w:line="326" w:lineRule="auto"/>
        <w:ind w:left="171" w:right="122" w:firstLine="360"/>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（4）供应商请认真阅读和理解上述内容，避免响应文件中有违背上述审查标准之一的情况发生而造成投标被否决。</w:t>
      </w:r>
    </w:p>
    <w:p w14:paraId="31AC76AB">
      <w:pPr>
        <w:shd w:val="clear"/>
        <w:spacing w:line="333" w:lineRule="exact"/>
        <w:ind w:left="169"/>
        <w:rPr>
          <w:rStyle w:val="35"/>
          <w:rFonts w:ascii="仿宋" w:hAnsi="仿宋" w:eastAsia="仿宋" w:cs="仿宋"/>
          <w:b/>
          <w:color w:val="auto"/>
          <w:sz w:val="28"/>
          <w:highlight w:val="none"/>
          <w:lang w:eastAsia="zh-CN"/>
        </w:rPr>
      </w:pPr>
    </w:p>
    <w:p w14:paraId="1659862D">
      <w:pPr>
        <w:shd w:val="clear"/>
        <w:spacing w:before="32"/>
        <w:ind w:left="169"/>
        <w:rPr>
          <w:rStyle w:val="35"/>
          <w:rFonts w:ascii="仿宋" w:hAnsi="仿宋" w:eastAsia="仿宋" w:cs="仿宋"/>
          <w:b/>
          <w:color w:val="auto"/>
          <w:sz w:val="28"/>
          <w:highlight w:val="none"/>
          <w:lang w:eastAsia="zh-CN"/>
        </w:rPr>
      </w:pPr>
    </w:p>
    <w:p w14:paraId="03401DFD">
      <w:pPr>
        <w:shd w:val="clear"/>
        <w:rPr>
          <w:rStyle w:val="35"/>
          <w:rFonts w:ascii="仿宋" w:hAnsi="仿宋" w:eastAsia="仿宋" w:cs="仿宋"/>
          <w:color w:val="auto"/>
          <w:sz w:val="28"/>
          <w:highlight w:val="none"/>
          <w:lang w:eastAsia="zh-CN"/>
        </w:rPr>
        <w:sectPr>
          <w:pgSz w:w="11910" w:h="16840"/>
          <w:pgMar w:top="1420" w:right="1240" w:bottom="1180" w:left="1420" w:header="0" w:footer="912" w:gutter="0"/>
          <w:pgNumType w:fmt="decimal"/>
          <w:cols w:space="720" w:num="1"/>
        </w:sectPr>
      </w:pPr>
    </w:p>
    <w:p w14:paraId="031719E9">
      <w:pPr>
        <w:keepNext w:val="0"/>
        <w:keepLines w:val="0"/>
        <w:pageBreakBefore w:val="0"/>
        <w:shd w:val="clear"/>
        <w:kinsoku/>
        <w:wordWrap/>
        <w:overflowPunct/>
        <w:topLinePunct w:val="0"/>
        <w:bidi w:val="0"/>
        <w:spacing w:line="361" w:lineRule="exact"/>
        <w:rPr>
          <w:rStyle w:val="35"/>
          <w:rFonts w:ascii="仿宋" w:hAnsi="仿宋" w:eastAsia="仿宋" w:cs="仿宋"/>
          <w:b/>
          <w:color w:val="auto"/>
          <w:sz w:val="28"/>
          <w:highlight w:val="none"/>
          <w:lang w:eastAsia="zh-CN"/>
        </w:rPr>
      </w:pPr>
      <w:r>
        <w:rPr>
          <w:rStyle w:val="35"/>
          <w:rFonts w:hint="eastAsia" w:ascii="仿宋" w:hAnsi="仿宋" w:eastAsia="仿宋" w:cs="仿宋"/>
          <w:b/>
          <w:color w:val="auto"/>
          <w:sz w:val="28"/>
          <w:highlight w:val="none"/>
          <w:lang w:eastAsia="zh-CN"/>
        </w:rPr>
        <w:t>附表</w:t>
      </w:r>
      <w:r>
        <w:rPr>
          <w:rStyle w:val="35"/>
          <w:rFonts w:hint="eastAsia" w:ascii="仿宋" w:hAnsi="仿宋" w:eastAsia="仿宋" w:cs="仿宋"/>
          <w:b/>
          <w:color w:val="auto"/>
          <w:sz w:val="28"/>
          <w:highlight w:val="none"/>
          <w:lang w:val="en-US" w:eastAsia="zh-CN"/>
        </w:rPr>
        <w:t>3</w:t>
      </w:r>
      <w:r>
        <w:rPr>
          <w:rStyle w:val="35"/>
          <w:rFonts w:hint="eastAsia" w:ascii="仿宋" w:hAnsi="仿宋" w:eastAsia="仿宋" w:cs="仿宋"/>
          <w:b/>
          <w:color w:val="auto"/>
          <w:sz w:val="28"/>
          <w:highlight w:val="none"/>
          <w:lang w:eastAsia="zh-CN"/>
        </w:rPr>
        <w:t>：详细评审标准</w:t>
      </w:r>
    </w:p>
    <w:tbl>
      <w:tblPr>
        <w:tblStyle w:val="27"/>
        <w:tblW w:w="92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1036"/>
        <w:gridCol w:w="6465"/>
        <w:gridCol w:w="741"/>
      </w:tblGrid>
      <w:tr w14:paraId="3BF4C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087" w:type="dxa"/>
            <w:gridSpan w:val="2"/>
          </w:tcPr>
          <w:p w14:paraId="0D741BA8">
            <w:pPr>
              <w:pStyle w:val="58"/>
              <w:spacing w:before="123" w:line="480" w:lineRule="exact"/>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6465" w:type="dxa"/>
          </w:tcPr>
          <w:p w14:paraId="3596FEB8">
            <w:pPr>
              <w:pStyle w:val="58"/>
              <w:spacing w:before="123" w:line="480" w:lineRule="exact"/>
              <w:ind w:left="856"/>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c>
          <w:tcPr>
            <w:tcW w:w="741" w:type="dxa"/>
            <w:vAlign w:val="center"/>
          </w:tcPr>
          <w:p w14:paraId="40D75465">
            <w:pPr>
              <w:spacing w:line="480" w:lineRule="exact"/>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分值</w:t>
            </w:r>
          </w:p>
        </w:tc>
      </w:tr>
      <w:tr w14:paraId="3EF18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087" w:type="dxa"/>
            <w:gridSpan w:val="2"/>
            <w:vMerge w:val="restart"/>
          </w:tcPr>
          <w:p w14:paraId="5FAFCE84">
            <w:pPr>
              <w:pStyle w:val="58"/>
              <w:spacing w:before="10" w:line="480" w:lineRule="exact"/>
              <w:rPr>
                <w:rFonts w:ascii="仿宋" w:hAnsi="仿宋" w:eastAsia="仿宋" w:cs="仿宋"/>
                <w:b/>
                <w:bCs/>
                <w:color w:val="auto"/>
                <w:sz w:val="24"/>
                <w:szCs w:val="24"/>
                <w:highlight w:val="none"/>
              </w:rPr>
            </w:pPr>
          </w:p>
          <w:p w14:paraId="5AB560CC">
            <w:pPr>
              <w:spacing w:line="48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分值构成</w:t>
            </w:r>
          </w:p>
          <w:p w14:paraId="0560C6AE">
            <w:pPr>
              <w:spacing w:line="48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（总分100分)</w:t>
            </w:r>
          </w:p>
        </w:tc>
        <w:tc>
          <w:tcPr>
            <w:tcW w:w="6465" w:type="dxa"/>
          </w:tcPr>
          <w:p w14:paraId="4503BFB4">
            <w:pPr>
              <w:pStyle w:val="58"/>
              <w:spacing w:before="65" w:line="480" w:lineRule="exact"/>
              <w:ind w:left="4"/>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磋商</w:t>
            </w:r>
            <w:r>
              <w:rPr>
                <w:rFonts w:hint="eastAsia" w:ascii="仿宋" w:hAnsi="仿宋" w:eastAsia="仿宋" w:cs="仿宋"/>
                <w:b/>
                <w:bCs/>
                <w:color w:val="auto"/>
                <w:sz w:val="24"/>
                <w:szCs w:val="24"/>
                <w:highlight w:val="none"/>
              </w:rPr>
              <w:t xml:space="preserve">价格：10分 </w:t>
            </w:r>
          </w:p>
        </w:tc>
        <w:tc>
          <w:tcPr>
            <w:tcW w:w="741" w:type="dxa"/>
            <w:vMerge w:val="restart"/>
            <w:vAlign w:val="center"/>
          </w:tcPr>
          <w:p w14:paraId="6E07B383">
            <w:pPr>
              <w:pStyle w:val="58"/>
              <w:spacing w:before="65" w:line="480" w:lineRule="exact"/>
              <w:ind w:left="4"/>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100</w:t>
            </w:r>
          </w:p>
        </w:tc>
      </w:tr>
      <w:tr w14:paraId="7DB28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87" w:type="dxa"/>
            <w:gridSpan w:val="2"/>
            <w:vMerge w:val="continue"/>
            <w:tcBorders>
              <w:top w:val="nil"/>
            </w:tcBorders>
          </w:tcPr>
          <w:p w14:paraId="4E17F123">
            <w:pPr>
              <w:spacing w:line="480" w:lineRule="exact"/>
              <w:rPr>
                <w:rFonts w:ascii="仿宋" w:hAnsi="仿宋" w:eastAsia="仿宋" w:cs="仿宋"/>
                <w:color w:val="auto"/>
                <w:sz w:val="24"/>
                <w:szCs w:val="24"/>
                <w:highlight w:val="none"/>
              </w:rPr>
            </w:pPr>
          </w:p>
        </w:tc>
        <w:tc>
          <w:tcPr>
            <w:tcW w:w="6465" w:type="dxa"/>
          </w:tcPr>
          <w:p w14:paraId="2572BE8B">
            <w:pPr>
              <w:pStyle w:val="58"/>
              <w:spacing w:before="65" w:line="480" w:lineRule="exact"/>
              <w:ind w:left="4"/>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商务技术部分方案：90分 </w:t>
            </w:r>
          </w:p>
        </w:tc>
        <w:tc>
          <w:tcPr>
            <w:tcW w:w="741" w:type="dxa"/>
            <w:vMerge w:val="continue"/>
          </w:tcPr>
          <w:p w14:paraId="6D49291D">
            <w:pPr>
              <w:pStyle w:val="58"/>
              <w:spacing w:before="65" w:line="480" w:lineRule="exact"/>
              <w:ind w:left="4"/>
              <w:rPr>
                <w:rFonts w:ascii="仿宋" w:hAnsi="仿宋" w:eastAsia="仿宋" w:cs="仿宋"/>
                <w:color w:val="auto"/>
                <w:sz w:val="24"/>
                <w:szCs w:val="24"/>
                <w:highlight w:val="none"/>
              </w:rPr>
            </w:pPr>
          </w:p>
        </w:tc>
      </w:tr>
      <w:tr w14:paraId="2C947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087" w:type="dxa"/>
            <w:gridSpan w:val="2"/>
          </w:tcPr>
          <w:p w14:paraId="4B952CCC">
            <w:pPr>
              <w:pStyle w:val="58"/>
              <w:spacing w:line="480" w:lineRule="exact"/>
              <w:jc w:val="both"/>
              <w:rPr>
                <w:rFonts w:ascii="仿宋" w:hAnsi="仿宋" w:eastAsia="仿宋" w:cs="仿宋"/>
                <w:color w:val="auto"/>
                <w:sz w:val="24"/>
                <w:szCs w:val="24"/>
                <w:highlight w:val="none"/>
              </w:rPr>
            </w:pPr>
          </w:p>
          <w:p w14:paraId="02A9A161">
            <w:pPr>
              <w:pStyle w:val="58"/>
              <w:spacing w:before="10" w:line="480" w:lineRule="exact"/>
              <w:jc w:val="both"/>
              <w:rPr>
                <w:rFonts w:ascii="仿宋" w:hAnsi="仿宋" w:eastAsia="仿宋" w:cs="仿宋"/>
                <w:color w:val="auto"/>
                <w:sz w:val="24"/>
                <w:szCs w:val="24"/>
                <w:highlight w:val="none"/>
              </w:rPr>
            </w:pPr>
          </w:p>
          <w:p w14:paraId="01FBBC7F">
            <w:pPr>
              <w:pStyle w:val="58"/>
              <w:spacing w:line="480" w:lineRule="exact"/>
              <w:ind w:left="438"/>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价格</w:t>
            </w:r>
          </w:p>
          <w:p w14:paraId="6492309F">
            <w:pPr>
              <w:pStyle w:val="58"/>
              <w:spacing w:line="480" w:lineRule="exact"/>
              <w:ind w:left="438"/>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6465" w:type="dxa"/>
            <w:vAlign w:val="center"/>
          </w:tcPr>
          <w:p w14:paraId="21AD6E21">
            <w:pPr>
              <w:pStyle w:val="58"/>
              <w:spacing w:before="97" w:line="480" w:lineRule="exact"/>
              <w:ind w:left="4" w:right="-15"/>
              <w:jc w:val="both"/>
              <w:rPr>
                <w:rFonts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满足磋商文件要求且最终报价最低的报价为评审基准价，其价格分为满分。其他满足磋商文件要求的供应商的价格分统一按照下列公式计算：</w:t>
            </w:r>
          </w:p>
          <w:p w14:paraId="047AEC1F">
            <w:pPr>
              <w:pStyle w:val="58"/>
              <w:spacing w:before="97" w:line="480" w:lineRule="exact"/>
              <w:ind w:left="4" w:right="-15"/>
              <w:jc w:val="both"/>
              <w:rPr>
                <w:rFonts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 xml:space="preserve">评审价格分数=（评审基准价/最终报价）×价格权重（10%）×100 </w:t>
            </w:r>
          </w:p>
        </w:tc>
        <w:tc>
          <w:tcPr>
            <w:tcW w:w="741" w:type="dxa"/>
            <w:vAlign w:val="center"/>
          </w:tcPr>
          <w:p w14:paraId="0661C6E9">
            <w:pPr>
              <w:pStyle w:val="58"/>
              <w:spacing w:before="2" w:line="480" w:lineRule="exact"/>
              <w:ind w:left="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2E989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restart"/>
            <w:vAlign w:val="center"/>
          </w:tcPr>
          <w:p w14:paraId="5BE5DCC0">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0DB84427">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部分</w:t>
            </w:r>
          </w:p>
          <w:p w14:paraId="24A7309E">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1036" w:type="dxa"/>
            <w:vAlign w:val="center"/>
          </w:tcPr>
          <w:p w14:paraId="7BD93599">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类似业绩（</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465" w:type="dxa"/>
            <w:vAlign w:val="center"/>
          </w:tcPr>
          <w:p w14:paraId="5FA17A9F">
            <w:pPr>
              <w:pStyle w:val="58"/>
              <w:spacing w:before="97" w:line="480" w:lineRule="exact"/>
              <w:ind w:left="4" w:right="-1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供应商提供近3年（202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1日至</w:t>
            </w:r>
            <w:r>
              <w:rPr>
                <w:rFonts w:hint="eastAsia" w:ascii="仿宋" w:hAnsi="仿宋" w:eastAsia="仿宋" w:cs="仿宋"/>
                <w:color w:val="auto"/>
                <w:sz w:val="24"/>
                <w:szCs w:val="24"/>
                <w:highlight w:val="none"/>
                <w:lang w:val="en-US" w:eastAsia="zh-CN"/>
              </w:rPr>
              <w:t>磋商响应</w:t>
            </w:r>
            <w:r>
              <w:rPr>
                <w:rFonts w:hint="eastAsia" w:ascii="仿宋" w:hAnsi="仿宋" w:eastAsia="仿宋" w:cs="仿宋"/>
                <w:color w:val="auto"/>
                <w:sz w:val="24"/>
                <w:szCs w:val="24"/>
                <w:highlight w:val="none"/>
              </w:rPr>
              <w:t>文件递交截止日期）独立承担的与本项目类似的业绩，每提供一项得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1D29EED6">
            <w:pPr>
              <w:pStyle w:val="58"/>
              <w:spacing w:before="97" w:line="480" w:lineRule="exact"/>
              <w:ind w:left="4" w:right="-1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备注：业绩证明以合同或中标通知书为准，在</w:t>
            </w:r>
            <w:r>
              <w:rPr>
                <w:rFonts w:hint="eastAsia" w:ascii="仿宋" w:hAnsi="仿宋" w:eastAsia="仿宋" w:cs="仿宋"/>
                <w:color w:val="auto"/>
                <w:sz w:val="24"/>
                <w:szCs w:val="24"/>
                <w:highlight w:val="none"/>
                <w:lang w:val="en-US" w:eastAsia="zh-CN"/>
              </w:rPr>
              <w:t>磋商响应</w:t>
            </w:r>
            <w:r>
              <w:rPr>
                <w:rFonts w:hint="eastAsia" w:ascii="仿宋" w:hAnsi="仿宋" w:eastAsia="仿宋" w:cs="仿宋"/>
                <w:color w:val="auto"/>
                <w:sz w:val="24"/>
                <w:szCs w:val="24"/>
                <w:highlight w:val="none"/>
              </w:rPr>
              <w:t>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c>
          <w:tcPr>
            <w:tcW w:w="741" w:type="dxa"/>
            <w:vAlign w:val="center"/>
          </w:tcPr>
          <w:p w14:paraId="2B9BDFC4">
            <w:pPr>
              <w:pStyle w:val="58"/>
              <w:spacing w:before="121" w:line="480" w:lineRule="exact"/>
              <w:ind w:left="4" w:right="12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p>
        </w:tc>
      </w:tr>
      <w:tr w14:paraId="67630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continue"/>
            <w:vAlign w:val="center"/>
          </w:tcPr>
          <w:p w14:paraId="6FF79718">
            <w:pPr>
              <w:spacing w:line="480" w:lineRule="exact"/>
              <w:jc w:val="center"/>
              <w:rPr>
                <w:rFonts w:ascii="仿宋" w:hAnsi="仿宋" w:eastAsia="仿宋" w:cs="仿宋"/>
                <w:color w:val="auto"/>
                <w:sz w:val="24"/>
                <w:szCs w:val="24"/>
                <w:highlight w:val="none"/>
              </w:rPr>
            </w:pPr>
          </w:p>
        </w:tc>
        <w:tc>
          <w:tcPr>
            <w:tcW w:w="1036" w:type="dxa"/>
            <w:vMerge w:val="restart"/>
            <w:vAlign w:val="center"/>
          </w:tcPr>
          <w:p w14:paraId="7D15EC21">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项目团队人员配备</w:t>
            </w:r>
          </w:p>
          <w:p w14:paraId="0E0913FF">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465" w:type="dxa"/>
            <w:vAlign w:val="center"/>
          </w:tcPr>
          <w:p w14:paraId="79B38CD4">
            <w:pPr>
              <w:pStyle w:val="58"/>
              <w:spacing w:before="97" w:line="480" w:lineRule="exact"/>
              <w:ind w:left="4" w:leftChars="0" w:right="-15"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项目经理具备CISP、数据安全管理及ISO 27001认证证书</w:t>
            </w:r>
            <w:r>
              <w:rPr>
                <w:rFonts w:hint="eastAsia" w:ascii="仿宋" w:hAnsi="仿宋" w:eastAsia="仿宋" w:cs="仿宋"/>
                <w:color w:val="auto"/>
                <w:sz w:val="24"/>
                <w:szCs w:val="24"/>
                <w:highlight w:val="none"/>
                <w:lang w:eastAsia="zh-CN"/>
              </w:rPr>
              <w:t>，具备一项证书得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最高得6分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需提供项目经理相关证书</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，未提供证明材料不得分。</w:t>
            </w:r>
          </w:p>
        </w:tc>
        <w:tc>
          <w:tcPr>
            <w:tcW w:w="741" w:type="dxa"/>
            <w:vAlign w:val="center"/>
          </w:tcPr>
          <w:p w14:paraId="1FB5DA81">
            <w:pPr>
              <w:pStyle w:val="58"/>
              <w:spacing w:before="121" w:line="480" w:lineRule="exact"/>
              <w:ind w:left="4" w:leftChars="0" w:right="127"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6D7A7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continue"/>
            <w:vAlign w:val="center"/>
          </w:tcPr>
          <w:p w14:paraId="2BE15953">
            <w:pPr>
              <w:spacing w:line="480" w:lineRule="exact"/>
              <w:jc w:val="center"/>
              <w:rPr>
                <w:rFonts w:ascii="仿宋" w:hAnsi="仿宋" w:eastAsia="仿宋" w:cs="仿宋"/>
                <w:color w:val="auto"/>
                <w:sz w:val="24"/>
                <w:szCs w:val="24"/>
                <w:highlight w:val="none"/>
              </w:rPr>
            </w:pPr>
          </w:p>
        </w:tc>
        <w:tc>
          <w:tcPr>
            <w:tcW w:w="1036" w:type="dxa"/>
            <w:vMerge w:val="continue"/>
            <w:vAlign w:val="center"/>
          </w:tcPr>
          <w:p w14:paraId="147FE888">
            <w:pPr>
              <w:spacing w:line="480" w:lineRule="exact"/>
              <w:jc w:val="center"/>
              <w:rPr>
                <w:rFonts w:hint="eastAsia" w:ascii="仿宋" w:hAnsi="仿宋" w:eastAsia="仿宋" w:cs="仿宋"/>
                <w:color w:val="auto"/>
                <w:sz w:val="24"/>
                <w:szCs w:val="24"/>
                <w:highlight w:val="none"/>
              </w:rPr>
            </w:pPr>
          </w:p>
        </w:tc>
        <w:tc>
          <w:tcPr>
            <w:tcW w:w="6465" w:type="dxa"/>
            <w:vAlign w:val="center"/>
          </w:tcPr>
          <w:p w14:paraId="632D6630">
            <w:pPr>
              <w:pStyle w:val="58"/>
              <w:spacing w:before="97" w:line="480" w:lineRule="exact"/>
              <w:ind w:left="4" w:leftChars="0" w:right="-15"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本项目拟派团队</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人员具备CISP或CISP-PTE或CISSP任一认证证书，每符合一位</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2分，最高得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分；需提供相关证书</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，未提供证明材料不得分。</w:t>
            </w:r>
          </w:p>
        </w:tc>
        <w:tc>
          <w:tcPr>
            <w:tcW w:w="741" w:type="dxa"/>
            <w:vAlign w:val="center"/>
          </w:tcPr>
          <w:p w14:paraId="05AF0AF7">
            <w:pPr>
              <w:pStyle w:val="58"/>
              <w:spacing w:before="121" w:line="480" w:lineRule="exact"/>
              <w:ind w:left="4" w:leftChars="0" w:right="127"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0-8</w:t>
            </w:r>
          </w:p>
        </w:tc>
      </w:tr>
      <w:tr w14:paraId="2EA54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Merge w:val="continue"/>
            <w:vAlign w:val="center"/>
          </w:tcPr>
          <w:p w14:paraId="2522139B">
            <w:pPr>
              <w:spacing w:line="480" w:lineRule="exact"/>
              <w:jc w:val="center"/>
              <w:rPr>
                <w:rFonts w:ascii="仿宋" w:hAnsi="仿宋" w:eastAsia="仿宋" w:cs="仿宋"/>
                <w:color w:val="auto"/>
                <w:sz w:val="24"/>
                <w:szCs w:val="24"/>
                <w:highlight w:val="none"/>
              </w:rPr>
            </w:pPr>
          </w:p>
        </w:tc>
        <w:tc>
          <w:tcPr>
            <w:tcW w:w="1036" w:type="dxa"/>
            <w:vAlign w:val="center"/>
          </w:tcPr>
          <w:p w14:paraId="62C51A00">
            <w:pPr>
              <w:spacing w:line="48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服务承诺（6分）</w:t>
            </w:r>
          </w:p>
        </w:tc>
        <w:tc>
          <w:tcPr>
            <w:tcW w:w="6465" w:type="dxa"/>
            <w:vAlign w:val="center"/>
          </w:tcPr>
          <w:p w14:paraId="73CAD033">
            <w:pPr>
              <w:pStyle w:val="58"/>
              <w:numPr>
                <w:ilvl w:val="0"/>
                <w:numId w:val="0"/>
              </w:numPr>
              <w:spacing w:before="97" w:line="480" w:lineRule="exact"/>
              <w:ind w:right="-15"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1、在重要节假日、重要活动及用户指定时间内按照用户要求开展一年不少于20次渗透测试工作，在此基础上，承诺每免费增加一次渗透测试工作得1分，本项最多得3分；</w:t>
            </w:r>
          </w:p>
          <w:p w14:paraId="2F52502B">
            <w:pPr>
              <w:pStyle w:val="58"/>
              <w:numPr>
                <w:ilvl w:val="0"/>
                <w:numId w:val="0"/>
              </w:numPr>
              <w:spacing w:before="97" w:line="480" w:lineRule="exact"/>
              <w:ind w:right="-15"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2、承诺</w:t>
            </w:r>
            <w:r>
              <w:rPr>
                <w:rFonts w:hint="default" w:ascii="仿宋" w:hAnsi="仿宋" w:eastAsia="仿宋" w:cs="仿宋"/>
                <w:color w:val="auto"/>
                <w:sz w:val="24"/>
                <w:szCs w:val="24"/>
                <w:highlight w:val="none"/>
                <w:lang w:val="en-US" w:eastAsia="zh-CN"/>
              </w:rPr>
              <w:t>服务期内，一旦出现相应的安全事件，提供7*24的应急响应服务包括：不限次数1小时响应，2小时抵达现场提供技术支持</w:t>
            </w:r>
            <w:r>
              <w:rPr>
                <w:rFonts w:hint="eastAsia" w:ascii="仿宋" w:hAnsi="仿宋" w:eastAsia="仿宋" w:cs="仿宋"/>
                <w:color w:val="auto"/>
                <w:sz w:val="24"/>
                <w:szCs w:val="24"/>
                <w:highlight w:val="none"/>
                <w:lang w:val="en-US" w:eastAsia="zh-CN"/>
              </w:rPr>
              <w:t>，提供承诺得3分。</w:t>
            </w:r>
          </w:p>
        </w:tc>
        <w:tc>
          <w:tcPr>
            <w:tcW w:w="741" w:type="dxa"/>
            <w:vAlign w:val="center"/>
          </w:tcPr>
          <w:p w14:paraId="77ACF639">
            <w:pPr>
              <w:pStyle w:val="58"/>
              <w:spacing w:before="121" w:line="480" w:lineRule="exact"/>
              <w:ind w:left="4" w:right="12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3D28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restart"/>
            <w:tcBorders>
              <w:top w:val="single" w:color="auto" w:sz="4" w:space="0"/>
            </w:tcBorders>
            <w:vAlign w:val="center"/>
          </w:tcPr>
          <w:p w14:paraId="67E57776">
            <w:pPr>
              <w:pStyle w:val="58"/>
              <w:spacing w:before="2" w:line="480" w:lineRule="exact"/>
              <w:ind w:right="96"/>
              <w:jc w:val="center"/>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技术部分</w:t>
            </w:r>
          </w:p>
          <w:p w14:paraId="1472EDE1">
            <w:pPr>
              <w:pStyle w:val="58"/>
              <w:spacing w:before="2" w:line="480" w:lineRule="exact"/>
              <w:ind w:right="96"/>
              <w:jc w:val="center"/>
              <w:rPr>
                <w:color w:val="auto"/>
                <w:highlight w:val="none"/>
              </w:rPr>
            </w:pPr>
            <w:r>
              <w:rPr>
                <w:rFonts w:hint="eastAsia" w:ascii="仿宋" w:hAnsi="仿宋" w:eastAsia="仿宋" w:cs="仿宋"/>
                <w:color w:val="auto"/>
                <w:spacing w:val="-2"/>
                <w:sz w:val="24"/>
                <w:szCs w:val="24"/>
                <w:highlight w:val="none"/>
              </w:rPr>
              <w:t>（6</w:t>
            </w:r>
            <w:r>
              <w:rPr>
                <w:rFonts w:hint="eastAsia" w:ascii="仿宋" w:hAnsi="仿宋" w:eastAsia="仿宋" w:cs="仿宋"/>
                <w:color w:val="auto"/>
                <w:spacing w:val="-2"/>
                <w:sz w:val="24"/>
                <w:szCs w:val="24"/>
                <w:highlight w:val="none"/>
                <w:lang w:val="en-US" w:eastAsia="zh-CN"/>
              </w:rPr>
              <w:t>0</w:t>
            </w:r>
            <w:r>
              <w:rPr>
                <w:rFonts w:hint="eastAsia" w:ascii="仿宋" w:hAnsi="仿宋" w:eastAsia="仿宋" w:cs="仿宋"/>
                <w:color w:val="auto"/>
                <w:spacing w:val="-2"/>
                <w:sz w:val="24"/>
                <w:szCs w:val="24"/>
                <w:highlight w:val="none"/>
              </w:rPr>
              <w:t>分）</w:t>
            </w:r>
          </w:p>
        </w:tc>
        <w:tc>
          <w:tcPr>
            <w:tcW w:w="1036" w:type="dxa"/>
            <w:tcBorders>
              <w:top w:val="single" w:color="auto" w:sz="4" w:space="0"/>
            </w:tcBorders>
            <w:vAlign w:val="center"/>
          </w:tcPr>
          <w:p w14:paraId="2F895E23">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对本项目的理解与认识</w:t>
            </w:r>
          </w:p>
          <w:p w14:paraId="1E6A6AE1">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465" w:type="dxa"/>
            <w:vAlign w:val="center"/>
          </w:tcPr>
          <w:p w14:paraId="6F05D605">
            <w:pPr>
              <w:pStyle w:val="58"/>
              <w:spacing w:before="97" w:line="480" w:lineRule="exact"/>
              <w:ind w:left="4" w:right="-1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熟悉本项目业务需求，对项目理解和认识丰富、完整、准确，能清楚描述本次工作任务目标得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每有一处缺陷扣1分，扣完为止。（缺陷是指：前后内容不一致、存在凭空编造、前后逻辑错误、涉及的规范及标准错误、项目名称或实施地点区域错误、内容简略或与本项目无关等任意一种情形等，后续评审项缺陷定义同此项）</w:t>
            </w:r>
          </w:p>
        </w:tc>
        <w:tc>
          <w:tcPr>
            <w:tcW w:w="741" w:type="dxa"/>
            <w:vAlign w:val="center"/>
          </w:tcPr>
          <w:p w14:paraId="5C218B62">
            <w:pPr>
              <w:pStyle w:val="58"/>
              <w:spacing w:before="121" w:line="480" w:lineRule="exact"/>
              <w:ind w:left="4" w:right="127"/>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p>
        </w:tc>
      </w:tr>
      <w:tr w14:paraId="05520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continue"/>
            <w:vAlign w:val="center"/>
          </w:tcPr>
          <w:p w14:paraId="40F8FBC7">
            <w:pPr>
              <w:pStyle w:val="58"/>
              <w:spacing w:before="2" w:line="480" w:lineRule="exact"/>
              <w:ind w:right="96"/>
              <w:jc w:val="center"/>
              <w:rPr>
                <w:rFonts w:ascii="仿宋" w:hAnsi="仿宋" w:eastAsia="仿宋" w:cs="仿宋"/>
                <w:color w:val="auto"/>
                <w:spacing w:val="-2"/>
                <w:sz w:val="24"/>
                <w:szCs w:val="24"/>
                <w:highlight w:val="none"/>
              </w:rPr>
            </w:pPr>
          </w:p>
        </w:tc>
        <w:tc>
          <w:tcPr>
            <w:tcW w:w="1036" w:type="dxa"/>
            <w:tcBorders>
              <w:top w:val="single" w:color="auto" w:sz="4" w:space="0"/>
            </w:tcBorders>
            <w:vAlign w:val="center"/>
          </w:tcPr>
          <w:p w14:paraId="2A78AD67">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组织架构方案</w:t>
            </w:r>
          </w:p>
          <w:p w14:paraId="594623C3">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465" w:type="dxa"/>
            <w:vAlign w:val="center"/>
          </w:tcPr>
          <w:p w14:paraId="4D6D3869">
            <w:pPr>
              <w:spacing w:before="33" w:line="480" w:lineRule="exact"/>
              <w:ind w:right="13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供应商针对本项目有合理的项目组织架构、固定的服务班底并设置分项专一工作小组，明确对接人。有详细的调配措施，人员配备齐全，分工明确。</w:t>
            </w:r>
          </w:p>
          <w:p w14:paraId="14D91FA4">
            <w:pPr>
              <w:spacing w:before="33" w:line="480" w:lineRule="exact"/>
              <w:ind w:right="13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提供完整的组织架构方案得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分，每有一处缺陷扣1分，扣完为止，未提供不得分。</w:t>
            </w:r>
          </w:p>
        </w:tc>
        <w:tc>
          <w:tcPr>
            <w:tcW w:w="741" w:type="dxa"/>
            <w:vAlign w:val="center"/>
          </w:tcPr>
          <w:p w14:paraId="5CB29C1D">
            <w:pPr>
              <w:pStyle w:val="58"/>
              <w:spacing w:line="480" w:lineRule="exact"/>
              <w:ind w:left="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p>
        </w:tc>
      </w:tr>
      <w:tr w14:paraId="1889E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51" w:type="dxa"/>
            <w:vMerge w:val="continue"/>
            <w:vAlign w:val="center"/>
          </w:tcPr>
          <w:p w14:paraId="09B33FAC">
            <w:pPr>
              <w:pStyle w:val="58"/>
              <w:spacing w:before="2" w:line="480" w:lineRule="exact"/>
              <w:ind w:right="96"/>
              <w:jc w:val="center"/>
              <w:rPr>
                <w:rFonts w:ascii="仿宋" w:hAnsi="仿宋" w:eastAsia="仿宋" w:cs="仿宋"/>
                <w:color w:val="auto"/>
                <w:spacing w:val="-2"/>
                <w:sz w:val="24"/>
                <w:szCs w:val="24"/>
                <w:highlight w:val="none"/>
              </w:rPr>
            </w:pPr>
          </w:p>
        </w:tc>
        <w:tc>
          <w:tcPr>
            <w:tcW w:w="1036" w:type="dxa"/>
            <w:tcBorders>
              <w:top w:val="single" w:color="auto" w:sz="4" w:space="0"/>
            </w:tcBorders>
            <w:vAlign w:val="center"/>
          </w:tcPr>
          <w:p w14:paraId="68C5AB62">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漏洞</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6465" w:type="dxa"/>
            <w:vAlign w:val="center"/>
          </w:tcPr>
          <w:p w14:paraId="1855CA64">
            <w:pPr>
              <w:pStyle w:val="58"/>
              <w:spacing w:before="97" w:line="480" w:lineRule="exact"/>
              <w:ind w:left="4" w:right="-1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供应商需针对本项目提供详细的漏洞管理服务方案，满足采购需求清单中内容，包括但不限于：①安全服务项目目标、②服务内容、③服务流程、④服务的交付物</w:t>
            </w:r>
            <w:r>
              <w:rPr>
                <w:rFonts w:hint="eastAsia" w:ascii="仿宋" w:hAnsi="仿宋" w:eastAsia="仿宋" w:cs="仿宋"/>
                <w:color w:val="auto"/>
                <w:sz w:val="24"/>
                <w:szCs w:val="24"/>
                <w:highlight w:val="none"/>
                <w:lang w:eastAsia="zh-CN"/>
              </w:rPr>
              <w:t>；</w:t>
            </w:r>
          </w:p>
          <w:p w14:paraId="33D69170">
            <w:pPr>
              <w:pStyle w:val="58"/>
              <w:spacing w:before="97" w:line="480" w:lineRule="exact"/>
              <w:ind w:left="4" w:right="-1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提供以上漏洞</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rPr>
              <w:t>服务方案得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分，每有一项缺项或漏项扣2分，每有一处缺陷扣1分，扣完为止。</w:t>
            </w:r>
          </w:p>
        </w:tc>
        <w:tc>
          <w:tcPr>
            <w:tcW w:w="741" w:type="dxa"/>
            <w:vAlign w:val="center"/>
          </w:tcPr>
          <w:p w14:paraId="7C7F3258">
            <w:pPr>
              <w:pStyle w:val="58"/>
              <w:spacing w:before="121" w:line="480" w:lineRule="exact"/>
              <w:ind w:left="4" w:right="127"/>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r w14:paraId="372A2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51" w:type="dxa"/>
            <w:vMerge w:val="continue"/>
            <w:vAlign w:val="center"/>
          </w:tcPr>
          <w:p w14:paraId="14B8E273">
            <w:pPr>
              <w:spacing w:line="480" w:lineRule="exact"/>
              <w:jc w:val="center"/>
              <w:rPr>
                <w:rFonts w:ascii="仿宋" w:hAnsi="仿宋" w:eastAsia="仿宋" w:cs="仿宋"/>
                <w:color w:val="auto"/>
                <w:sz w:val="24"/>
                <w:szCs w:val="24"/>
                <w:highlight w:val="none"/>
              </w:rPr>
            </w:pPr>
          </w:p>
        </w:tc>
        <w:tc>
          <w:tcPr>
            <w:tcW w:w="1036" w:type="dxa"/>
            <w:vAlign w:val="center"/>
          </w:tcPr>
          <w:p w14:paraId="0222FD1A">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渗透测试服务方案（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6465" w:type="dxa"/>
            <w:vAlign w:val="center"/>
          </w:tcPr>
          <w:p w14:paraId="771D0548">
            <w:pPr>
              <w:pStyle w:val="11"/>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供应商需针对本项目提供详细的渗透测试服务方案，满足采购需求清单中内容包括但不限于：①安全服务项目目标、</w:t>
            </w:r>
            <w:r>
              <w:rPr>
                <w:rFonts w:hint="eastAsia" w:ascii="仿宋" w:hAnsi="仿宋" w:eastAsia="仿宋" w:cs="仿宋"/>
                <w:color w:val="auto"/>
                <w:sz w:val="24"/>
                <w:szCs w:val="24"/>
                <w:highlight w:val="none"/>
              </w:rPr>
              <w:t>②服务内容、③服务流程、④服务的交付物</w:t>
            </w:r>
            <w:r>
              <w:rPr>
                <w:rFonts w:hint="eastAsia" w:ascii="仿宋" w:hAnsi="仿宋" w:eastAsia="仿宋" w:cs="仿宋"/>
                <w:color w:val="auto"/>
                <w:sz w:val="24"/>
                <w:szCs w:val="24"/>
                <w:highlight w:val="none"/>
                <w:lang w:eastAsia="zh-CN"/>
              </w:rPr>
              <w:t>；</w:t>
            </w:r>
          </w:p>
          <w:p w14:paraId="131795F4">
            <w:pPr>
              <w:pStyle w:val="11"/>
              <w:spacing w:line="48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提供以上渗透测试服务方案得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分，每有一项缺项或漏项扣2分，每有一处缺陷扣1分，扣完为止。</w:t>
            </w:r>
          </w:p>
        </w:tc>
        <w:tc>
          <w:tcPr>
            <w:tcW w:w="741" w:type="dxa"/>
            <w:vAlign w:val="center"/>
          </w:tcPr>
          <w:p w14:paraId="06F86727">
            <w:pPr>
              <w:pStyle w:val="58"/>
              <w:spacing w:line="480" w:lineRule="exact"/>
              <w:ind w:left="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r w14:paraId="23CF6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51" w:type="dxa"/>
            <w:vMerge w:val="continue"/>
            <w:vAlign w:val="center"/>
          </w:tcPr>
          <w:p w14:paraId="4E039EF1">
            <w:pPr>
              <w:spacing w:line="480" w:lineRule="exact"/>
              <w:jc w:val="center"/>
              <w:rPr>
                <w:rFonts w:ascii="仿宋" w:hAnsi="仿宋" w:eastAsia="仿宋" w:cs="仿宋"/>
                <w:color w:val="auto"/>
                <w:sz w:val="24"/>
                <w:szCs w:val="24"/>
                <w:highlight w:val="none"/>
              </w:rPr>
            </w:pPr>
          </w:p>
        </w:tc>
        <w:tc>
          <w:tcPr>
            <w:tcW w:w="1036" w:type="dxa"/>
            <w:vAlign w:val="center"/>
          </w:tcPr>
          <w:p w14:paraId="552E2E42">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安全服务工具先进性说明（10分）</w:t>
            </w:r>
          </w:p>
        </w:tc>
        <w:tc>
          <w:tcPr>
            <w:tcW w:w="6465" w:type="dxa"/>
            <w:vAlign w:val="center"/>
          </w:tcPr>
          <w:p w14:paraId="548A274F">
            <w:pPr>
              <w:pStyle w:val="11"/>
              <w:spacing w:line="48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供应商需针对本项目提供服务工具，包括但不限于：①漏洞扫描工具、②渗透测试工具；所提供的每个安全服务工具有详细的先进性说明文档、本地化部署方案，每具有以上方案内容中一项的得5分，满分10分； </w:t>
            </w:r>
          </w:p>
        </w:tc>
        <w:tc>
          <w:tcPr>
            <w:tcW w:w="741" w:type="dxa"/>
            <w:vAlign w:val="center"/>
          </w:tcPr>
          <w:p w14:paraId="5B703E07">
            <w:pPr>
              <w:pStyle w:val="58"/>
              <w:spacing w:line="480" w:lineRule="exact"/>
              <w:ind w:left="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0-10</w:t>
            </w:r>
          </w:p>
        </w:tc>
      </w:tr>
      <w:tr w14:paraId="15B87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51" w:type="dxa"/>
            <w:vMerge w:val="continue"/>
            <w:vAlign w:val="center"/>
          </w:tcPr>
          <w:p w14:paraId="1CC1E6AB">
            <w:pPr>
              <w:spacing w:line="480" w:lineRule="exact"/>
              <w:jc w:val="center"/>
              <w:rPr>
                <w:rFonts w:ascii="仿宋" w:hAnsi="仿宋" w:eastAsia="仿宋" w:cs="仿宋"/>
                <w:color w:val="auto"/>
                <w:sz w:val="24"/>
                <w:szCs w:val="24"/>
                <w:highlight w:val="none"/>
              </w:rPr>
            </w:pPr>
          </w:p>
        </w:tc>
        <w:tc>
          <w:tcPr>
            <w:tcW w:w="1036" w:type="dxa"/>
            <w:vAlign w:val="center"/>
          </w:tcPr>
          <w:p w14:paraId="49E6D486">
            <w:pPr>
              <w:spacing w:line="480" w:lineRule="exact"/>
              <w:jc w:val="center"/>
              <w:rPr>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lang w:val="en-US" w:eastAsia="zh-CN" w:bidi="ar-SA"/>
              </w:rPr>
              <w:t>授权书（3分）</w:t>
            </w:r>
          </w:p>
        </w:tc>
        <w:tc>
          <w:tcPr>
            <w:tcW w:w="6465" w:type="dxa"/>
            <w:vAlign w:val="center"/>
          </w:tcPr>
          <w:p w14:paraId="648840B9">
            <w:pPr>
              <w:pStyle w:val="11"/>
              <w:spacing w:line="480" w:lineRule="exact"/>
              <w:rPr>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bidi="ar-SA"/>
              </w:rPr>
              <w:t>供应商提供漏扫工具原厂授权书得3分，未提供不得分。</w:t>
            </w:r>
          </w:p>
        </w:tc>
        <w:tc>
          <w:tcPr>
            <w:tcW w:w="741" w:type="dxa"/>
            <w:vAlign w:val="center"/>
          </w:tcPr>
          <w:p w14:paraId="075ACFFA">
            <w:pPr>
              <w:pStyle w:val="58"/>
              <w:spacing w:line="480" w:lineRule="exact"/>
              <w:ind w:left="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43026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051" w:type="dxa"/>
            <w:vMerge w:val="continue"/>
            <w:vAlign w:val="center"/>
          </w:tcPr>
          <w:p w14:paraId="56DC9C8F">
            <w:pPr>
              <w:spacing w:line="480" w:lineRule="exact"/>
              <w:jc w:val="center"/>
              <w:rPr>
                <w:rFonts w:ascii="仿宋" w:hAnsi="仿宋" w:eastAsia="仿宋" w:cs="仿宋"/>
                <w:color w:val="auto"/>
                <w:sz w:val="24"/>
                <w:szCs w:val="24"/>
                <w:highlight w:val="none"/>
              </w:rPr>
            </w:pPr>
          </w:p>
        </w:tc>
        <w:tc>
          <w:tcPr>
            <w:tcW w:w="1036" w:type="dxa"/>
            <w:vAlign w:val="center"/>
          </w:tcPr>
          <w:p w14:paraId="194BF59D">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质量保证措施</w:t>
            </w:r>
          </w:p>
          <w:p w14:paraId="235FC1EA">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6465" w:type="dxa"/>
            <w:vAlign w:val="center"/>
          </w:tcPr>
          <w:p w14:paraId="578FCFBF">
            <w:pPr>
              <w:spacing w:line="4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提供针对本项目的质量保证措施，确保漏洞扫描服务方向把握准确，问题分析精准，防范及应对措施定制科学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并提供协助采购人进行整改的具体措施</w:t>
            </w:r>
            <w:r>
              <w:rPr>
                <w:rFonts w:hint="eastAsia" w:ascii="仿宋" w:hAnsi="仿宋" w:eastAsia="仿宋" w:cs="仿宋"/>
                <w:color w:val="auto"/>
                <w:sz w:val="24"/>
                <w:szCs w:val="24"/>
                <w:highlight w:val="none"/>
              </w:rPr>
              <w:t>；</w:t>
            </w:r>
          </w:p>
          <w:p w14:paraId="1671D141">
            <w:pPr>
              <w:spacing w:line="4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提供以上保证措施得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分，每有一处缺陷扣1分，扣完为止。</w:t>
            </w:r>
          </w:p>
        </w:tc>
        <w:tc>
          <w:tcPr>
            <w:tcW w:w="741" w:type="dxa"/>
            <w:vAlign w:val="center"/>
          </w:tcPr>
          <w:p w14:paraId="34CB755C">
            <w:pPr>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7</w:t>
            </w:r>
          </w:p>
        </w:tc>
      </w:tr>
      <w:tr w14:paraId="0BAE2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51" w:type="dxa"/>
            <w:vMerge w:val="continue"/>
            <w:vAlign w:val="center"/>
          </w:tcPr>
          <w:p w14:paraId="38DC7E76">
            <w:pPr>
              <w:spacing w:line="480" w:lineRule="exact"/>
              <w:jc w:val="center"/>
              <w:rPr>
                <w:rFonts w:ascii="仿宋" w:hAnsi="仿宋" w:eastAsia="仿宋" w:cs="仿宋"/>
                <w:color w:val="auto"/>
                <w:sz w:val="24"/>
                <w:szCs w:val="24"/>
                <w:highlight w:val="none"/>
              </w:rPr>
            </w:pPr>
          </w:p>
        </w:tc>
        <w:tc>
          <w:tcPr>
            <w:tcW w:w="1036" w:type="dxa"/>
            <w:vAlign w:val="center"/>
          </w:tcPr>
          <w:p w14:paraId="6EFF77F3">
            <w:pPr>
              <w:spacing w:line="4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培训方案（6分）</w:t>
            </w:r>
          </w:p>
        </w:tc>
        <w:tc>
          <w:tcPr>
            <w:tcW w:w="6465" w:type="dxa"/>
            <w:vAlign w:val="center"/>
          </w:tcPr>
          <w:p w14:paraId="6962B1EB">
            <w:pPr>
              <w:spacing w:line="4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供应商需针对本项目提供详细的培训方案，内容包括但不限于：①培训目标、②培训形式、③培训计划、④培训内容、⑤培训人员简介、⑥培训服务承诺；</w:t>
            </w:r>
          </w:p>
          <w:p w14:paraId="2BADE721">
            <w:pPr>
              <w:spacing w:line="4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提供以上培训方案得6分，每有一项缺项或漏项扣1分，每有一处缺陷扣0.5分，扣完为止。</w:t>
            </w:r>
          </w:p>
        </w:tc>
        <w:tc>
          <w:tcPr>
            <w:tcW w:w="741" w:type="dxa"/>
            <w:vAlign w:val="center"/>
          </w:tcPr>
          <w:p w14:paraId="65B1C9FE">
            <w:pPr>
              <w:pStyle w:val="58"/>
              <w:spacing w:before="6" w:line="480" w:lineRule="exact"/>
              <w:ind w:left="4" w:right="2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r>
      <w:tr w14:paraId="36B9B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Merge w:val="continue"/>
            <w:vAlign w:val="center"/>
          </w:tcPr>
          <w:p w14:paraId="22D7E504">
            <w:pPr>
              <w:spacing w:line="480" w:lineRule="exact"/>
              <w:jc w:val="center"/>
              <w:rPr>
                <w:rFonts w:ascii="仿宋" w:hAnsi="仿宋" w:eastAsia="仿宋" w:cs="仿宋"/>
                <w:color w:val="auto"/>
                <w:sz w:val="24"/>
                <w:szCs w:val="24"/>
                <w:highlight w:val="none"/>
              </w:rPr>
            </w:pPr>
          </w:p>
        </w:tc>
        <w:tc>
          <w:tcPr>
            <w:tcW w:w="1036" w:type="dxa"/>
            <w:vAlign w:val="center"/>
          </w:tcPr>
          <w:p w14:paraId="7B82527A">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应急预备方案</w:t>
            </w:r>
          </w:p>
          <w:p w14:paraId="7B387F66">
            <w:pPr>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6465" w:type="dxa"/>
            <w:vAlign w:val="center"/>
          </w:tcPr>
          <w:p w14:paraId="09035A64">
            <w:pPr>
              <w:spacing w:before="33" w:line="480" w:lineRule="exact"/>
              <w:ind w:right="138"/>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供应商需针对本项目提供详细的应急保障方案，内容包括但不限于：①团队名单、</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故障应急方针</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应急行动、</w:t>
            </w: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措施保障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④响应时间；</w:t>
            </w:r>
          </w:p>
          <w:p w14:paraId="748C0DF6">
            <w:pPr>
              <w:spacing w:before="33" w:line="480" w:lineRule="exact"/>
              <w:ind w:right="13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提供以上应急预备方案得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分，每有一项缺项或漏项扣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分，每有一处缺陷扣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p>
        </w:tc>
        <w:tc>
          <w:tcPr>
            <w:tcW w:w="741" w:type="dxa"/>
            <w:vAlign w:val="center"/>
          </w:tcPr>
          <w:p w14:paraId="7EDE163A">
            <w:pPr>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bl>
    <w:p w14:paraId="204A9E11">
      <w:pPr>
        <w:keepNext w:val="0"/>
        <w:keepLines w:val="0"/>
        <w:pageBreakBefore w:val="0"/>
        <w:shd w:val="clear"/>
        <w:kinsoku/>
        <w:wordWrap/>
        <w:overflowPunct/>
        <w:topLinePunct w:val="0"/>
        <w:bidi w:val="0"/>
        <w:spacing w:line="579" w:lineRule="exact"/>
        <w:ind w:firstLine="480" w:firstLineChars="200"/>
        <w:outlineLvl w:val="9"/>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说明：评标过程</w:t>
      </w:r>
      <w:r>
        <w:rPr>
          <w:rStyle w:val="35"/>
          <w:rFonts w:hint="eastAsia" w:ascii="仿宋" w:hAnsi="仿宋" w:eastAsia="仿宋" w:cs="仿宋"/>
          <w:color w:val="auto"/>
          <w:sz w:val="24"/>
          <w:szCs w:val="24"/>
          <w:highlight w:val="none"/>
          <w:lang w:val="en-US" w:eastAsia="zh-CN"/>
        </w:rPr>
        <w:t>中</w:t>
      </w:r>
      <w:r>
        <w:rPr>
          <w:rStyle w:val="35"/>
          <w:rFonts w:hint="eastAsia" w:ascii="仿宋" w:hAnsi="仿宋" w:eastAsia="仿宋" w:cs="仿宋"/>
          <w:color w:val="auto"/>
          <w:sz w:val="24"/>
          <w:szCs w:val="24"/>
          <w:highlight w:val="none"/>
          <w:lang w:eastAsia="zh-CN"/>
        </w:rPr>
        <w:t>，不得去掉报价中的最高报价和最低报价，且最低报价不是中标的唯一依据。</w:t>
      </w:r>
    </w:p>
    <w:p w14:paraId="680A226E">
      <w:pPr>
        <w:pStyle w:val="45"/>
        <w:keepNext w:val="0"/>
        <w:keepLines w:val="0"/>
        <w:pageBreakBefore w:val="0"/>
        <w:shd w:val="clear"/>
        <w:kinsoku/>
        <w:wordWrap/>
        <w:overflowPunct/>
        <w:topLinePunct w:val="0"/>
        <w:bidi w:val="0"/>
        <w:spacing w:before="0" w:line="579" w:lineRule="exact"/>
        <w:ind w:left="0" w:firstLine="458" w:firstLineChars="200"/>
        <w:rPr>
          <w:rStyle w:val="35"/>
          <w:rFonts w:ascii="仿宋" w:hAnsi="仿宋" w:eastAsia="仿宋" w:cs="仿宋"/>
          <w:color w:val="auto"/>
          <w:highlight w:val="none"/>
        </w:rPr>
      </w:pPr>
      <w:r>
        <w:rPr>
          <w:rStyle w:val="35"/>
          <w:rFonts w:hint="eastAsia" w:ascii="仿宋" w:hAnsi="仿宋" w:eastAsia="仿宋" w:cs="仿宋"/>
          <w:color w:val="auto"/>
          <w:w w:val="95"/>
          <w:highlight w:val="none"/>
        </w:rPr>
        <w:t>30．定标原则</w:t>
      </w:r>
    </w:p>
    <w:p w14:paraId="3AC6BC9E">
      <w:pPr>
        <w:keepNext w:val="0"/>
        <w:keepLines w:val="0"/>
        <w:pageBreakBefore w:val="0"/>
        <w:shd w:val="clear"/>
        <w:kinsoku/>
        <w:wordWrap/>
        <w:overflowPunct/>
        <w:topLinePunct w:val="0"/>
        <w:bidi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30.1评审小组应当根据综合评分情况，按照供应商综合得分由高到低的顺序排列，依次推荐3名中标候选人，并编写评审报告。供应商综合得分相同的，按照投标报价由低到高的顺序排列。供应商综合得分相同且投标报价也相同的并列，评审小组将按照技术指标优劣顺序推荐。</w:t>
      </w:r>
    </w:p>
    <w:p w14:paraId="380B33DB">
      <w:pPr>
        <w:keepNext w:val="0"/>
        <w:keepLines w:val="0"/>
        <w:pageBreakBefore w:val="0"/>
        <w:shd w:val="clear"/>
        <w:kinsoku/>
        <w:wordWrap/>
        <w:overflowPunct/>
        <w:topLinePunct w:val="0"/>
        <w:bidi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30.2采购代理机构应当在评标结束后2个工作日内将评审报告送采购人。采购人应当自收到评审报告之日起5个工作日内，在评审报告确定的中标候选人名单中按顺序确定中标人。</w:t>
      </w:r>
    </w:p>
    <w:p w14:paraId="0FFEB671">
      <w:pPr>
        <w:keepNext w:val="0"/>
        <w:keepLines w:val="0"/>
        <w:pageBreakBefore w:val="0"/>
        <w:shd w:val="clear"/>
        <w:kinsoku/>
        <w:wordWrap/>
        <w:overflowPunct/>
        <w:topLinePunct w:val="0"/>
        <w:bidi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30.3根据评审报告，应当确定排名第一的中标候选人为中标人。排名第一的中标候选人放弃中标、因不可抗力不能履行合同的或者竞争性磋商文件规定应当提交履约保证金而在规定的期限内未能提交的（如有）、其他不符合中标条件的或者被查实存在影响中标结果的违法行为等情形，采购人可以按照评审小组提出的中标候选人名单排序依次确定其他中标候选人为中标人，也可以重新采购。</w:t>
      </w:r>
    </w:p>
    <w:p w14:paraId="7356182A">
      <w:pPr>
        <w:shd w:val="clear"/>
        <w:spacing w:line="579" w:lineRule="exact"/>
        <w:ind w:left="3454" w:right="3385"/>
        <w:jc w:val="both"/>
        <w:rPr>
          <w:rStyle w:val="35"/>
          <w:rFonts w:ascii="仿宋" w:hAnsi="仿宋" w:eastAsia="仿宋" w:cs="仿宋"/>
          <w:b/>
          <w:color w:val="auto"/>
          <w:sz w:val="24"/>
          <w:szCs w:val="24"/>
          <w:highlight w:val="none"/>
          <w:lang w:eastAsia="zh-CN"/>
        </w:rPr>
      </w:pPr>
    </w:p>
    <w:p w14:paraId="618EB277">
      <w:pPr>
        <w:shd w:val="clear"/>
        <w:spacing w:line="579" w:lineRule="exact"/>
        <w:ind w:left="3453" w:right="3385"/>
        <w:jc w:val="both"/>
        <w:outlineLvl w:val="1"/>
        <w:rPr>
          <w:rStyle w:val="35"/>
          <w:rFonts w:ascii="仿宋" w:hAnsi="仿宋" w:eastAsia="仿宋" w:cs="仿宋"/>
          <w:color w:val="auto"/>
          <w:sz w:val="28"/>
          <w:szCs w:val="28"/>
          <w:highlight w:val="none"/>
          <w:lang w:eastAsia="zh-CN"/>
        </w:rPr>
      </w:pPr>
      <w:bookmarkStart w:id="49" w:name="_Toc6244"/>
      <w:bookmarkStart w:id="50" w:name="_Toc15580"/>
      <w:bookmarkStart w:id="51" w:name="_Toc19739"/>
      <w:bookmarkStart w:id="52" w:name="_Toc752"/>
      <w:bookmarkStart w:id="53" w:name="_Toc8567"/>
      <w:bookmarkStart w:id="54" w:name="_Toc10032"/>
      <w:r>
        <w:rPr>
          <w:rStyle w:val="35"/>
          <w:rFonts w:hint="eastAsia" w:ascii="仿宋" w:hAnsi="仿宋" w:eastAsia="仿宋" w:cs="仿宋"/>
          <w:b/>
          <w:color w:val="auto"/>
          <w:sz w:val="28"/>
          <w:szCs w:val="28"/>
          <w:highlight w:val="none"/>
          <w:lang w:eastAsia="zh-CN"/>
        </w:rPr>
        <w:t>第七章 授予合同</w:t>
      </w:r>
      <w:bookmarkEnd w:id="49"/>
      <w:bookmarkEnd w:id="50"/>
      <w:bookmarkEnd w:id="51"/>
      <w:bookmarkEnd w:id="52"/>
      <w:bookmarkEnd w:id="53"/>
      <w:bookmarkEnd w:id="54"/>
    </w:p>
    <w:p w14:paraId="676077C9">
      <w:pPr>
        <w:shd w:val="clear"/>
        <w:snapToGrid w:val="0"/>
        <w:spacing w:before="124"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31.合同授予标准</w:t>
      </w:r>
    </w:p>
    <w:p w14:paraId="77EE374D">
      <w:pPr>
        <w:pStyle w:val="47"/>
        <w:shd w:val="clear"/>
        <w:tabs>
          <w:tab w:val="left" w:pos="1213"/>
        </w:tabs>
        <w:snapToGrid w:val="0"/>
        <w:spacing w:before="124" w:line="579" w:lineRule="exact"/>
        <w:ind w:left="0" w:right="114"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31.1合同将授予被确定为实质上响应竞争性磋商文件要求，评标认为具备履行合</w:t>
      </w:r>
      <w:r>
        <w:rPr>
          <w:rStyle w:val="35"/>
          <w:rFonts w:hint="eastAsia" w:ascii="仿宋" w:hAnsi="仿宋" w:eastAsia="仿宋" w:cs="仿宋"/>
          <w:color w:val="auto"/>
          <w:spacing w:val="-7"/>
          <w:sz w:val="24"/>
          <w:szCs w:val="24"/>
          <w:highlight w:val="none"/>
          <w:lang w:eastAsia="zh-CN"/>
        </w:rPr>
        <w:t>同义务条件、报价合理、技术和商务条件都符合条件基础上对买方最为有利的供应商。</w:t>
      </w:r>
    </w:p>
    <w:p w14:paraId="222E5486">
      <w:pPr>
        <w:pStyle w:val="47"/>
        <w:shd w:val="clear"/>
        <w:tabs>
          <w:tab w:val="left" w:pos="1113"/>
        </w:tabs>
        <w:snapToGrid w:val="0"/>
        <w:spacing w:before="14" w:line="579" w:lineRule="exac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31.2最低投标价不一定是被授予合同的保证。</w:t>
      </w:r>
    </w:p>
    <w:p w14:paraId="328D57CB">
      <w:pPr>
        <w:pStyle w:val="47"/>
        <w:shd w:val="clear"/>
        <w:tabs>
          <w:tab w:val="left" w:pos="1173"/>
        </w:tabs>
        <w:snapToGrid w:val="0"/>
        <w:spacing w:before="124" w:line="579" w:lineRule="exact"/>
        <w:ind w:left="0" w:right="231" w:firstLine="468"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31.3如果确定该供应商不能无条件圆满履行合同，采购人将对下一个可能中标的</w:t>
      </w:r>
      <w:r>
        <w:rPr>
          <w:rStyle w:val="35"/>
          <w:rFonts w:hint="eastAsia" w:ascii="仿宋" w:hAnsi="仿宋" w:eastAsia="仿宋" w:cs="仿宋"/>
          <w:color w:val="auto"/>
          <w:spacing w:val="-5"/>
          <w:sz w:val="24"/>
          <w:szCs w:val="24"/>
          <w:highlight w:val="none"/>
          <w:lang w:eastAsia="zh-CN"/>
        </w:rPr>
        <w:t>供应商资格做出类似的审查。</w:t>
      </w:r>
    </w:p>
    <w:p w14:paraId="1D7F4ABC">
      <w:pPr>
        <w:pStyle w:val="45"/>
        <w:shd w:val="clear"/>
        <w:snapToGrid w:val="0"/>
        <w:spacing w:before="26"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32.接受和拒绝任何投标的权力</w:t>
      </w:r>
    </w:p>
    <w:p w14:paraId="56730106">
      <w:pPr>
        <w:pStyle w:val="38"/>
        <w:shd w:val="clear"/>
        <w:snapToGrid w:val="0"/>
        <w:spacing w:before="125"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32.1为维护国家利益，采购人在授予合同之前仍有选择或拒绝任何投标的权力。</w:t>
      </w:r>
    </w:p>
    <w:p w14:paraId="2A2D4056">
      <w:pPr>
        <w:pStyle w:val="45"/>
        <w:shd w:val="clear"/>
        <w:snapToGrid w:val="0"/>
        <w:spacing w:before="127"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33.中标通知书</w:t>
      </w:r>
    </w:p>
    <w:p w14:paraId="00E46AB5">
      <w:pPr>
        <w:pStyle w:val="47"/>
        <w:shd w:val="clear"/>
        <w:tabs>
          <w:tab w:val="left" w:pos="1173"/>
        </w:tabs>
        <w:snapToGrid w:val="0"/>
        <w:spacing w:before="124" w:line="579" w:lineRule="exact"/>
        <w:ind w:left="0" w:right="231"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33.1中标结果公示结束后，采购人将以书面形式发出《中标通知书》，《中标通</w:t>
      </w:r>
      <w:r>
        <w:rPr>
          <w:rStyle w:val="35"/>
          <w:rFonts w:hint="eastAsia" w:ascii="仿宋" w:hAnsi="仿宋" w:eastAsia="仿宋" w:cs="仿宋"/>
          <w:color w:val="auto"/>
          <w:spacing w:val="-5"/>
          <w:sz w:val="24"/>
          <w:szCs w:val="24"/>
          <w:highlight w:val="none"/>
          <w:lang w:eastAsia="zh-CN"/>
        </w:rPr>
        <w:t>知书》一经发出即发生法律效力。</w:t>
      </w:r>
    </w:p>
    <w:p w14:paraId="4A2DE552">
      <w:pPr>
        <w:pStyle w:val="47"/>
        <w:shd w:val="clear"/>
        <w:tabs>
          <w:tab w:val="left" w:pos="1056"/>
        </w:tabs>
        <w:snapToGrid w:val="0"/>
        <w:spacing w:line="579" w:lineRule="exac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33.2《中标通知书》将作为签订合同的依据。</w:t>
      </w:r>
    </w:p>
    <w:p w14:paraId="05551C1F">
      <w:pPr>
        <w:pStyle w:val="45"/>
        <w:shd w:val="clear"/>
        <w:snapToGrid w:val="0"/>
        <w:spacing w:before="124"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34.履约担保</w:t>
      </w:r>
    </w:p>
    <w:p w14:paraId="422A68A1">
      <w:pPr>
        <w:pStyle w:val="47"/>
        <w:shd w:val="clear"/>
        <w:tabs>
          <w:tab w:val="left" w:pos="1113"/>
        </w:tabs>
        <w:snapToGrid w:val="0"/>
        <w:spacing w:before="124" w:line="579" w:lineRule="exac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34.1履约保证金：详见供应商须知前附表。</w:t>
      </w:r>
    </w:p>
    <w:p w14:paraId="72AC6068">
      <w:pPr>
        <w:pStyle w:val="47"/>
        <w:shd w:val="clear"/>
        <w:tabs>
          <w:tab w:val="left" w:pos="1113"/>
        </w:tabs>
        <w:snapToGrid w:val="0"/>
        <w:spacing w:before="127" w:line="579" w:lineRule="exac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34.2履约保证金在合同执行完毕后无息退还。</w:t>
      </w:r>
    </w:p>
    <w:p w14:paraId="6B70312B">
      <w:pPr>
        <w:pStyle w:val="47"/>
        <w:shd w:val="clear"/>
        <w:tabs>
          <w:tab w:val="left" w:pos="1173"/>
        </w:tabs>
        <w:snapToGrid w:val="0"/>
        <w:spacing w:before="125" w:line="579" w:lineRule="exact"/>
        <w:ind w:left="0" w:right="231"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34.3如中标候选人不能提供则取消其中标资格。供应商须承诺如成为中标候选人</w:t>
      </w:r>
      <w:r>
        <w:rPr>
          <w:rStyle w:val="35"/>
          <w:rFonts w:hint="eastAsia" w:ascii="仿宋" w:hAnsi="仿宋" w:eastAsia="仿宋" w:cs="仿宋"/>
          <w:color w:val="auto"/>
          <w:spacing w:val="-5"/>
          <w:sz w:val="24"/>
          <w:szCs w:val="24"/>
          <w:highlight w:val="none"/>
          <w:lang w:eastAsia="zh-CN"/>
        </w:rPr>
        <w:t>能够及时提供该笔资金。</w:t>
      </w:r>
    </w:p>
    <w:p w14:paraId="6771807E">
      <w:pPr>
        <w:pStyle w:val="45"/>
        <w:keepNext w:val="0"/>
        <w:keepLines w:val="0"/>
        <w:pageBreakBefore w:val="0"/>
        <w:widowControl/>
        <w:shd w:val="clear"/>
        <w:kinsoku/>
        <w:wordWrap/>
        <w:overflowPunct/>
        <w:topLinePunct w:val="0"/>
        <w:autoSpaceDE/>
        <w:autoSpaceDN/>
        <w:bidi w:val="0"/>
        <w:adjustRightInd/>
        <w:snapToGrid w:val="0"/>
        <w:spacing w:before="0" w:line="579" w:lineRule="exact"/>
        <w:ind w:left="0" w:right="0" w:firstLine="458" w:firstLineChars="200"/>
        <w:textAlignment w:val="baseline"/>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35．签订合同</w:t>
      </w:r>
    </w:p>
    <w:p w14:paraId="3B51FCEB">
      <w:pPr>
        <w:pStyle w:val="47"/>
        <w:keepNext w:val="0"/>
        <w:keepLines w:val="0"/>
        <w:pageBreakBefore w:val="0"/>
        <w:widowControl/>
        <w:shd w:val="clear"/>
        <w:tabs>
          <w:tab w:val="left" w:pos="1113"/>
        </w:tabs>
        <w:kinsoku/>
        <w:wordWrap/>
        <w:overflowPunct/>
        <w:topLinePunct w:val="0"/>
        <w:autoSpaceDE/>
        <w:autoSpaceDN/>
        <w:bidi w:val="0"/>
        <w:adjustRightInd/>
        <w:snapToGrid w:val="0"/>
        <w:spacing w:before="0" w:line="579" w:lineRule="exact"/>
        <w:ind w:left="0" w:right="0" w:firstLine="460" w:firstLineChars="20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35.1中标候选人在收到招标方的《中标通知书》后，须及时按照竞争性磋商文件</w:t>
      </w:r>
      <w:r>
        <w:rPr>
          <w:rStyle w:val="35"/>
          <w:rFonts w:hint="eastAsia" w:ascii="仿宋" w:hAnsi="仿宋" w:eastAsia="仿宋" w:cs="仿宋"/>
          <w:color w:val="auto"/>
          <w:spacing w:val="-8"/>
          <w:sz w:val="24"/>
          <w:szCs w:val="24"/>
          <w:highlight w:val="none"/>
          <w:lang w:eastAsia="zh-CN"/>
        </w:rPr>
        <w:t>和其所提供的响应文件中的约定与采购单位签订书面合同，所签订的合同不得对竞争性</w:t>
      </w:r>
      <w:r>
        <w:rPr>
          <w:rStyle w:val="35"/>
          <w:rFonts w:hint="eastAsia" w:ascii="仿宋" w:hAnsi="仿宋" w:eastAsia="仿宋" w:cs="仿宋"/>
          <w:color w:val="auto"/>
          <w:spacing w:val="-5"/>
          <w:sz w:val="24"/>
          <w:szCs w:val="24"/>
          <w:highlight w:val="none"/>
          <w:lang w:eastAsia="zh-CN"/>
        </w:rPr>
        <w:t>磋商文件和中标方的响应文件作实质性修改。</w:t>
      </w:r>
    </w:p>
    <w:p w14:paraId="64505F89">
      <w:pPr>
        <w:pStyle w:val="47"/>
        <w:shd w:val="clear"/>
        <w:tabs>
          <w:tab w:val="left" w:pos="1113"/>
        </w:tabs>
        <w:snapToGrid w:val="0"/>
        <w:spacing w:before="28" w:line="579" w:lineRule="exact"/>
        <w:ind w:left="0" w:right="114" w:firstLine="436" w:firstLineChars="200"/>
        <w:rPr>
          <w:rStyle w:val="35"/>
          <w:rFonts w:ascii="仿宋" w:hAnsi="仿宋" w:eastAsia="仿宋" w:cs="仿宋"/>
          <w:color w:val="auto"/>
          <w:spacing w:val="-11"/>
          <w:sz w:val="24"/>
          <w:szCs w:val="24"/>
          <w:highlight w:val="none"/>
          <w:lang w:eastAsia="zh-CN"/>
        </w:rPr>
      </w:pPr>
      <w:r>
        <w:rPr>
          <w:rStyle w:val="35"/>
          <w:rFonts w:hint="eastAsia" w:ascii="仿宋" w:hAnsi="仿宋" w:eastAsia="仿宋" w:cs="仿宋"/>
          <w:color w:val="auto"/>
          <w:spacing w:val="-11"/>
          <w:sz w:val="24"/>
          <w:szCs w:val="24"/>
          <w:highlight w:val="none"/>
          <w:lang w:eastAsia="zh-CN"/>
        </w:rPr>
        <w:t>35.2竞争性磋商文件、中标方的响应文件及其澄清文件等，均为签订合同的依据。</w:t>
      </w:r>
    </w:p>
    <w:p w14:paraId="39EEAF77">
      <w:pPr>
        <w:pStyle w:val="47"/>
        <w:shd w:val="clear"/>
        <w:tabs>
          <w:tab w:val="left" w:pos="1113"/>
        </w:tabs>
        <w:snapToGrid w:val="0"/>
        <w:spacing w:before="28" w:line="579" w:lineRule="exact"/>
        <w:ind w:left="0" w:right="114"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35.3</w:t>
      </w:r>
      <w:r>
        <w:rPr>
          <w:rStyle w:val="35"/>
          <w:rFonts w:hint="eastAsia" w:ascii="仿宋" w:hAnsi="仿宋" w:eastAsia="仿宋" w:cs="仿宋"/>
          <w:color w:val="auto"/>
          <w:spacing w:val="-11"/>
          <w:sz w:val="24"/>
          <w:szCs w:val="24"/>
          <w:highlight w:val="none"/>
          <w:lang w:eastAsia="zh-CN"/>
        </w:rPr>
        <w:t>如果中标人不能按本须知第</w:t>
      </w:r>
      <w:r>
        <w:rPr>
          <w:rStyle w:val="35"/>
          <w:rFonts w:hint="eastAsia" w:ascii="仿宋" w:hAnsi="仿宋" w:eastAsia="仿宋" w:cs="仿宋"/>
          <w:color w:val="auto"/>
          <w:sz w:val="24"/>
          <w:szCs w:val="24"/>
          <w:highlight w:val="none"/>
          <w:lang w:eastAsia="zh-CN"/>
        </w:rPr>
        <w:t>35.1</w:t>
      </w:r>
      <w:r>
        <w:rPr>
          <w:rStyle w:val="35"/>
          <w:rFonts w:hint="eastAsia" w:ascii="仿宋" w:hAnsi="仿宋" w:eastAsia="仿宋" w:cs="仿宋"/>
          <w:color w:val="auto"/>
          <w:spacing w:val="-16"/>
          <w:sz w:val="24"/>
          <w:szCs w:val="24"/>
          <w:highlight w:val="none"/>
          <w:lang w:eastAsia="zh-CN"/>
        </w:rPr>
        <w:t>款的规定执行，采购人将有充分的理由废除</w:t>
      </w:r>
      <w:r>
        <w:rPr>
          <w:rStyle w:val="35"/>
          <w:rFonts w:hint="eastAsia" w:ascii="仿宋" w:hAnsi="仿宋" w:eastAsia="仿宋" w:cs="仿宋"/>
          <w:color w:val="auto"/>
          <w:spacing w:val="-12"/>
          <w:sz w:val="24"/>
          <w:szCs w:val="24"/>
          <w:highlight w:val="none"/>
          <w:lang w:eastAsia="zh-CN"/>
        </w:rPr>
        <w:t>其中标资格，并没收其磋商保证金，给采购人造成的损失超过磋商保证金数额的，还应</w:t>
      </w:r>
      <w:r>
        <w:rPr>
          <w:rStyle w:val="35"/>
          <w:rFonts w:hint="eastAsia" w:ascii="仿宋" w:hAnsi="仿宋" w:eastAsia="仿宋" w:cs="仿宋"/>
          <w:color w:val="auto"/>
          <w:spacing w:val="-13"/>
          <w:sz w:val="24"/>
          <w:szCs w:val="24"/>
          <w:highlight w:val="none"/>
          <w:lang w:eastAsia="zh-CN"/>
        </w:rPr>
        <w:t>当对超过部分予以赔偿，同时依法承担相应法律责任；同时，采购人有权将标授予另一</w:t>
      </w:r>
      <w:r>
        <w:rPr>
          <w:rStyle w:val="35"/>
          <w:rFonts w:hint="eastAsia" w:ascii="仿宋" w:hAnsi="仿宋" w:eastAsia="仿宋" w:cs="仿宋"/>
          <w:color w:val="auto"/>
          <w:spacing w:val="-5"/>
          <w:sz w:val="24"/>
          <w:szCs w:val="24"/>
          <w:highlight w:val="none"/>
          <w:lang w:eastAsia="zh-CN"/>
        </w:rPr>
        <w:t>个候选中标人或重新招标。</w:t>
      </w:r>
    </w:p>
    <w:p w14:paraId="22A12DD8">
      <w:pPr>
        <w:pStyle w:val="38"/>
        <w:shd w:val="clear"/>
        <w:snapToGrid w:val="0"/>
        <w:spacing w:before="31" w:line="579" w:lineRule="exact"/>
        <w:ind w:left="0" w:right="232" w:firstLine="468" w:firstLineChars="200"/>
        <w:jc w:val="both"/>
        <w:rPr>
          <w:rStyle w:val="35"/>
          <w:rFonts w:ascii="仿宋" w:hAnsi="仿宋" w:eastAsia="仿宋" w:cs="仿宋"/>
          <w:color w:val="auto"/>
          <w:highlight w:val="none"/>
          <w:lang w:eastAsia="zh-CN"/>
        </w:rPr>
      </w:pPr>
      <w:r>
        <w:rPr>
          <w:rStyle w:val="35"/>
          <w:rFonts w:hint="eastAsia" w:ascii="仿宋" w:hAnsi="仿宋" w:eastAsia="仿宋" w:cs="仿宋"/>
          <w:color w:val="auto"/>
          <w:spacing w:val="-3"/>
          <w:highlight w:val="none"/>
          <w:lang w:eastAsia="zh-CN"/>
        </w:rPr>
        <w:t>35.4</w:t>
      </w:r>
      <w:r>
        <w:rPr>
          <w:rStyle w:val="35"/>
          <w:rFonts w:hint="eastAsia" w:ascii="仿宋" w:hAnsi="仿宋" w:eastAsia="仿宋" w:cs="仿宋"/>
          <w:color w:val="auto"/>
          <w:spacing w:val="-5"/>
          <w:highlight w:val="none"/>
          <w:lang w:eastAsia="zh-CN"/>
        </w:rPr>
        <w:t>不允许中标人将中标项目分包或转交他人承担。特殊情况下，中标人必须与</w:t>
      </w:r>
      <w:r>
        <w:rPr>
          <w:rStyle w:val="35"/>
          <w:rFonts w:hint="eastAsia" w:ascii="仿宋" w:hAnsi="仿宋" w:eastAsia="仿宋" w:cs="仿宋"/>
          <w:color w:val="auto"/>
          <w:spacing w:val="-8"/>
          <w:highlight w:val="none"/>
          <w:lang w:eastAsia="zh-CN"/>
        </w:rPr>
        <w:t>招标方协商后共同决定将合同标的中的部分由第三方承担供货和服务责任，但中标方必</w:t>
      </w:r>
      <w:r>
        <w:rPr>
          <w:rStyle w:val="35"/>
          <w:rFonts w:hint="eastAsia" w:ascii="仿宋" w:hAnsi="仿宋" w:eastAsia="仿宋" w:cs="仿宋"/>
          <w:color w:val="auto"/>
          <w:spacing w:val="-9"/>
          <w:highlight w:val="none"/>
          <w:lang w:eastAsia="zh-CN"/>
        </w:rPr>
        <w:t>须对合同标的的全部内容向招标方负责，并保证第三方提供的供货和服务符合竞争性磋</w:t>
      </w:r>
      <w:r>
        <w:rPr>
          <w:rStyle w:val="35"/>
          <w:rFonts w:hint="eastAsia" w:ascii="仿宋" w:hAnsi="仿宋" w:eastAsia="仿宋" w:cs="仿宋"/>
          <w:color w:val="auto"/>
          <w:spacing w:val="-5"/>
          <w:highlight w:val="none"/>
          <w:lang w:eastAsia="zh-CN"/>
        </w:rPr>
        <w:t>商文件的约定和响应文件的承诺及相关约定。</w:t>
      </w:r>
    </w:p>
    <w:p w14:paraId="24CAFDA5">
      <w:pPr>
        <w:pStyle w:val="46"/>
        <w:keepNext w:val="0"/>
        <w:keepLines w:val="0"/>
        <w:pageBreakBefore w:val="0"/>
        <w:widowControl/>
        <w:shd w:val="clear"/>
        <w:kinsoku/>
        <w:wordWrap/>
        <w:overflowPunct/>
        <w:topLinePunct w:val="0"/>
        <w:autoSpaceDE/>
        <w:autoSpaceDN/>
        <w:bidi w:val="0"/>
        <w:adjustRightInd/>
        <w:snapToGrid/>
        <w:spacing w:before="15" w:line="579" w:lineRule="exact"/>
        <w:ind w:left="0" w:right="34"/>
        <w:textAlignment w:val="baseline"/>
        <w:outlineLvl w:val="9"/>
        <w:rPr>
          <w:rStyle w:val="35"/>
          <w:rFonts w:ascii="仿宋" w:hAnsi="仿宋" w:eastAsia="仿宋" w:cs="仿宋"/>
          <w:color w:val="auto"/>
          <w:sz w:val="28"/>
          <w:szCs w:val="28"/>
          <w:highlight w:val="none"/>
          <w:lang w:eastAsia="zh-CN"/>
        </w:rPr>
      </w:pPr>
      <w:bookmarkStart w:id="55" w:name="_Toc20686"/>
    </w:p>
    <w:p w14:paraId="6956B4B9">
      <w:pPr>
        <w:pStyle w:val="46"/>
        <w:shd w:val="clear"/>
        <w:spacing w:before="15" w:line="579" w:lineRule="exact"/>
        <w:ind w:left="0" w:right="34"/>
        <w:outlineLvl w:val="1"/>
        <w:rPr>
          <w:rStyle w:val="35"/>
          <w:rFonts w:ascii="仿宋" w:hAnsi="仿宋" w:eastAsia="仿宋" w:cs="仿宋"/>
          <w:color w:val="auto"/>
          <w:sz w:val="28"/>
          <w:szCs w:val="28"/>
          <w:highlight w:val="none"/>
          <w:lang w:eastAsia="zh-CN"/>
        </w:rPr>
      </w:pPr>
      <w:bookmarkStart w:id="56" w:name="_Toc4813"/>
      <w:bookmarkStart w:id="57" w:name="_Toc16477"/>
      <w:bookmarkStart w:id="58" w:name="_Toc15794"/>
      <w:bookmarkStart w:id="59" w:name="_Toc11289"/>
      <w:bookmarkStart w:id="60" w:name="_Toc3106"/>
      <w:r>
        <w:rPr>
          <w:rStyle w:val="35"/>
          <w:rFonts w:hint="eastAsia" w:ascii="仿宋" w:hAnsi="仿宋" w:eastAsia="仿宋" w:cs="仿宋"/>
          <w:color w:val="auto"/>
          <w:sz w:val="28"/>
          <w:szCs w:val="28"/>
          <w:highlight w:val="none"/>
          <w:lang w:eastAsia="zh-CN"/>
        </w:rPr>
        <w:t>第八章 其他</w:t>
      </w:r>
      <w:bookmarkEnd w:id="55"/>
      <w:bookmarkEnd w:id="56"/>
      <w:bookmarkEnd w:id="57"/>
      <w:bookmarkEnd w:id="58"/>
      <w:bookmarkEnd w:id="59"/>
      <w:bookmarkEnd w:id="60"/>
    </w:p>
    <w:p w14:paraId="5E33F159">
      <w:pPr>
        <w:pStyle w:val="38"/>
        <w:shd w:val="clear"/>
        <w:snapToGrid w:val="0"/>
        <w:spacing w:before="31" w:line="579" w:lineRule="exact"/>
        <w:ind w:left="0" w:right="232" w:firstLine="458" w:firstLineChars="200"/>
        <w:jc w:val="both"/>
        <w:rPr>
          <w:rStyle w:val="35"/>
          <w:rFonts w:ascii="仿宋" w:hAnsi="仿宋" w:eastAsia="仿宋" w:cs="仿宋"/>
          <w:b/>
          <w:color w:val="auto"/>
          <w:w w:val="95"/>
          <w:highlight w:val="none"/>
          <w:lang w:eastAsia="zh-CN"/>
        </w:rPr>
      </w:pPr>
      <w:r>
        <w:rPr>
          <w:rStyle w:val="35"/>
          <w:rFonts w:hint="eastAsia" w:ascii="仿宋" w:hAnsi="仿宋" w:eastAsia="仿宋" w:cs="仿宋"/>
          <w:b/>
          <w:color w:val="auto"/>
          <w:w w:val="95"/>
          <w:highlight w:val="none"/>
          <w:lang w:eastAsia="zh-CN"/>
        </w:rPr>
        <w:t>36.需要补充的其他内容</w:t>
      </w:r>
    </w:p>
    <w:p w14:paraId="622EC861">
      <w:pPr>
        <w:pStyle w:val="38"/>
        <w:shd w:val="clear"/>
        <w:snapToGrid w:val="0"/>
        <w:spacing w:before="31" w:line="579" w:lineRule="exact"/>
        <w:ind w:left="0" w:right="232" w:firstLine="480" w:firstLineChars="200"/>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36.1需要补充的其他内容详见供应商须知前附表。</w:t>
      </w:r>
    </w:p>
    <w:p w14:paraId="3A1D4FFA">
      <w:pPr>
        <w:pStyle w:val="38"/>
        <w:shd w:val="clear"/>
        <w:snapToGrid w:val="0"/>
        <w:spacing w:before="31" w:line="579" w:lineRule="exact"/>
        <w:ind w:left="0" w:right="232" w:firstLine="480" w:firstLineChars="200"/>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36.2本竞争性磋商文件解释权归新疆君凯杰工程项目管理有限公司</w:t>
      </w:r>
    </w:p>
    <w:p w14:paraId="642FCD40">
      <w:pPr>
        <w:rPr>
          <w:rStyle w:val="35"/>
          <w:rFonts w:hint="eastAsia" w:ascii="仿宋" w:hAnsi="仿宋" w:eastAsia="仿宋" w:cs="仿宋"/>
          <w:b/>
          <w:bCs/>
          <w:color w:val="auto"/>
          <w:sz w:val="28"/>
          <w:szCs w:val="28"/>
          <w:highlight w:val="none"/>
          <w:lang w:eastAsia="zh-CN"/>
        </w:rPr>
      </w:pPr>
      <w:bookmarkStart w:id="61" w:name="_Toc13072"/>
      <w:bookmarkStart w:id="62" w:name="_Toc16294"/>
      <w:bookmarkStart w:id="63" w:name="_Toc29713"/>
      <w:bookmarkStart w:id="64" w:name="_Toc18458"/>
      <w:bookmarkStart w:id="65" w:name="_Toc13216"/>
      <w:bookmarkStart w:id="66" w:name="_Toc18235"/>
      <w:r>
        <w:rPr>
          <w:rStyle w:val="35"/>
          <w:rFonts w:hint="eastAsia" w:ascii="仿宋" w:hAnsi="仿宋" w:eastAsia="仿宋" w:cs="仿宋"/>
          <w:b/>
          <w:bCs/>
          <w:color w:val="auto"/>
          <w:sz w:val="28"/>
          <w:szCs w:val="28"/>
          <w:highlight w:val="none"/>
          <w:lang w:eastAsia="zh-CN"/>
        </w:rPr>
        <w:br w:type="page"/>
      </w:r>
    </w:p>
    <w:p w14:paraId="5C61BAFC">
      <w:pPr>
        <w:shd w:val="clear"/>
        <w:spacing w:before="20" w:line="579" w:lineRule="exact"/>
        <w:ind w:left="590" w:right="556"/>
        <w:jc w:val="center"/>
        <w:outlineLvl w:val="1"/>
        <w:rPr>
          <w:rStyle w:val="35"/>
          <w:rFonts w:ascii="仿宋" w:hAnsi="仿宋" w:eastAsia="仿宋" w:cs="仿宋"/>
          <w:b/>
          <w:color w:val="auto"/>
          <w:sz w:val="28"/>
          <w:szCs w:val="28"/>
          <w:highlight w:val="none"/>
          <w:lang w:eastAsia="zh-CN"/>
        </w:rPr>
      </w:pPr>
      <w:r>
        <w:rPr>
          <w:rStyle w:val="35"/>
          <w:rFonts w:hint="eastAsia" w:ascii="仿宋" w:hAnsi="仿宋" w:eastAsia="仿宋" w:cs="仿宋"/>
          <w:b/>
          <w:bCs/>
          <w:color w:val="auto"/>
          <w:sz w:val="28"/>
          <w:szCs w:val="28"/>
          <w:highlight w:val="none"/>
          <w:lang w:eastAsia="zh-CN"/>
        </w:rPr>
        <w:t>第九章 质疑的提出及处理</w:t>
      </w:r>
      <w:bookmarkEnd w:id="61"/>
      <w:bookmarkEnd w:id="62"/>
      <w:bookmarkEnd w:id="63"/>
      <w:bookmarkEnd w:id="64"/>
      <w:bookmarkEnd w:id="65"/>
      <w:bookmarkEnd w:id="66"/>
    </w:p>
    <w:p w14:paraId="4D56443E">
      <w:pPr>
        <w:pStyle w:val="38"/>
        <w:shd w:val="clear"/>
        <w:spacing w:before="116" w:line="579" w:lineRule="exact"/>
        <w:ind w:right="255" w:firstLine="47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政府采购供应商（以下简称供应商）提出质疑和投诉应当坚持依法依规、诚实信用原则。</w:t>
      </w:r>
    </w:p>
    <w:p w14:paraId="46CB3146">
      <w:pPr>
        <w:pStyle w:val="45"/>
        <w:shd w:val="clear"/>
        <w:spacing w:before="29"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37.质疑的提出</w:t>
      </w:r>
    </w:p>
    <w:p w14:paraId="2CF585CA">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37.1供应商认为采购文件、采购过程、中标或者成交结果使自己的权益受到损害的，可以在知道或者应知其权益受到损害之日起七个工作日内，以书面形式向采购人、采购代理机构提出质疑。</w:t>
      </w:r>
    </w:p>
    <w:p w14:paraId="5711E588">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采购文件可以要求供应商在法定质疑期内一次性提出针对同一采购程序环节的质疑。</w:t>
      </w:r>
    </w:p>
    <w:p w14:paraId="64C6D896">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78E463AB">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37.2提出质疑的供应商（以下简称质疑供应商）应当是参与所质疑项目采购活动的供应商。</w:t>
      </w:r>
    </w:p>
    <w:p w14:paraId="7CA7F7A4">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潜在供应商已依法获取其可质疑的采购文件的，可以对该文件提出质疑。对采购文件提出质疑的，应当在获取采购文件或者采购文件公告期限届满之日起7个工作日内提出。</w:t>
      </w:r>
    </w:p>
    <w:p w14:paraId="584C4FB0">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37.3供应商提出质疑应当提交质疑函和必要的证明材料。质疑函应当包括下列内容：</w:t>
      </w:r>
    </w:p>
    <w:p w14:paraId="0C4FDECF">
      <w:pPr>
        <w:pStyle w:val="38"/>
        <w:shd w:val="clear"/>
        <w:spacing w:before="26"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（1）供应商的姓名或者名称、地址、邮编、联系人及联系电话；</w:t>
      </w:r>
    </w:p>
    <w:p w14:paraId="2BB50893">
      <w:pPr>
        <w:pStyle w:val="38"/>
        <w:shd w:val="clear"/>
        <w:spacing w:before="125"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（2）质疑项目的名称、编号；</w:t>
      </w:r>
    </w:p>
    <w:p w14:paraId="6BDC82D2">
      <w:pPr>
        <w:pStyle w:val="38"/>
        <w:shd w:val="clear"/>
        <w:spacing w:before="127"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（3）具体、明确的质疑事项和与质疑事项相关的请求；</w:t>
      </w:r>
    </w:p>
    <w:p w14:paraId="0483754D">
      <w:pPr>
        <w:pStyle w:val="38"/>
        <w:shd w:val="clear"/>
        <w:spacing w:before="14"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（4）事实依据；</w:t>
      </w:r>
    </w:p>
    <w:p w14:paraId="4AA3742D">
      <w:pPr>
        <w:pStyle w:val="38"/>
        <w:shd w:val="clear"/>
        <w:spacing w:before="124"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（5）必要的法律依据；</w:t>
      </w:r>
    </w:p>
    <w:p w14:paraId="41D23D38">
      <w:pPr>
        <w:pStyle w:val="38"/>
        <w:shd w:val="clear"/>
        <w:spacing w:before="127"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（6）提出质疑的日期。</w:t>
      </w:r>
    </w:p>
    <w:p w14:paraId="5AFB694B">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7FF516">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代理人提出质疑和投诉，应当提交供应商签署的授权委托书。</w:t>
      </w:r>
    </w:p>
    <w:p w14:paraId="158C884B">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37.5以联合体形式参加政府采购活动的，其投诉应当由组成联合体的所有供应商共同提出。</w:t>
      </w:r>
    </w:p>
    <w:p w14:paraId="07DE6207">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41EBBAC">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37.7证明材料要具备客观性、关联性、合法性，无法查实的（如宣传册、媒体报道、猜测、推理等）不能作为证明材料。</w:t>
      </w:r>
    </w:p>
    <w:p w14:paraId="02474F65">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37.8对不能提供相关证明材料的、涉及商业秘密的、非书面形式送达的、匿名的质疑将不予受理。</w:t>
      </w:r>
    </w:p>
    <w:p w14:paraId="5E3673AC">
      <w:pPr>
        <w:pStyle w:val="45"/>
        <w:shd w:val="clear"/>
        <w:snapToGrid w:val="0"/>
        <w:spacing w:before="26"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38.受理和处理</w:t>
      </w:r>
    </w:p>
    <w:p w14:paraId="6EC2D9BA">
      <w:pPr>
        <w:shd w:val="clear"/>
        <w:snapToGrid w:val="0"/>
        <w:spacing w:line="579" w:lineRule="exact"/>
        <w:ind w:firstLine="448" w:firstLineChars="200"/>
        <w:rPr>
          <w:rStyle w:val="35"/>
          <w:rFonts w:ascii="仿宋" w:hAnsi="仿宋" w:eastAsia="仿宋" w:cs="仿宋"/>
          <w:color w:val="auto"/>
          <w:spacing w:val="-8"/>
          <w:sz w:val="24"/>
          <w:szCs w:val="24"/>
          <w:highlight w:val="none"/>
          <w:lang w:eastAsia="zh-CN"/>
        </w:rPr>
      </w:pPr>
      <w:r>
        <w:rPr>
          <w:rStyle w:val="35"/>
          <w:rFonts w:hint="eastAsia" w:ascii="仿宋" w:hAnsi="仿宋" w:eastAsia="仿宋" w:cs="仿宋"/>
          <w:color w:val="auto"/>
          <w:spacing w:val="-8"/>
          <w:sz w:val="24"/>
          <w:szCs w:val="24"/>
          <w:highlight w:val="none"/>
          <w:lang w:eastAsia="zh-CN"/>
        </w:rPr>
        <w:t>38.1《质疑函》必须由质疑方的法定代表人或参与本次投标的被授权人以书面的形式送达招标方或采购单位。</w:t>
      </w:r>
    </w:p>
    <w:p w14:paraId="1B1A6FEC">
      <w:pPr>
        <w:shd w:val="clear"/>
        <w:snapToGrid w:val="0"/>
        <w:spacing w:line="579" w:lineRule="exact"/>
        <w:ind w:firstLine="448" w:firstLineChars="200"/>
        <w:rPr>
          <w:rStyle w:val="35"/>
          <w:rFonts w:ascii="仿宋" w:hAnsi="仿宋" w:eastAsia="仿宋" w:cs="仿宋"/>
          <w:color w:val="auto"/>
          <w:spacing w:val="-8"/>
          <w:sz w:val="24"/>
          <w:szCs w:val="24"/>
          <w:highlight w:val="none"/>
          <w:lang w:eastAsia="zh-CN"/>
        </w:rPr>
      </w:pPr>
      <w:r>
        <w:rPr>
          <w:rStyle w:val="35"/>
          <w:rFonts w:hint="eastAsia" w:ascii="仿宋" w:hAnsi="仿宋" w:eastAsia="仿宋" w:cs="仿宋"/>
          <w:color w:val="auto"/>
          <w:spacing w:val="-8"/>
          <w:sz w:val="24"/>
          <w:szCs w:val="24"/>
          <w:highlight w:val="none"/>
          <w:lang w:eastAsia="zh-CN"/>
        </w:rPr>
        <w:t>38.2采购人、采购代理机构不得拒收质疑供应商在法定质疑期内发出的质疑函，应当在收到质疑函后7个工作日内作出答复，并以书面形式通知质疑供应商和其他有关供应商。</w:t>
      </w:r>
    </w:p>
    <w:p w14:paraId="105C024B">
      <w:pPr>
        <w:pStyle w:val="38"/>
        <w:shd w:val="clear"/>
        <w:snapToGrid w:val="0"/>
        <w:spacing w:before="31" w:line="579" w:lineRule="exact"/>
        <w:ind w:left="0" w:right="232" w:firstLine="448" w:firstLineChars="200"/>
        <w:jc w:val="both"/>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38.3质疑答复的内容不得涉及商业秘密。</w:t>
      </w:r>
    </w:p>
    <w:p w14:paraId="6FEE8644">
      <w:pPr>
        <w:pStyle w:val="38"/>
        <w:shd w:val="clear"/>
        <w:snapToGrid w:val="0"/>
        <w:spacing w:before="31" w:line="579" w:lineRule="exac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38.4对于不符合上述37项所述的相关条款要求的质疑，招标方将不予受理。</w:t>
      </w:r>
    </w:p>
    <w:p w14:paraId="46C9371A">
      <w:pPr>
        <w:pStyle w:val="38"/>
        <w:shd w:val="clear"/>
        <w:snapToGrid w:val="0"/>
        <w:spacing w:before="31" w:line="579" w:lineRule="exac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38.5在处理过程中，发现需要质疑人进一步补充相关佐证材料的，要求质疑人在规定时间内提供。质疑人不能按照要求提供相关佐证材料的，视同放弃质疑。</w:t>
      </w:r>
    </w:p>
    <w:p w14:paraId="1FA19B9C">
      <w:pPr>
        <w:pStyle w:val="38"/>
        <w:shd w:val="clear"/>
        <w:snapToGrid w:val="0"/>
        <w:spacing w:before="31" w:line="579" w:lineRule="exac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38.6招标方或采购单位负责对质疑的回复工作，将质疑人的质疑材料提供给相关专家或评审小组，并将处理意见回复质疑人。</w:t>
      </w:r>
    </w:p>
    <w:p w14:paraId="1897D10D">
      <w:pPr>
        <w:pStyle w:val="38"/>
        <w:shd w:val="clear"/>
        <w:snapToGrid w:val="0"/>
        <w:spacing w:before="31" w:line="579" w:lineRule="exac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38.7采购人、采购代理机构认为供应商质疑不成立，或者成立但未对中标、成交结果构成影响的，继续开展采购活动；认为供应商质疑成立且影响或者可能影响中标、成交结果的，按照下列情况处理：</w:t>
      </w:r>
    </w:p>
    <w:p w14:paraId="48A1A24C">
      <w:pPr>
        <w:pStyle w:val="38"/>
        <w:shd w:val="clear"/>
        <w:snapToGrid w:val="0"/>
        <w:spacing w:before="31" w:line="579" w:lineRule="exact"/>
        <w:ind w:right="135" w:firstLine="480"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highlight w:val="none"/>
          <w:lang w:eastAsia="zh-CN"/>
        </w:rPr>
        <w:t>（1）对采购文件提出的质疑，依法通过澄清或者修改可以继续开展采购活动的，澄清或者修改采购文件后继续开展采购活动；否则应当修改采购文件后重新开展采购活动。</w:t>
      </w:r>
    </w:p>
    <w:p w14:paraId="15E3E05D">
      <w:pPr>
        <w:pStyle w:val="38"/>
        <w:shd w:val="clear"/>
        <w:snapToGrid w:val="0"/>
        <w:spacing w:before="31" w:line="579" w:lineRule="exact"/>
        <w:ind w:left="0" w:right="134"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6EF77A05">
      <w:pPr>
        <w:pStyle w:val="38"/>
        <w:shd w:val="clear"/>
        <w:snapToGrid w:val="0"/>
        <w:spacing w:before="31" w:line="579" w:lineRule="exact"/>
        <w:ind w:left="0" w:right="255"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质疑答复导致中标、成交结果改变的，采购人或者采购代理机构应当将有关情况书面报告本级财政部门。</w:t>
      </w:r>
    </w:p>
    <w:p w14:paraId="7C069CDB">
      <w:pPr>
        <w:pStyle w:val="45"/>
        <w:shd w:val="clear"/>
        <w:snapToGrid w:val="0"/>
        <w:spacing w:before="29"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39.质疑无效的处理</w:t>
      </w:r>
    </w:p>
    <w:p w14:paraId="77F9ECFC">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39.1质疑人提供的相关佐证材料不能证明质疑成立的，招标方可要求质疑人补充相关佐证材料，如补充材料仍不能证明质疑成立的，将不予受理。</w:t>
      </w:r>
    </w:p>
    <w:p w14:paraId="6B9311DB">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39.2对于质疑人在质疑期间不配合进行质疑调查处理的，视为自动放弃质疑。</w:t>
      </w:r>
    </w:p>
    <w:p w14:paraId="3BD96BD7">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39.3质疑人提出的质疑，经评标专家审定后驳回的，列为无效质疑。</w:t>
      </w:r>
    </w:p>
    <w:p w14:paraId="4BF72B44">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39.4对于质疑中使用虚假材料或恶意方式质疑的，按无效质疑处理，并列入不良记录供应商名单。</w:t>
      </w:r>
    </w:p>
    <w:p w14:paraId="74F58DC3">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39.5质疑人进行质疑后，招标方在法定时间内对质疑进行回复，质疑人认为回复不满意的，可向相关的采购管理部门进行投诉。</w:t>
      </w:r>
    </w:p>
    <w:p w14:paraId="03D0E3AB">
      <w:pPr>
        <w:pStyle w:val="45"/>
        <w:shd w:val="clear"/>
        <w:snapToGrid w:val="0"/>
        <w:spacing w:before="28" w:line="579" w:lineRule="exact"/>
        <w:ind w:firstLine="458"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color w:val="auto"/>
          <w:w w:val="95"/>
          <w:highlight w:val="none"/>
          <w:lang w:eastAsia="zh-CN"/>
        </w:rPr>
        <w:t>40.其他</w:t>
      </w:r>
    </w:p>
    <w:p w14:paraId="7FDC9FD4">
      <w:pPr>
        <w:pStyle w:val="45"/>
        <w:shd w:val="clear"/>
        <w:spacing w:before="14" w:line="579" w:lineRule="exact"/>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40.1质疑函和投诉书应当使用中文。质疑函和投诉书的范本，由财政部制定。</w:t>
      </w:r>
    </w:p>
    <w:p w14:paraId="0D99BF87">
      <w:pPr>
        <w:pStyle w:val="45"/>
        <w:shd w:val="clear"/>
        <w:spacing w:before="14" w:line="579" w:lineRule="exact"/>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40.2对在质疑答复和投诉处理过程中知悉的国家秘密、商业秘密、个人隐私和依法不予公开的信息，财政部门、采购人、采购代理机构等相关知情人应当保密。</w:t>
      </w:r>
    </w:p>
    <w:p w14:paraId="0E6F6A2D">
      <w:pPr>
        <w:pStyle w:val="45"/>
        <w:shd w:val="clear"/>
        <w:spacing w:before="14" w:line="579" w:lineRule="exact"/>
        <w:ind w:left="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质疑函制作说明:</w:t>
      </w:r>
    </w:p>
    <w:p w14:paraId="0D37AB81">
      <w:pPr>
        <w:pStyle w:val="38"/>
        <w:shd w:val="clear"/>
        <w:spacing w:before="124"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1.供应商提出质疑时，应提交质疑函和必要的证明材料。</w:t>
      </w:r>
    </w:p>
    <w:p w14:paraId="1DA93F0B">
      <w:pPr>
        <w:pStyle w:val="38"/>
        <w:shd w:val="clear"/>
        <w:spacing w:before="124"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F780C8">
      <w:pPr>
        <w:pStyle w:val="38"/>
        <w:shd w:val="clear"/>
        <w:spacing w:before="31"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3.质疑供应商若对项目的某一分包进行质疑，质疑函中应列明具体分包号。</w:t>
      </w:r>
    </w:p>
    <w:p w14:paraId="6CEC0464">
      <w:pPr>
        <w:pStyle w:val="38"/>
        <w:shd w:val="clear"/>
        <w:spacing w:before="124"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4.质疑函的质疑事项应具体、明确，并有必要的事实依据和法律依据。</w:t>
      </w:r>
    </w:p>
    <w:p w14:paraId="306846BA">
      <w:pPr>
        <w:pStyle w:val="38"/>
        <w:shd w:val="clear"/>
        <w:spacing w:before="124"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5.质疑函的质疑请求应与质疑事项相关。</w:t>
      </w:r>
    </w:p>
    <w:p w14:paraId="3C3FEA12">
      <w:pPr>
        <w:pStyle w:val="38"/>
        <w:shd w:val="clear"/>
        <w:snapToGrid w:val="0"/>
        <w:spacing w:before="31" w:line="579" w:lineRule="exact"/>
        <w:ind w:left="0" w:right="232" w:firstLine="480" w:firstLineChars="200"/>
        <w:jc w:val="both"/>
        <w:rPr>
          <w:rStyle w:val="35"/>
          <w:rFonts w:ascii="仿宋" w:hAnsi="仿宋" w:eastAsia="仿宋" w:cs="仿宋"/>
          <w:color w:val="auto"/>
          <w:highlight w:val="none"/>
          <w:lang w:eastAsia="zh-CN"/>
        </w:rPr>
        <w:sectPr>
          <w:pgSz w:w="11910" w:h="16840"/>
          <w:pgMar w:top="1480" w:right="1180" w:bottom="1180" w:left="1480" w:header="0" w:footer="912" w:gutter="0"/>
          <w:pgNumType w:fmt="decimal"/>
          <w:cols w:space="720" w:num="1"/>
        </w:sectPr>
      </w:pPr>
      <w:r>
        <w:rPr>
          <w:rStyle w:val="35"/>
          <w:rFonts w:hint="eastAsia" w:ascii="仿宋" w:hAnsi="仿宋" w:eastAsia="仿宋" w:cs="仿宋"/>
          <w:color w:val="auto"/>
          <w:highlight w:val="none"/>
          <w:lang w:eastAsia="zh-CN"/>
        </w:rPr>
        <w:t>6.质疑供应商为自然人的，质疑函应由本人签字；质疑供应商为法人或者其他组织的，质疑函应由法定代表人、主要负责人，或者其授权代表签字或者盖章，并加盖公章。</w:t>
      </w:r>
    </w:p>
    <w:p w14:paraId="65C5151A">
      <w:pPr>
        <w:shd w:val="clear"/>
        <w:spacing w:line="579" w:lineRule="exact"/>
        <w:ind w:left="702" w:right="693"/>
        <w:jc w:val="center"/>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w w:val="95"/>
          <w:sz w:val="24"/>
          <w:szCs w:val="24"/>
          <w:highlight w:val="none"/>
          <w:lang w:eastAsia="zh-CN"/>
        </w:rPr>
        <w:t>质疑函范本</w:t>
      </w:r>
    </w:p>
    <w:p w14:paraId="5BE7E936">
      <w:pPr>
        <w:shd w:val="clear"/>
        <w:spacing w:before="62" w:line="579" w:lineRule="exact"/>
        <w:ind w:left="109" w:right="6225"/>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一、质疑供应商基本信息</w:t>
      </w:r>
    </w:p>
    <w:p w14:paraId="296EA401">
      <w:pPr>
        <w:shd w:val="clear"/>
        <w:spacing w:before="62" w:line="579" w:lineRule="exact"/>
        <w:ind w:left="109" w:right="622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质疑供应商：</w:t>
      </w:r>
    </w:p>
    <w:p w14:paraId="36CB791C">
      <w:pPr>
        <w:pStyle w:val="38"/>
        <w:shd w:val="clear"/>
        <w:spacing w:before="9" w:line="579" w:lineRule="exact"/>
        <w:ind w:right="5874"/>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地址：邮编：</w:t>
      </w:r>
    </w:p>
    <w:p w14:paraId="25488914">
      <w:pPr>
        <w:pStyle w:val="38"/>
        <w:shd w:val="clear"/>
        <w:spacing w:before="9" w:line="579" w:lineRule="exact"/>
        <w:ind w:right="5874"/>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联系人：联系电话：授权代表：</w:t>
      </w:r>
    </w:p>
    <w:p w14:paraId="233FDB71">
      <w:pPr>
        <w:pStyle w:val="38"/>
        <w:shd w:val="clear"/>
        <w:spacing w:before="9" w:line="579" w:lineRule="exac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联系电话：</w:t>
      </w:r>
    </w:p>
    <w:p w14:paraId="150C09A2">
      <w:pPr>
        <w:shd w:val="clear"/>
        <w:spacing w:before="45" w:line="579" w:lineRule="exact"/>
        <w:ind w:left="109" w:right="5874"/>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地址：邮编：</w:t>
      </w:r>
    </w:p>
    <w:p w14:paraId="7B8CC040">
      <w:pPr>
        <w:shd w:val="clear"/>
        <w:spacing w:before="45" w:line="579" w:lineRule="exact"/>
        <w:ind w:left="109" w:right="5874"/>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w w:val="95"/>
          <w:sz w:val="24"/>
          <w:szCs w:val="24"/>
          <w:highlight w:val="none"/>
          <w:lang w:eastAsia="zh-CN"/>
        </w:rPr>
        <w:t>二、质疑项目基本情况</w:t>
      </w:r>
    </w:p>
    <w:p w14:paraId="346201DE">
      <w:pPr>
        <w:pStyle w:val="38"/>
        <w:shd w:val="clear"/>
        <w:spacing w:before="9" w:line="579" w:lineRule="exac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质疑项目的名称：</w:t>
      </w:r>
    </w:p>
    <w:p w14:paraId="0EFADD6E">
      <w:pPr>
        <w:pStyle w:val="38"/>
        <w:shd w:val="clear"/>
        <w:spacing w:before="45" w:line="579" w:lineRule="exact"/>
        <w:ind w:right="539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质疑项目的编号：包号：</w:t>
      </w:r>
    </w:p>
    <w:p w14:paraId="49069076">
      <w:pPr>
        <w:pStyle w:val="38"/>
        <w:shd w:val="clear"/>
        <w:spacing w:before="45" w:line="579" w:lineRule="exact"/>
        <w:ind w:right="539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采购人名称：</w:t>
      </w:r>
    </w:p>
    <w:p w14:paraId="2672886A">
      <w:pPr>
        <w:shd w:val="clear"/>
        <w:spacing w:before="9" w:line="579" w:lineRule="exact"/>
        <w:ind w:left="109" w:right="646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采购文件获取日期：</w:t>
      </w:r>
    </w:p>
    <w:p w14:paraId="1B879BD5">
      <w:pPr>
        <w:shd w:val="clear"/>
        <w:spacing w:before="9" w:line="579" w:lineRule="exact"/>
        <w:ind w:left="109" w:right="6465"/>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三、质疑事项具体内容</w:t>
      </w:r>
    </w:p>
    <w:p w14:paraId="1B0B7CC9">
      <w:pPr>
        <w:shd w:val="clear"/>
        <w:spacing w:before="9" w:line="579" w:lineRule="exact"/>
        <w:ind w:left="109" w:right="646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13"/>
          <w:sz w:val="24"/>
          <w:szCs w:val="24"/>
          <w:highlight w:val="none"/>
          <w:lang w:eastAsia="zh-CN"/>
        </w:rPr>
        <w:t>质疑事项</w:t>
      </w:r>
      <w:r>
        <w:rPr>
          <w:rStyle w:val="35"/>
          <w:rFonts w:hint="eastAsia" w:ascii="仿宋" w:hAnsi="仿宋" w:eastAsia="仿宋" w:cs="仿宋"/>
          <w:color w:val="auto"/>
          <w:sz w:val="24"/>
          <w:szCs w:val="24"/>
          <w:highlight w:val="none"/>
          <w:lang w:eastAsia="zh-CN"/>
        </w:rPr>
        <w:t>1：</w:t>
      </w:r>
    </w:p>
    <w:p w14:paraId="05ECE86D">
      <w:pPr>
        <w:pStyle w:val="38"/>
        <w:shd w:val="clear"/>
        <w:spacing w:before="9" w:line="579" w:lineRule="exact"/>
        <w:ind w:right="7675"/>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事实依据：法律依据：质疑事项2</w:t>
      </w:r>
    </w:p>
    <w:p w14:paraId="0A7B4718">
      <w:pPr>
        <w:pStyle w:val="38"/>
        <w:shd w:val="clear"/>
        <w:spacing w:before="9" w:line="579" w:lineRule="exac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w:t>
      </w:r>
    </w:p>
    <w:p w14:paraId="7E5E0667">
      <w:pPr>
        <w:shd w:val="clear"/>
        <w:spacing w:before="45" w:line="579" w:lineRule="exact"/>
        <w:ind w:left="109" w:right="55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四、与质疑事项相关的质疑请求</w:t>
      </w:r>
    </w:p>
    <w:p w14:paraId="127A6674">
      <w:pPr>
        <w:shd w:val="clear"/>
        <w:spacing w:before="45" w:line="579" w:lineRule="exact"/>
        <w:ind w:left="109" w:right="55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请求：</w:t>
      </w:r>
    </w:p>
    <w:p w14:paraId="28CC0312">
      <w:pPr>
        <w:pStyle w:val="38"/>
        <w:shd w:val="clear"/>
        <w:spacing w:before="9" w:line="579" w:lineRule="exact"/>
        <w:ind w:right="635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签字（盖章）：公章：</w:t>
      </w:r>
    </w:p>
    <w:p w14:paraId="183E769A">
      <w:pPr>
        <w:pStyle w:val="38"/>
        <w:shd w:val="clear"/>
        <w:spacing w:before="9" w:line="579" w:lineRule="exact"/>
        <w:ind w:right="635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日期：</w:t>
      </w:r>
    </w:p>
    <w:p w14:paraId="28FBDD63">
      <w:pPr>
        <w:shd w:val="clear"/>
        <w:spacing w:line="579" w:lineRule="exact"/>
        <w:rPr>
          <w:rStyle w:val="35"/>
          <w:rFonts w:ascii="仿宋" w:hAnsi="仿宋" w:eastAsia="仿宋" w:cs="仿宋"/>
          <w:color w:val="auto"/>
          <w:sz w:val="24"/>
          <w:szCs w:val="24"/>
          <w:highlight w:val="none"/>
          <w:lang w:eastAsia="zh-CN"/>
        </w:rPr>
        <w:sectPr>
          <w:pgSz w:w="11910" w:h="16840"/>
          <w:pgMar w:top="1480" w:right="1320" w:bottom="1180" w:left="1480" w:header="0" w:footer="912" w:gutter="0"/>
          <w:pgNumType w:fmt="decimal"/>
          <w:cols w:space="720" w:num="1"/>
        </w:sectPr>
      </w:pPr>
    </w:p>
    <w:p w14:paraId="5A4A5975">
      <w:pPr>
        <w:shd w:val="clear"/>
        <w:tabs>
          <w:tab w:val="left" w:pos="1990"/>
        </w:tabs>
        <w:spacing w:line="579" w:lineRule="exact"/>
        <w:ind w:right="147"/>
        <w:jc w:val="center"/>
        <w:outlineLvl w:val="0"/>
        <w:rPr>
          <w:rFonts w:hint="eastAsia" w:ascii="仿宋_GB2312" w:hAnsi="仿宋_GB2312" w:eastAsia="仿宋_GB2312" w:cs="仿宋_GB2312"/>
          <w:color w:val="auto"/>
          <w:sz w:val="32"/>
          <w:szCs w:val="32"/>
          <w:highlight w:val="none"/>
        </w:rPr>
      </w:pPr>
      <w:bookmarkStart w:id="67" w:name="_Toc28108"/>
      <w:bookmarkStart w:id="68" w:name="_Toc24190"/>
      <w:bookmarkStart w:id="69" w:name="_Toc14685"/>
      <w:bookmarkStart w:id="70" w:name="_Toc1688"/>
      <w:bookmarkStart w:id="71" w:name="_Toc25644"/>
      <w:bookmarkStart w:id="72" w:name="_Toc27166"/>
      <w:r>
        <w:rPr>
          <w:rStyle w:val="35"/>
          <w:rFonts w:hint="eastAsia" w:ascii="仿宋" w:hAnsi="仿宋" w:eastAsia="仿宋" w:cs="仿宋"/>
          <w:b/>
          <w:bCs/>
          <w:color w:val="auto"/>
          <w:sz w:val="28"/>
          <w:szCs w:val="28"/>
          <w:highlight w:val="none"/>
          <w:lang w:eastAsia="zh-CN"/>
        </w:rPr>
        <w:t>第三部分采购</w:t>
      </w:r>
      <w:r>
        <w:rPr>
          <w:rStyle w:val="35"/>
          <w:rFonts w:hint="eastAsia" w:ascii="仿宋" w:hAnsi="仿宋" w:eastAsia="仿宋" w:cs="仿宋"/>
          <w:b/>
          <w:bCs/>
          <w:color w:val="auto"/>
          <w:sz w:val="28"/>
          <w:szCs w:val="28"/>
          <w:highlight w:val="none"/>
          <w:lang w:val="en-US" w:eastAsia="zh-CN"/>
        </w:rPr>
        <w:t>需求</w:t>
      </w:r>
      <w:r>
        <w:rPr>
          <w:rStyle w:val="35"/>
          <w:rFonts w:hint="eastAsia" w:ascii="仿宋" w:hAnsi="仿宋" w:eastAsia="仿宋" w:cs="仿宋"/>
          <w:b/>
          <w:bCs/>
          <w:color w:val="auto"/>
          <w:sz w:val="28"/>
          <w:szCs w:val="28"/>
          <w:highlight w:val="none"/>
          <w:lang w:eastAsia="zh-CN"/>
        </w:rPr>
        <w:t>及要求</w:t>
      </w:r>
      <w:bookmarkEnd w:id="67"/>
      <w:bookmarkEnd w:id="68"/>
      <w:bookmarkEnd w:id="69"/>
      <w:bookmarkEnd w:id="70"/>
      <w:bookmarkEnd w:id="71"/>
      <w:bookmarkEnd w:id="72"/>
      <w:bookmarkStart w:id="73" w:name="_Toc15456"/>
      <w:bookmarkStart w:id="74" w:name="_Toc22849"/>
      <w:bookmarkStart w:id="75" w:name="_Toc28991"/>
      <w:bookmarkStart w:id="76" w:name="_Toc15289"/>
      <w:bookmarkStart w:id="77" w:name="_Toc20896"/>
    </w:p>
    <w:p w14:paraId="0C8DE8C2">
      <w:pPr>
        <w:keepNext/>
        <w:keepLines/>
        <w:pageBreakBefore w:val="0"/>
        <w:widowControl/>
        <w:numPr>
          <w:ilvl w:val="0"/>
          <w:numId w:val="0"/>
        </w:numPr>
        <w:kinsoku/>
        <w:wordWrap/>
        <w:overflowPunct/>
        <w:topLinePunct w:val="0"/>
        <w:autoSpaceDE/>
        <w:autoSpaceDN/>
        <w:bidi w:val="0"/>
        <w:adjustRightInd/>
        <w:snapToGrid/>
        <w:jc w:val="left"/>
        <w:textAlignment w:val="baseline"/>
        <w:outlineLvl w:val="9"/>
        <w:rPr>
          <w:rFonts w:hint="eastAsia" w:ascii="仿宋" w:hAnsi="仿宋" w:eastAsia="仿宋" w:cs="仿宋"/>
          <w:b/>
          <w:bCs/>
          <w:color w:val="auto"/>
          <w:sz w:val="28"/>
          <w:szCs w:val="28"/>
          <w:highlight w:val="none"/>
          <w:lang w:val="en-US" w:eastAsia="zh-CN"/>
        </w:rPr>
      </w:pPr>
      <w:bookmarkStart w:id="78" w:name="_Toc24334"/>
      <w:r>
        <w:rPr>
          <w:rFonts w:hint="eastAsia" w:ascii="仿宋" w:hAnsi="仿宋" w:eastAsia="仿宋" w:cs="仿宋"/>
          <w:b/>
          <w:bCs/>
          <w:color w:val="auto"/>
          <w:sz w:val="28"/>
          <w:szCs w:val="28"/>
          <w:highlight w:val="none"/>
          <w:lang w:val="en-US" w:eastAsia="zh-CN" w:bidi="ar-SA"/>
        </w:rPr>
        <w:t>一、</w:t>
      </w:r>
      <w:r>
        <w:rPr>
          <w:rFonts w:hint="eastAsia" w:ascii="仿宋" w:hAnsi="仿宋" w:eastAsia="仿宋" w:cs="仿宋"/>
          <w:b/>
          <w:bCs/>
          <w:color w:val="auto"/>
          <w:sz w:val="28"/>
          <w:szCs w:val="28"/>
          <w:highlight w:val="none"/>
        </w:rPr>
        <w:t>态势感知平台</w:t>
      </w:r>
      <w:r>
        <w:rPr>
          <w:rFonts w:hint="eastAsia" w:ascii="仿宋" w:hAnsi="仿宋" w:eastAsia="仿宋" w:cs="仿宋"/>
          <w:b/>
          <w:bCs/>
          <w:color w:val="auto"/>
          <w:sz w:val="28"/>
          <w:szCs w:val="28"/>
          <w:highlight w:val="none"/>
          <w:lang w:val="en-US" w:eastAsia="zh-CN"/>
        </w:rPr>
        <w:t>及安全设备</w:t>
      </w:r>
      <w:r>
        <w:rPr>
          <w:rFonts w:hint="eastAsia" w:ascii="仿宋" w:hAnsi="仿宋" w:eastAsia="仿宋" w:cs="仿宋"/>
          <w:b/>
          <w:bCs/>
          <w:color w:val="auto"/>
          <w:sz w:val="28"/>
          <w:szCs w:val="28"/>
          <w:highlight w:val="none"/>
        </w:rPr>
        <w:t>升级</w:t>
      </w:r>
      <w:r>
        <w:rPr>
          <w:rFonts w:hint="eastAsia" w:ascii="仿宋" w:hAnsi="仿宋" w:eastAsia="仿宋" w:cs="仿宋"/>
          <w:b/>
          <w:bCs/>
          <w:color w:val="auto"/>
          <w:sz w:val="28"/>
          <w:szCs w:val="28"/>
          <w:highlight w:val="none"/>
          <w:lang w:val="en-US" w:eastAsia="zh-CN"/>
        </w:rPr>
        <w:t>服务</w:t>
      </w:r>
    </w:p>
    <w:p w14:paraId="7A4F1F44">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p w14:paraId="2E930282">
      <w:pPr>
        <w:pStyle w:val="55"/>
        <w:numPr>
          <w:ilvl w:val="0"/>
          <w:numId w:val="0"/>
        </w:num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新疆维吾尔自治区文化和旅游厅网络安全管理态势感知平台项目</w:t>
      </w:r>
      <w:r>
        <w:rPr>
          <w:rFonts w:hint="eastAsia" w:ascii="仿宋" w:hAnsi="仿宋" w:eastAsia="仿宋" w:cs="仿宋"/>
          <w:color w:val="auto"/>
          <w:sz w:val="24"/>
          <w:szCs w:val="24"/>
          <w:highlight w:val="none"/>
          <w:lang w:val="en-US" w:eastAsia="zh-CN"/>
        </w:rPr>
        <w:t>服务期已结束，项目中涉及1台</w:t>
      </w:r>
      <w:r>
        <w:rPr>
          <w:rFonts w:hint="eastAsia" w:ascii="仿宋" w:hAnsi="仿宋" w:eastAsia="仿宋" w:cs="仿宋"/>
          <w:color w:val="auto"/>
          <w:sz w:val="24"/>
          <w:szCs w:val="24"/>
          <w:highlight w:val="none"/>
          <w:lang w:eastAsia="zh-CN"/>
        </w:rPr>
        <w:t>态势感知平台，</w:t>
      </w:r>
      <w:r>
        <w:rPr>
          <w:rFonts w:hint="eastAsia" w:ascii="仿宋" w:hAnsi="仿宋" w:eastAsia="仿宋" w:cs="仿宋"/>
          <w:color w:val="auto"/>
          <w:sz w:val="24"/>
          <w:szCs w:val="24"/>
          <w:highlight w:val="none"/>
          <w:lang w:val="en-US" w:eastAsia="zh-CN"/>
        </w:rPr>
        <w:t>6台综合威胁探针，1台防火墙，2台综合安全网关，为了发挥网络安全态势感知平台作用，对以上产品进行产品维保服务。</w:t>
      </w:r>
    </w:p>
    <w:p w14:paraId="3806DF81">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p w14:paraId="5DE10610">
      <w:pPr>
        <w:pStyle w:val="55"/>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提供1台态势感知平台，6台综合威胁探针，1台防火墙，2台综合安全网关，进行为期一年的产品软硬件升级以及安全事件响应处置服务。</w:t>
      </w:r>
    </w:p>
    <w:p w14:paraId="0AB7AB88">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bl>
      <w:tblPr>
        <w:tblStyle w:val="27"/>
        <w:tblW w:w="9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824"/>
        <w:gridCol w:w="5978"/>
        <w:gridCol w:w="678"/>
      </w:tblGrid>
      <w:tr w14:paraId="22CA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42E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1FC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产品名称</w:t>
            </w:r>
          </w:p>
        </w:tc>
        <w:tc>
          <w:tcPr>
            <w:tcW w:w="5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E11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服务要求</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BAA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数量</w:t>
            </w:r>
          </w:p>
        </w:tc>
      </w:tr>
      <w:tr w14:paraId="596E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4E1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A692">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智能安全运营管理平台</w:t>
            </w:r>
          </w:p>
        </w:tc>
        <w:tc>
          <w:tcPr>
            <w:tcW w:w="5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BD4A">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服务要求：</w:t>
            </w:r>
            <w:r>
              <w:rPr>
                <w:rFonts w:hint="eastAsia" w:ascii="仿宋" w:hAnsi="仿宋" w:eastAsia="仿宋" w:cs="仿宋"/>
                <w:color w:val="auto"/>
                <w:sz w:val="24"/>
                <w:szCs w:val="24"/>
                <w:highlight w:val="none"/>
                <w:lang w:val="en-US" w:eastAsia="zh-CN" w:bidi="ar-SA"/>
              </w:rPr>
              <w:br w:type="textWrapping"/>
            </w:r>
            <w:r>
              <w:rPr>
                <w:rFonts w:hint="eastAsia" w:ascii="仿宋" w:hAnsi="仿宋" w:eastAsia="仿宋" w:cs="仿宋"/>
                <w:color w:val="auto"/>
                <w:sz w:val="24"/>
                <w:szCs w:val="24"/>
                <w:highlight w:val="none"/>
                <w:lang w:val="en-US" w:eastAsia="zh-CN" w:bidi="ar-SA"/>
              </w:rPr>
              <w:t>1、提供为期一年的平台维保服务,包含平台系统升级授权、平台界面操作远程指导、模块功能使用咨询、平台升级指导,问题远程咨询和排查。</w:t>
            </w:r>
            <w:r>
              <w:rPr>
                <w:rFonts w:hint="eastAsia" w:ascii="仿宋" w:hAnsi="仿宋" w:eastAsia="仿宋" w:cs="仿宋"/>
                <w:color w:val="auto"/>
                <w:sz w:val="24"/>
                <w:szCs w:val="24"/>
                <w:highlight w:val="none"/>
                <w:lang w:val="en-US" w:eastAsia="zh-CN" w:bidi="ar-SA"/>
              </w:rPr>
              <w:br w:type="textWrapping"/>
            </w:r>
            <w:r>
              <w:rPr>
                <w:rFonts w:hint="eastAsia" w:ascii="仿宋" w:hAnsi="仿宋" w:eastAsia="仿宋" w:cs="仿宋"/>
                <w:color w:val="auto"/>
                <w:sz w:val="24"/>
                <w:szCs w:val="24"/>
                <w:highlight w:val="none"/>
                <w:lang w:val="en-US" w:eastAsia="zh-CN" w:bidi="ar-SA"/>
              </w:rPr>
              <w:t>2、针对突发信息安全事件7*24小时进行响应，并进行应急处置。不限次数（1小时响应，2小时抵达现场提供技术支持；并提供承诺函）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F50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r>
      <w:tr w14:paraId="05A0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011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2C5E">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综合威胁探针</w:t>
            </w:r>
          </w:p>
        </w:tc>
        <w:tc>
          <w:tcPr>
            <w:tcW w:w="5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912E">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服务要求：</w:t>
            </w:r>
            <w:r>
              <w:rPr>
                <w:rFonts w:hint="eastAsia" w:ascii="仿宋" w:hAnsi="仿宋" w:eastAsia="仿宋" w:cs="仿宋"/>
                <w:color w:val="auto"/>
                <w:sz w:val="24"/>
                <w:szCs w:val="24"/>
                <w:highlight w:val="none"/>
                <w:lang w:val="en-US" w:eastAsia="zh-CN" w:bidi="ar-SA"/>
              </w:rPr>
              <w:br w:type="textWrapping"/>
            </w:r>
            <w:r>
              <w:rPr>
                <w:rFonts w:hint="eastAsia" w:ascii="仿宋" w:hAnsi="仿宋" w:eastAsia="仿宋" w:cs="仿宋"/>
                <w:color w:val="auto"/>
                <w:sz w:val="24"/>
                <w:szCs w:val="24"/>
                <w:highlight w:val="none"/>
                <w:lang w:val="en-US" w:eastAsia="zh-CN" w:bidi="ar-SA"/>
              </w:rPr>
              <w:t>1、提供为期一年的探针维保服务，包含：①产品系统升级授权；②远程支持服务；③产品保修服务；④硬件故障上门支持。</w:t>
            </w:r>
            <w:r>
              <w:rPr>
                <w:rFonts w:hint="eastAsia" w:ascii="仿宋" w:hAnsi="仿宋" w:eastAsia="仿宋" w:cs="仿宋"/>
                <w:color w:val="auto"/>
                <w:sz w:val="24"/>
                <w:szCs w:val="24"/>
                <w:highlight w:val="none"/>
                <w:lang w:val="en-US" w:eastAsia="zh-CN" w:bidi="ar-SA"/>
              </w:rPr>
              <w:br w:type="textWrapping"/>
            </w:r>
            <w:r>
              <w:rPr>
                <w:rFonts w:hint="eastAsia" w:ascii="仿宋" w:hAnsi="仿宋" w:eastAsia="仿宋" w:cs="仿宋"/>
                <w:color w:val="auto"/>
                <w:sz w:val="24"/>
                <w:szCs w:val="24"/>
                <w:highlight w:val="none"/>
                <w:lang w:val="en-US" w:eastAsia="zh-CN" w:bidi="ar-SA"/>
              </w:rPr>
              <w:t>2、提供为期一年的恶意文件检测、入侵行为检测、WEB应用检测功能模块维保和规则库升级。</w:t>
            </w:r>
            <w:r>
              <w:rPr>
                <w:rFonts w:hint="eastAsia" w:ascii="仿宋" w:hAnsi="仿宋" w:eastAsia="仿宋" w:cs="仿宋"/>
                <w:color w:val="auto"/>
                <w:sz w:val="24"/>
                <w:szCs w:val="24"/>
                <w:highlight w:val="none"/>
                <w:lang w:val="en-US" w:eastAsia="zh-CN" w:bidi="ar-SA"/>
              </w:rPr>
              <w:br w:type="textWrapping"/>
            </w:r>
            <w:r>
              <w:rPr>
                <w:rFonts w:hint="eastAsia" w:ascii="仿宋" w:hAnsi="仿宋" w:eastAsia="仿宋" w:cs="仿宋"/>
                <w:color w:val="auto"/>
                <w:sz w:val="24"/>
                <w:szCs w:val="24"/>
                <w:highlight w:val="none"/>
                <w:lang w:val="en-US" w:eastAsia="zh-CN" w:bidi="ar-SA"/>
              </w:rPr>
              <w:t>3、针对突发信息安全事件7*24小时进行响应，并进行应急处置。不限次数（1小时响应，2小时抵达现场提供技术支持；并提供承诺函）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E86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w:t>
            </w:r>
          </w:p>
        </w:tc>
      </w:tr>
      <w:tr w14:paraId="4E6F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EC1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C00B">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防火墙</w:t>
            </w:r>
          </w:p>
        </w:tc>
        <w:tc>
          <w:tcPr>
            <w:tcW w:w="5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1524">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服务要求：</w:t>
            </w:r>
            <w:r>
              <w:rPr>
                <w:rFonts w:hint="eastAsia" w:ascii="仿宋" w:hAnsi="仿宋" w:eastAsia="仿宋" w:cs="仿宋"/>
                <w:color w:val="auto"/>
                <w:sz w:val="24"/>
                <w:szCs w:val="24"/>
                <w:highlight w:val="none"/>
                <w:lang w:val="en-US" w:eastAsia="zh-CN" w:bidi="ar-SA"/>
              </w:rPr>
              <w:br w:type="textWrapping"/>
            </w:r>
            <w:r>
              <w:rPr>
                <w:rFonts w:hint="eastAsia" w:ascii="仿宋" w:hAnsi="仿宋" w:eastAsia="仿宋" w:cs="仿宋"/>
                <w:color w:val="auto"/>
                <w:sz w:val="24"/>
                <w:szCs w:val="24"/>
                <w:highlight w:val="none"/>
                <w:lang w:val="en-US" w:eastAsia="zh-CN" w:bidi="ar-SA"/>
              </w:rPr>
              <w:t>1、提供为期一年的防火墙维保服务，包含：①产品系统升级授权；②远程支持服务；③产品保修服务；④硬件故障上门支持。</w:t>
            </w:r>
            <w:r>
              <w:rPr>
                <w:rFonts w:hint="eastAsia" w:ascii="仿宋" w:hAnsi="仿宋" w:eastAsia="仿宋" w:cs="仿宋"/>
                <w:color w:val="auto"/>
                <w:sz w:val="24"/>
                <w:szCs w:val="24"/>
                <w:highlight w:val="none"/>
                <w:lang w:val="en-US" w:eastAsia="zh-CN" w:bidi="ar-SA"/>
              </w:rPr>
              <w:br w:type="textWrapping"/>
            </w:r>
            <w:r>
              <w:rPr>
                <w:rFonts w:hint="eastAsia" w:ascii="仿宋" w:hAnsi="仿宋" w:eastAsia="仿宋" w:cs="仿宋"/>
                <w:color w:val="auto"/>
                <w:sz w:val="24"/>
                <w:szCs w:val="24"/>
                <w:highlight w:val="none"/>
                <w:lang w:val="en-US" w:eastAsia="zh-CN" w:bidi="ar-SA"/>
              </w:rPr>
              <w:t>2、针对突发信息安全事件7*24小时进行响应，并进行应急处置。不限次数（1小时响应，2小时抵达现场提供技术支持；并提供承诺函）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E83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r>
      <w:tr w14:paraId="3161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C0B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E0B6">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综合安全网关</w:t>
            </w:r>
          </w:p>
        </w:tc>
        <w:tc>
          <w:tcPr>
            <w:tcW w:w="5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204E">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服务要求：</w:t>
            </w:r>
            <w:r>
              <w:rPr>
                <w:rFonts w:hint="eastAsia" w:ascii="仿宋" w:hAnsi="仿宋" w:eastAsia="仿宋" w:cs="仿宋"/>
                <w:color w:val="auto"/>
                <w:sz w:val="24"/>
                <w:szCs w:val="24"/>
                <w:highlight w:val="none"/>
                <w:lang w:val="en-US" w:eastAsia="zh-CN" w:bidi="ar-SA"/>
              </w:rPr>
              <w:br w:type="textWrapping"/>
            </w:r>
            <w:r>
              <w:rPr>
                <w:rFonts w:hint="eastAsia" w:ascii="仿宋" w:hAnsi="仿宋" w:eastAsia="仿宋" w:cs="仿宋"/>
                <w:color w:val="auto"/>
                <w:sz w:val="24"/>
                <w:szCs w:val="24"/>
                <w:highlight w:val="none"/>
                <w:lang w:val="en-US" w:eastAsia="zh-CN" w:bidi="ar-SA"/>
              </w:rPr>
              <w:t>1、提供为期一年的综合安全网关维保服务，包含：①产品系统升级授权；②远程支持服务；③产品保修服务；④硬件故障上门支持。</w:t>
            </w:r>
            <w:r>
              <w:rPr>
                <w:rFonts w:hint="eastAsia" w:ascii="仿宋" w:hAnsi="仿宋" w:eastAsia="仿宋" w:cs="仿宋"/>
                <w:color w:val="auto"/>
                <w:sz w:val="24"/>
                <w:szCs w:val="24"/>
                <w:highlight w:val="none"/>
                <w:lang w:val="en-US" w:eastAsia="zh-CN" w:bidi="ar-SA"/>
              </w:rPr>
              <w:br w:type="textWrapping"/>
            </w:r>
            <w:r>
              <w:rPr>
                <w:rFonts w:hint="eastAsia" w:ascii="仿宋" w:hAnsi="仿宋" w:eastAsia="仿宋" w:cs="仿宋"/>
                <w:color w:val="auto"/>
                <w:sz w:val="24"/>
                <w:szCs w:val="24"/>
                <w:highlight w:val="none"/>
                <w:lang w:val="en-US" w:eastAsia="zh-CN" w:bidi="ar-SA"/>
              </w:rPr>
              <w:t>2、针对突发信息安全事件7*24小时进行响应，并进行应急处置。不限次数（1小时响应，2小时抵达现场提供技术支持；并提供承诺函）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F0F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w:t>
            </w:r>
          </w:p>
        </w:tc>
      </w:tr>
    </w:tbl>
    <w:p w14:paraId="39FCF879">
      <w:pPr>
        <w:keepNext/>
        <w:keepLines/>
        <w:pageBreakBefore w:val="0"/>
        <w:widowControl/>
        <w:kinsoku/>
        <w:wordWrap/>
        <w:overflowPunct/>
        <w:topLinePunct w:val="0"/>
        <w:autoSpaceDE/>
        <w:autoSpaceDN/>
        <w:bidi w:val="0"/>
        <w:adjustRightInd/>
        <w:snapToGrid/>
        <w:jc w:val="left"/>
        <w:textAlignment w:val="baseline"/>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漏洞扫描服务</w:t>
      </w:r>
    </w:p>
    <w:p w14:paraId="3393C1BF">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p w14:paraId="1E7CA7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本项工作主要针对</w:t>
      </w:r>
      <w:r>
        <w:rPr>
          <w:rStyle w:val="32"/>
          <w:rFonts w:hint="eastAsia" w:ascii="仿宋" w:hAnsi="仿宋" w:eastAsia="仿宋" w:cs="仿宋"/>
          <w:i w:val="0"/>
          <w:iCs w:val="0"/>
          <w:caps w:val="0"/>
          <w:color w:val="auto"/>
          <w:spacing w:val="0"/>
          <w:sz w:val="24"/>
          <w:szCs w:val="24"/>
          <w:highlight w:val="none"/>
          <w:lang w:eastAsia="zh-CN"/>
        </w:rPr>
        <w:t>新疆维吾尔自治区</w:t>
      </w:r>
      <w:r>
        <w:rPr>
          <w:rStyle w:val="32"/>
          <w:rFonts w:hint="eastAsia" w:ascii="仿宋" w:hAnsi="仿宋" w:eastAsia="仿宋" w:cs="仿宋"/>
          <w:i w:val="0"/>
          <w:iCs w:val="0"/>
          <w:caps w:val="0"/>
          <w:color w:val="auto"/>
          <w:spacing w:val="0"/>
          <w:sz w:val="24"/>
          <w:szCs w:val="24"/>
          <w:highlight w:val="none"/>
          <w:lang w:val="en-US" w:eastAsia="zh-CN"/>
        </w:rPr>
        <w:t>文化和旅游厅及厅属事业单位</w:t>
      </w:r>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业务系统</w:t>
      </w:r>
      <w:r>
        <w:rPr>
          <w:rFonts w:hint="eastAsia" w:ascii="仿宋" w:hAnsi="仿宋" w:eastAsia="仿宋" w:cs="仿宋"/>
          <w:color w:val="auto"/>
          <w:sz w:val="24"/>
          <w:szCs w:val="24"/>
          <w:highlight w:val="none"/>
          <w:lang w:val="en-US" w:eastAsia="zh-CN"/>
        </w:rPr>
        <w:t>及机房</w:t>
      </w:r>
      <w:r>
        <w:rPr>
          <w:rFonts w:hint="eastAsia" w:ascii="仿宋" w:hAnsi="仿宋" w:eastAsia="仿宋" w:cs="仿宋"/>
          <w:color w:val="auto"/>
          <w:sz w:val="24"/>
          <w:szCs w:val="24"/>
          <w:highlight w:val="none"/>
        </w:rPr>
        <w:t>进行泛资产普查、攻击触点识别、攻击面分析、风险预警等安全服务。对文旅厅业务系统所涉及的所有资产进行全面的清查和登记，包括硬件、软件、数据、文档等各个方面，识别出文旅厅业务系统中可能被攻击者利用的薄弱环节或漏洞，对文旅厅业务系统所面临的攻击方式和手段进行分析和评估，以确定系统可能遭受的攻击类型和范围，通过监测和分析文旅厅业务系统的安全状况，及时发现并预警可能存在的安全风险或威胁。</w:t>
      </w:r>
    </w:p>
    <w:p w14:paraId="09704408">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p w14:paraId="37E1C6FD">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每季度完成漏洞扫描工作后，扫描结果</w:t>
      </w:r>
      <w:r>
        <w:rPr>
          <w:rFonts w:hint="eastAsia" w:ascii="仿宋" w:hAnsi="仿宋" w:eastAsia="仿宋" w:cs="仿宋"/>
          <w:color w:val="auto"/>
          <w:sz w:val="24"/>
          <w:szCs w:val="24"/>
          <w:highlight w:val="none"/>
          <w:lang w:val="en-US" w:eastAsia="zh-CN"/>
        </w:rPr>
        <w:t>需支持以xml文件方式</w:t>
      </w:r>
      <w:r>
        <w:rPr>
          <w:rFonts w:hint="eastAsia" w:ascii="仿宋" w:hAnsi="仿宋" w:eastAsia="仿宋" w:cs="仿宋"/>
          <w:color w:val="auto"/>
          <w:sz w:val="24"/>
          <w:szCs w:val="24"/>
          <w:highlight w:val="none"/>
        </w:rPr>
        <w:t>导入厅本级态势感知平台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实现脆弱性管理</w:t>
      </w:r>
      <w:r>
        <w:rPr>
          <w:rFonts w:hint="eastAsia" w:ascii="仿宋" w:hAnsi="仿宋" w:eastAsia="仿宋" w:cs="仿宋"/>
          <w:color w:val="auto"/>
          <w:sz w:val="24"/>
          <w:szCs w:val="24"/>
          <w:highlight w:val="none"/>
          <w:lang w:val="en-US" w:eastAsia="zh-CN"/>
        </w:rPr>
        <w:t>监测。</w:t>
      </w:r>
    </w:p>
    <w:p w14:paraId="4287164A">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p w14:paraId="39843F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从网络层次的角度来看，扫描项目涉及了如下三个层面的安全问题。</w:t>
      </w:r>
    </w:p>
    <w:p w14:paraId="47595A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1．系统层安全：该层的安全问题来自网络运行的操作系统：UNIX系列、Linux系列、Windows NT系列以及专用操作系统等。安全性问题表现在两方面：一是操作系统本身的不安全因素，主要包括身份认证、访问控制、系统漏洞等；二是操作系统的安全配置存在问题。</w:t>
      </w:r>
    </w:p>
    <w:p w14:paraId="7F362D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身份认证：通过telnet进行口令猜测。</w:t>
      </w:r>
    </w:p>
    <w:p w14:paraId="300EC2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访问控制：注册表 HKEY_LOCAL_MACHINE 普通用户可写，远程主机允许匿名FTP登录，ftp服务器存在匿名可写目录。</w:t>
      </w:r>
    </w:p>
    <w:p w14:paraId="38DDB1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系统漏洞：System V系统Login远程缓冲区溢出漏洞，Microsoft Windows Locator服务远程缓冲区溢出漏洞。</w:t>
      </w:r>
    </w:p>
    <w:p w14:paraId="51AD512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安全配置问题：部分SMB用户存在薄弱口令，试图使用rsh登录进入远程系统。</w:t>
      </w:r>
    </w:p>
    <w:p w14:paraId="5F1041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2．网络层安全：该层的安全问题主要指网络信息的安全性，包括网络层身份认证，网络资源的访问控制，数据传输的保密与完整性、远程接入、域名系统、路由系统的安全，入侵检测的手段等。</w:t>
      </w:r>
    </w:p>
    <w:p w14:paraId="79FE17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网络资源的访问控制：检测到无线访问点。</w:t>
      </w:r>
    </w:p>
    <w:p w14:paraId="253EB5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域名系统：ISC BIND SIG资源记录无效过期时间拒绝服务攻击漏洞，Microsoft Windows NT DNS拒绝服务攻击。</w:t>
      </w:r>
    </w:p>
    <w:p w14:paraId="54ED64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路由器：Cisco IOS Web配置接口安全认证可被绕过，Nortel交换机/路由器缺省口令漏洞，华为网络设备没有设置口令。</w:t>
      </w:r>
    </w:p>
    <w:p w14:paraId="58BFCF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应用层安全：该层的安全考虑网络对用户提供服务所采用的应用软件和数据的安全性，包括：数据库软件、Web服务、电子邮件系统、域名系统、交换与路由系统、防火墙及应用网管系统、业务应用软件以及其它网络服务系统等。</w:t>
      </w:r>
    </w:p>
    <w:p w14:paraId="10F7DD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数据库软件：Oracle tnslsnr没有设置口令，Microsoft SQL Server 2000 Resolution服务多个安全漏洞。</w:t>
      </w:r>
    </w:p>
    <w:p w14:paraId="336115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Web服务器：Apache Mod_SSL/Apache-SSL远程缓冲区溢出漏洞，Microsoft IIS 5.0 .printer ISAPI远程缓冲区溢出，Sun ONE/iPlanet Web服务程序分块编码传输漏洞。</w:t>
      </w:r>
    </w:p>
    <w:p w14:paraId="482D6A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电子邮件系统：Sendmail头处理远程溢出漏洞，Microsoft Windows 2000 SMTP服务认证错误漏洞。</w:t>
      </w:r>
    </w:p>
    <w:p w14:paraId="0EB10A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防火墙及应用网管系统：Axent Raptor防火墙拒绝服务漏洞。</w:t>
      </w:r>
    </w:p>
    <w:p w14:paraId="06605F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其它网络服务系统：Wingate POP3 USER命令远程溢出漏洞，Linux系统LPRng远程格式化串漏洞。</w:t>
      </w:r>
    </w:p>
    <w:p w14:paraId="225F5B6A">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服务频次</w:t>
      </w:r>
    </w:p>
    <w:p w14:paraId="116B22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季度完成一次的全网系统级安全漏洞扫描服务（扫描范围包含被监管的下级单位）。提供漏洞扫描报告，为每台主机提供该主机包含的漏洞及漏洞处置的方法。在重要节假日、重要活动及用户指定时间内按照用户要求开展漏洞扫描工作。</w:t>
      </w:r>
    </w:p>
    <w:p w14:paraId="157857F9">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提交报告</w:t>
      </w:r>
    </w:p>
    <w:p w14:paraId="792348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每季度提交《漏洞扫描总体报告》及《全量主机扫描报告》。报告内容包含高级数据分析能力，对同一IP的两次扫描结果进行风险对比分析，并可查看同一IP的多次历史扫描结果。</w:t>
      </w:r>
    </w:p>
    <w:p w14:paraId="76ED15A9">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漏洞整改</w:t>
      </w:r>
    </w:p>
    <w:p w14:paraId="153F66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配合业务管理人员开展漏洞治理工作。</w:t>
      </w:r>
    </w:p>
    <w:p w14:paraId="613EFFB8">
      <w:pPr>
        <w:keepNext/>
        <w:keepLines/>
        <w:pageBreakBefore w:val="0"/>
        <w:widowControl/>
        <w:kinsoku/>
        <w:wordWrap/>
        <w:overflowPunct/>
        <w:topLinePunct w:val="0"/>
        <w:autoSpaceDE/>
        <w:autoSpaceDN/>
        <w:bidi w:val="0"/>
        <w:adjustRightInd/>
        <w:snapToGrid/>
        <w:jc w:val="left"/>
        <w:textAlignment w:val="baseline"/>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渗透测试服务</w:t>
      </w:r>
    </w:p>
    <w:p w14:paraId="5BCF4151">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p w14:paraId="7CCECE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本项工作主要针对</w:t>
      </w:r>
      <w:r>
        <w:rPr>
          <w:rStyle w:val="32"/>
          <w:rFonts w:hint="eastAsia" w:ascii="仿宋" w:hAnsi="仿宋" w:eastAsia="仿宋" w:cs="仿宋"/>
          <w:i w:val="0"/>
          <w:iCs w:val="0"/>
          <w:caps w:val="0"/>
          <w:color w:val="auto"/>
          <w:spacing w:val="0"/>
          <w:sz w:val="24"/>
          <w:szCs w:val="24"/>
          <w:highlight w:val="none"/>
          <w:lang w:eastAsia="zh-CN"/>
        </w:rPr>
        <w:t>新疆维吾尔自治区</w:t>
      </w:r>
      <w:r>
        <w:rPr>
          <w:rStyle w:val="32"/>
          <w:rFonts w:hint="eastAsia" w:ascii="仿宋" w:hAnsi="仿宋" w:eastAsia="仿宋" w:cs="仿宋"/>
          <w:i w:val="0"/>
          <w:iCs w:val="0"/>
          <w:caps w:val="0"/>
          <w:color w:val="auto"/>
          <w:spacing w:val="0"/>
          <w:sz w:val="24"/>
          <w:szCs w:val="24"/>
          <w:highlight w:val="none"/>
          <w:lang w:val="en-US" w:eastAsia="zh-CN"/>
        </w:rPr>
        <w:t>文化和旅游厅及厅属事业单位</w:t>
      </w:r>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业务系统</w:t>
      </w:r>
      <w:r>
        <w:rPr>
          <w:rFonts w:hint="eastAsia" w:ascii="仿宋" w:hAnsi="仿宋" w:eastAsia="仿宋" w:cs="仿宋"/>
          <w:color w:val="auto"/>
          <w:sz w:val="24"/>
          <w:szCs w:val="24"/>
          <w:highlight w:val="none"/>
          <w:lang w:val="en-US" w:eastAsia="zh-CN"/>
        </w:rPr>
        <w:t>及机房</w:t>
      </w:r>
      <w:r>
        <w:rPr>
          <w:rFonts w:hint="eastAsia" w:ascii="仿宋" w:hAnsi="仿宋" w:eastAsia="仿宋" w:cs="仿宋"/>
          <w:color w:val="auto"/>
          <w:sz w:val="24"/>
          <w:szCs w:val="24"/>
          <w:highlight w:val="none"/>
        </w:rPr>
        <w:t>进行泛资产普查、攻击触点识别、攻击面分析、风险预警等安全服务。对文旅厅业务系统所涉及的所有资产进行全面的清查和登记，包括硬件、软件、数据、文档等各个方面，识别出文旅厅业务系统中可能被攻击者利用的薄弱环节或漏洞，对文旅厅业务系统所面临的攻击方式和手段进行分析和评估，以确定系统可能遭受的攻击类型和范围，通过监测和分析文旅厅业务系统的安全状况，及时发现并预警可能存在的安全风险或威胁。在重要节假日、重要活动前按照用户要求开展渗透测试工作。</w:t>
      </w:r>
    </w:p>
    <w:p w14:paraId="02DC3BAD">
      <w:pPr>
        <w:pStyle w:val="55"/>
        <w:numPr>
          <w:ilvl w:val="0"/>
          <w:numId w:val="1"/>
        </w:numPr>
        <w:spacing w:line="360" w:lineRule="auto"/>
        <w:ind w:left="0" w:firstLine="480"/>
        <w:rPr>
          <w:rFonts w:hint="eastAsia" w:ascii="仿宋" w:hAnsi="仿宋" w:eastAsia="仿宋" w:cs="仿宋"/>
          <w:color w:val="auto"/>
          <w:sz w:val="24"/>
          <w:szCs w:val="24"/>
          <w:highlight w:val="none"/>
        </w:rPr>
      </w:pPr>
      <w:bookmarkStart w:id="79" w:name="_Toc75081917"/>
      <w:r>
        <w:rPr>
          <w:rFonts w:hint="eastAsia" w:ascii="仿宋" w:hAnsi="仿宋" w:eastAsia="仿宋" w:cs="仿宋"/>
          <w:color w:val="auto"/>
          <w:sz w:val="24"/>
          <w:szCs w:val="24"/>
          <w:highlight w:val="none"/>
        </w:rPr>
        <w:t>服务内容</w:t>
      </w:r>
      <w:bookmarkEnd w:id="79"/>
    </w:p>
    <w:p w14:paraId="130EC3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渗透测试作为检验目标系统安全性最有效的服务，通过服务人员采用智能工具扫描与人工测试、分析的手段，以模拟黑客入侵的方式对服务目标系统进行模拟入侵测试，识别服务目标存在的安全风险。</w:t>
      </w:r>
    </w:p>
    <w:p w14:paraId="3AC3B7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性测试是工具扫描和人工评估的重要补充。工具扫描具有很好的效率和速度，但是存在一定的误报率，不能发现高层次、复杂的安全问题；渗透测试需要投入的人力资源较大、对测试者的专业技能要求很高（渗透测试报告的价值直接依赖于测试者的专业技能），但是非常准确，可以发现逻辑性更强、更深层次的弱点。</w:t>
      </w:r>
    </w:p>
    <w:p w14:paraId="4639857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测试内容至少包括：信息收集类、配置管理类（HTTP方法测试、应用中间件测试、信息泄露、异常错误等）、认证类（用户枚举、密码猜解、密码重置、密码策略测试等）、会话类（cookie测试、session会话测试等）、授权类（越权访问、路径遍历、任意文件下载、逻辑缺陷测试等）、数据验证类（SQL注入、跨站脚本、代码注入、URL跳转、文件上传测试等、输入输出校验绕过、数据篡改）、系统应用漏洞（溢出、0day漏洞等）。</w:t>
      </w:r>
    </w:p>
    <w:p w14:paraId="0EA1848E">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服务频次</w:t>
      </w:r>
    </w:p>
    <w:p w14:paraId="7ABEF6D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在重要节假日、重要活动及用户指定时间内按照用户要求开展一年不少于20次渗透测试工作。</w:t>
      </w:r>
    </w:p>
    <w:p w14:paraId="44F87095">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提交报告</w:t>
      </w:r>
    </w:p>
    <w:p w14:paraId="6C0AFE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提交《渗透测试服务报告》，内容包含：域名信息探测，开放端口与服务探测，Google Hacking探测与渗透测试发现的问题详述，并针对每一个漏洞提供修复建议。</w:t>
      </w:r>
    </w:p>
    <w:p w14:paraId="0D969F12">
      <w:pPr>
        <w:pStyle w:val="55"/>
        <w:numPr>
          <w:ilvl w:val="0"/>
          <w:numId w:val="1"/>
        </w:numPr>
        <w:spacing w:line="360" w:lineRule="auto"/>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漏洞整改</w:t>
      </w:r>
    </w:p>
    <w:p w14:paraId="732656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配合业务管理人员开展漏洞治理工作。并在整改完成后开展复测。</w:t>
      </w:r>
    </w:p>
    <w:p w14:paraId="4BB6C3E6">
      <w:pPr>
        <w:numPr>
          <w:ilvl w:val="0"/>
          <w:numId w:val="0"/>
        </w:numPr>
        <w:bidi w:val="0"/>
        <w:spacing w:line="360" w:lineRule="auto"/>
        <w:rPr>
          <w:rFonts w:hint="eastAsia"/>
          <w:color w:val="auto"/>
          <w:highlight w:val="none"/>
        </w:rPr>
      </w:pPr>
      <w:r>
        <w:rPr>
          <w:rFonts w:hint="eastAsia" w:ascii="仿宋" w:hAnsi="仿宋" w:eastAsia="仿宋" w:cs="仿宋"/>
          <w:b/>
          <w:bCs/>
          <w:color w:val="auto"/>
          <w:sz w:val="28"/>
          <w:szCs w:val="28"/>
          <w:highlight w:val="none"/>
          <w:lang w:val="en-US" w:eastAsia="zh-CN"/>
        </w:rPr>
        <w:t>四、售后服务</w:t>
      </w:r>
      <w:r>
        <w:rPr>
          <w:rFonts w:hint="eastAsia" w:ascii="仿宋" w:hAnsi="仿宋" w:eastAsia="仿宋" w:cs="仿宋"/>
          <w:b/>
          <w:bCs/>
          <w:color w:val="auto"/>
          <w:sz w:val="28"/>
          <w:szCs w:val="28"/>
          <w:highlight w:val="none"/>
        </w:rPr>
        <w:br w:type="textWrapping"/>
      </w:r>
      <w:r>
        <w:rPr>
          <w:rFonts w:hint="eastAsia" w:ascii="仿宋" w:hAnsi="仿宋" w:eastAsia="仿宋" w:cs="仿宋"/>
          <w:b/>
          <w:bCs/>
          <w:color w:val="auto"/>
          <w:sz w:val="28"/>
          <w:szCs w:val="28"/>
          <w:highlight w:val="none"/>
          <w:lang w:val="en-US" w:eastAsia="zh-CN"/>
        </w:rPr>
        <w:tab/>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val="en-US" w:eastAsia="en-US"/>
        </w:rPr>
        <w:t>期内，一旦出现相应的安全事件，提供7*24的</w:t>
      </w:r>
      <w:r>
        <w:rPr>
          <w:rFonts w:hint="eastAsia" w:ascii="仿宋" w:hAnsi="仿宋" w:eastAsia="仿宋" w:cs="仿宋"/>
          <w:color w:val="auto"/>
          <w:sz w:val="24"/>
          <w:szCs w:val="24"/>
          <w:highlight w:val="none"/>
          <w:lang w:val="en-US" w:eastAsia="zh-CN"/>
        </w:rPr>
        <w:t>应急响应</w:t>
      </w:r>
      <w:r>
        <w:rPr>
          <w:rFonts w:hint="eastAsia" w:ascii="仿宋" w:hAnsi="仿宋" w:eastAsia="仿宋" w:cs="仿宋"/>
          <w:color w:val="auto"/>
          <w:sz w:val="24"/>
          <w:szCs w:val="24"/>
          <w:highlight w:val="none"/>
          <w:lang w:val="en-US" w:eastAsia="en-US"/>
        </w:rPr>
        <w:t>服务</w:t>
      </w:r>
      <w:r>
        <w:rPr>
          <w:rFonts w:hint="eastAsia" w:ascii="仿宋" w:hAnsi="仿宋" w:eastAsia="仿宋" w:cs="仿宋"/>
          <w:color w:val="auto"/>
          <w:sz w:val="24"/>
          <w:szCs w:val="24"/>
          <w:highlight w:val="none"/>
          <w:lang w:val="en-US" w:eastAsia="zh-CN"/>
        </w:rPr>
        <w:t>。</w:t>
      </w:r>
    </w:p>
    <w:p w14:paraId="7BAED09B">
      <w:pPr>
        <w:pageBreakBefore w:val="0"/>
        <w:widowControl/>
        <w:kinsoku/>
        <w:wordWrap/>
        <w:overflowPunct/>
        <w:topLinePunct w:val="0"/>
        <w:autoSpaceDE/>
        <w:autoSpaceDN/>
        <w:bidi w:val="0"/>
        <w:adjustRightInd/>
        <w:snapToGrid/>
        <w:textAlignment w:val="baseline"/>
        <w:outlineLvl w:val="9"/>
        <w:rPr>
          <w:rFonts w:hint="eastAsia" w:ascii="宋体" w:hAnsi="宋体"/>
          <w:color w:val="auto"/>
          <w:sz w:val="24"/>
          <w:szCs w:val="24"/>
          <w:highlight w:val="none"/>
        </w:rPr>
      </w:pPr>
    </w:p>
    <w:p w14:paraId="172B9A9B">
      <w:pPr>
        <w:pageBreakBefore w:val="0"/>
        <w:widowControl/>
        <w:kinsoku/>
        <w:wordWrap/>
        <w:overflowPunct/>
        <w:topLinePunct w:val="0"/>
        <w:autoSpaceDE/>
        <w:autoSpaceDN/>
        <w:bidi w:val="0"/>
        <w:adjustRightInd/>
        <w:snapToGrid/>
        <w:textAlignment w:val="baseline"/>
        <w:outlineLvl w:val="9"/>
        <w:rPr>
          <w:rFonts w:hint="eastAsia" w:ascii="宋体" w:hAnsi="宋体"/>
          <w:color w:val="auto"/>
          <w:sz w:val="24"/>
          <w:szCs w:val="24"/>
          <w:highlight w:val="none"/>
        </w:rPr>
      </w:pPr>
    </w:p>
    <w:p w14:paraId="2B859E80">
      <w:pPr>
        <w:pageBreakBefore w:val="0"/>
        <w:widowControl/>
        <w:kinsoku/>
        <w:wordWrap/>
        <w:overflowPunct/>
        <w:topLinePunct w:val="0"/>
        <w:autoSpaceDE/>
        <w:autoSpaceDN/>
        <w:bidi w:val="0"/>
        <w:adjustRightInd/>
        <w:snapToGrid/>
        <w:textAlignment w:val="baseline"/>
        <w:outlineLvl w:val="9"/>
        <w:rPr>
          <w:rFonts w:hint="eastAsia" w:ascii="宋体" w:hAnsi="宋体"/>
          <w:color w:val="auto"/>
          <w:sz w:val="24"/>
          <w:szCs w:val="24"/>
          <w:highlight w:val="none"/>
        </w:rPr>
      </w:pPr>
    </w:p>
    <w:p w14:paraId="2AC6903D">
      <w:pPr>
        <w:pageBreakBefore w:val="0"/>
        <w:widowControl/>
        <w:kinsoku/>
        <w:wordWrap/>
        <w:overflowPunct/>
        <w:topLinePunct w:val="0"/>
        <w:autoSpaceDE/>
        <w:autoSpaceDN/>
        <w:bidi w:val="0"/>
        <w:adjustRightInd/>
        <w:snapToGrid/>
        <w:textAlignment w:val="baseline"/>
        <w:outlineLvl w:val="9"/>
        <w:rPr>
          <w:rFonts w:hint="eastAsia" w:ascii="宋体" w:hAnsi="宋体"/>
          <w:color w:val="auto"/>
          <w:sz w:val="24"/>
          <w:szCs w:val="24"/>
          <w:highlight w:val="none"/>
        </w:rPr>
      </w:pPr>
    </w:p>
    <w:p w14:paraId="34A429EE">
      <w:pPr>
        <w:keepNext/>
        <w:keepLines/>
        <w:pageBreakBefore w:val="0"/>
        <w:widowControl/>
        <w:kinsoku/>
        <w:wordWrap/>
        <w:overflowPunct/>
        <w:topLinePunct w:val="0"/>
        <w:autoSpaceDE/>
        <w:autoSpaceDN/>
        <w:bidi w:val="0"/>
        <w:adjustRightInd/>
        <w:snapToGrid/>
        <w:textAlignment w:val="baseline"/>
        <w:outlineLvl w:val="9"/>
        <w:rPr>
          <w:rFonts w:hint="eastAsia" w:ascii="宋体" w:hAnsi="宋体"/>
          <w:color w:val="auto"/>
          <w:sz w:val="24"/>
          <w:szCs w:val="24"/>
          <w:highlight w:val="none"/>
        </w:rPr>
      </w:pPr>
    </w:p>
    <w:p w14:paraId="3E63540E">
      <w:pPr>
        <w:keepNext w:val="0"/>
        <w:keepLines w:val="0"/>
        <w:pageBreakBefore w:val="0"/>
        <w:widowControl/>
        <w:kinsoku/>
        <w:wordWrap/>
        <w:overflowPunct/>
        <w:topLinePunct w:val="0"/>
        <w:autoSpaceDE/>
        <w:autoSpaceDN/>
        <w:bidi w:val="0"/>
        <w:adjustRightInd/>
        <w:snapToGrid/>
        <w:textAlignment w:val="baseline"/>
        <w:rPr>
          <w:rFonts w:hint="eastAsia"/>
          <w:color w:val="auto"/>
          <w:highlight w:val="none"/>
        </w:rPr>
      </w:pPr>
    </w:p>
    <w:p w14:paraId="55AAA4E8">
      <w:pPr>
        <w:rPr>
          <w:rFonts w:hint="eastAsia"/>
          <w:color w:val="auto"/>
          <w:highlight w:val="none"/>
        </w:rPr>
      </w:pPr>
    </w:p>
    <w:p w14:paraId="19F4710C">
      <w:pPr>
        <w:pageBreakBefore w:val="0"/>
        <w:widowControl/>
        <w:kinsoku/>
        <w:wordWrap/>
        <w:overflowPunct/>
        <w:topLinePunct w:val="0"/>
        <w:autoSpaceDE/>
        <w:autoSpaceDN/>
        <w:bidi w:val="0"/>
        <w:adjustRightInd/>
        <w:snapToGrid/>
        <w:textAlignment w:val="baseline"/>
        <w:outlineLvl w:val="9"/>
        <w:rPr>
          <w:color w:val="auto"/>
          <w:highlight w:val="none"/>
        </w:rPr>
      </w:pPr>
    </w:p>
    <w:p w14:paraId="7ED036DA">
      <w:pPr>
        <w:pageBreakBefore w:val="0"/>
        <w:widowControl/>
        <w:numPr>
          <w:ilvl w:val="0"/>
          <w:numId w:val="0"/>
        </w:numPr>
        <w:kinsoku/>
        <w:wordWrap/>
        <w:overflowPunct/>
        <w:topLinePunct w:val="0"/>
        <w:autoSpaceDE/>
        <w:autoSpaceDN/>
        <w:bidi w:val="0"/>
        <w:adjustRightInd/>
        <w:snapToGrid/>
        <w:jc w:val="both"/>
        <w:textAlignment w:val="baseline"/>
        <w:outlineLvl w:val="9"/>
        <w:rPr>
          <w:rFonts w:hint="eastAsia"/>
          <w:color w:val="auto"/>
          <w:highlight w:val="none"/>
          <w:lang w:eastAsia="zh-CN"/>
        </w:rPr>
      </w:pPr>
    </w:p>
    <w:p w14:paraId="2B535112">
      <w:pPr>
        <w:pageBreakBefore w:val="0"/>
        <w:widowControl/>
        <w:kinsoku/>
        <w:wordWrap/>
        <w:overflowPunct/>
        <w:topLinePunct w:val="0"/>
        <w:autoSpaceDE/>
        <w:autoSpaceDN/>
        <w:bidi w:val="0"/>
        <w:adjustRightInd/>
        <w:snapToGrid/>
        <w:textAlignment w:val="baseline"/>
        <w:outlineLvl w:val="9"/>
        <w:rPr>
          <w:rFonts w:hint="eastAsia"/>
          <w:color w:val="auto"/>
          <w:highlight w:val="none"/>
          <w:lang w:eastAsia="zh-CN"/>
        </w:rPr>
      </w:pPr>
    </w:p>
    <w:p w14:paraId="0B4F57FF">
      <w:pPr>
        <w:pageBreakBefore w:val="0"/>
        <w:widowControl/>
        <w:kinsoku/>
        <w:wordWrap/>
        <w:overflowPunct/>
        <w:topLinePunct w:val="0"/>
        <w:autoSpaceDE/>
        <w:autoSpaceDN/>
        <w:bidi w:val="0"/>
        <w:adjustRightInd/>
        <w:snapToGrid/>
        <w:textAlignment w:val="baseline"/>
        <w:outlineLvl w:val="9"/>
        <w:rPr>
          <w:rFonts w:hint="eastAsia"/>
          <w:color w:val="auto"/>
          <w:highlight w:val="none"/>
          <w:lang w:eastAsia="zh-CN"/>
        </w:rPr>
      </w:pPr>
    </w:p>
    <w:p w14:paraId="788B2BEB">
      <w:pPr>
        <w:pageBreakBefore w:val="0"/>
        <w:widowControl/>
        <w:kinsoku/>
        <w:wordWrap/>
        <w:overflowPunct/>
        <w:topLinePunct w:val="0"/>
        <w:autoSpaceDE/>
        <w:autoSpaceDN/>
        <w:bidi w:val="0"/>
        <w:adjustRightInd/>
        <w:snapToGrid/>
        <w:textAlignment w:val="baseline"/>
        <w:outlineLvl w:val="9"/>
        <w:rPr>
          <w:rFonts w:hint="eastAsia"/>
          <w:color w:val="auto"/>
          <w:highlight w:val="none"/>
          <w:lang w:eastAsia="zh-CN"/>
        </w:rPr>
      </w:pPr>
    </w:p>
    <w:p w14:paraId="2D2F23BA">
      <w:pPr>
        <w:pageBreakBefore w:val="0"/>
        <w:widowControl/>
        <w:kinsoku/>
        <w:wordWrap/>
        <w:overflowPunct/>
        <w:topLinePunct w:val="0"/>
        <w:autoSpaceDE/>
        <w:autoSpaceDN/>
        <w:bidi w:val="0"/>
        <w:adjustRightInd/>
        <w:snapToGrid/>
        <w:textAlignment w:val="baseline"/>
        <w:outlineLvl w:val="9"/>
        <w:rPr>
          <w:rFonts w:hint="eastAsia"/>
          <w:color w:val="auto"/>
          <w:highlight w:val="none"/>
          <w:lang w:eastAsia="zh-CN"/>
        </w:rPr>
      </w:pPr>
    </w:p>
    <w:p w14:paraId="3C05ACDE">
      <w:pPr>
        <w:pageBreakBefore w:val="0"/>
        <w:widowControl/>
        <w:kinsoku/>
        <w:wordWrap/>
        <w:overflowPunct/>
        <w:topLinePunct w:val="0"/>
        <w:autoSpaceDE/>
        <w:autoSpaceDN/>
        <w:bidi w:val="0"/>
        <w:adjustRightInd/>
        <w:snapToGrid/>
        <w:textAlignment w:val="baseline"/>
        <w:outlineLvl w:val="9"/>
        <w:rPr>
          <w:rFonts w:hint="eastAsia"/>
          <w:color w:val="auto"/>
          <w:highlight w:val="none"/>
          <w:lang w:eastAsia="zh-CN"/>
        </w:rPr>
      </w:pPr>
    </w:p>
    <w:bookmarkEnd w:id="78"/>
    <w:p w14:paraId="32684318">
      <w:pPr>
        <w:rPr>
          <w:rFonts w:hint="eastAsia" w:ascii="仿宋" w:hAnsi="仿宋" w:eastAsia="仿宋" w:cs="仿宋"/>
          <w:b/>
          <w:bCs/>
          <w:color w:val="auto"/>
          <w:sz w:val="32"/>
          <w:szCs w:val="40"/>
          <w:highlight w:val="none"/>
          <w:lang w:eastAsia="zh-CN"/>
        </w:rPr>
      </w:pPr>
      <w:bookmarkStart w:id="80" w:name="_Toc5364"/>
      <w:r>
        <w:rPr>
          <w:rFonts w:hint="eastAsia" w:ascii="仿宋" w:hAnsi="仿宋" w:eastAsia="仿宋" w:cs="仿宋"/>
          <w:b/>
          <w:bCs/>
          <w:color w:val="auto"/>
          <w:sz w:val="32"/>
          <w:szCs w:val="40"/>
          <w:highlight w:val="none"/>
          <w:lang w:eastAsia="zh-CN"/>
        </w:rPr>
        <w:br w:type="page"/>
      </w:r>
    </w:p>
    <w:p w14:paraId="36058F85">
      <w:pPr>
        <w:shd w:val="clear"/>
        <w:spacing w:line="579" w:lineRule="exact"/>
        <w:ind w:firstLine="643" w:firstLineChars="200"/>
        <w:jc w:val="center"/>
        <w:outlineLvl w:val="0"/>
        <w:rPr>
          <w:rFonts w:ascii="仿宋" w:hAnsi="仿宋" w:eastAsia="仿宋" w:cs="仿宋"/>
          <w:color w:val="auto"/>
          <w:highlight w:val="none"/>
          <w:lang w:eastAsia="zh-CN"/>
        </w:rPr>
      </w:pPr>
      <w:r>
        <w:rPr>
          <w:rFonts w:hint="eastAsia" w:ascii="仿宋" w:hAnsi="仿宋" w:eastAsia="仿宋" w:cs="仿宋"/>
          <w:b/>
          <w:bCs/>
          <w:color w:val="auto"/>
          <w:sz w:val="32"/>
          <w:szCs w:val="40"/>
          <w:highlight w:val="none"/>
          <w:lang w:eastAsia="zh-CN"/>
        </w:rPr>
        <w:t>第四部分  合同条款</w:t>
      </w:r>
      <w:bookmarkEnd w:id="73"/>
      <w:bookmarkEnd w:id="74"/>
      <w:bookmarkEnd w:id="75"/>
      <w:bookmarkEnd w:id="76"/>
      <w:bookmarkEnd w:id="77"/>
      <w:bookmarkEnd w:id="80"/>
    </w:p>
    <w:p w14:paraId="4D872230">
      <w:pPr>
        <w:pStyle w:val="59"/>
        <w:pBdr>
          <w:top w:val="none" w:color="auto" w:sz="0" w:space="0"/>
          <w:left w:val="none" w:color="auto" w:sz="0" w:space="0"/>
          <w:bottom w:val="none" w:color="auto" w:sz="0" w:space="0"/>
          <w:right w:val="none" w:color="auto" w:sz="0" w:space="0"/>
        </w:pBdr>
        <w:shd w:val="clear"/>
        <w:tabs>
          <w:tab w:val="left" w:pos="2625"/>
        </w:tabs>
        <w:spacing w:line="579"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w:t>
      </w:r>
    </w:p>
    <w:p w14:paraId="41F21C77">
      <w:pPr>
        <w:pStyle w:val="59"/>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合同条款仅作为双方签订合同的参考，合同最终内容将根据中标单位的投标响应内容确定合同主要内容，阐明各方的权利和义务，必要时将增加新的条款，但不得与招标文件、磋商响应文件的实质性内容相背离。</w:t>
      </w:r>
    </w:p>
    <w:p w14:paraId="71E47B82">
      <w:pPr>
        <w:pStyle w:val="59"/>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4DDEB3F4">
      <w:pPr>
        <w:pStyle w:val="59"/>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5501066F">
      <w:pPr>
        <w:pStyle w:val="59"/>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0B3B760D">
      <w:pPr>
        <w:pStyle w:val="59"/>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39CECF8A">
      <w:pPr>
        <w:pStyle w:val="59"/>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3471A3A1">
      <w:pPr>
        <w:pStyle w:val="59"/>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7603A11E">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972AB92">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46227A49">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4008E727">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2B3B01D5">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00B470ED">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7922D93A">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084493F">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0554F757">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10E6BA17">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1EC01D74">
      <w:pPr>
        <w:pStyle w:val="25"/>
        <w:shd w:val="clear"/>
        <w:rPr>
          <w:rFonts w:ascii="仿宋" w:hAnsi="仿宋" w:eastAsia="仿宋" w:cs="仿宋"/>
          <w:b/>
          <w:bCs/>
          <w:color w:val="auto"/>
          <w:sz w:val="48"/>
          <w:szCs w:val="48"/>
          <w:highlight w:val="none"/>
          <w:lang w:val="zh-CN" w:eastAsia="zh-CN"/>
        </w:rPr>
      </w:pPr>
    </w:p>
    <w:p w14:paraId="5C553005">
      <w:pPr>
        <w:shd w:val="clear"/>
        <w:autoSpaceDE w:val="0"/>
        <w:autoSpaceDN w:val="0"/>
        <w:adjustRightInd w:val="0"/>
        <w:spacing w:line="360" w:lineRule="auto"/>
        <w:jc w:val="center"/>
        <w:rPr>
          <w:rFonts w:ascii="仿宋" w:hAnsi="仿宋" w:eastAsia="仿宋" w:cs="仿宋"/>
          <w:b/>
          <w:bCs/>
          <w:color w:val="auto"/>
          <w:sz w:val="48"/>
          <w:szCs w:val="48"/>
          <w:highlight w:val="none"/>
          <w:lang w:eastAsia="zh-CN"/>
        </w:rPr>
      </w:pPr>
      <w:bookmarkStart w:id="81" w:name="_Toc4727"/>
      <w:bookmarkStart w:id="82" w:name="_Toc3023"/>
      <w:bookmarkStart w:id="83" w:name="_Toc7400"/>
      <w:bookmarkStart w:id="84" w:name="_Toc17311"/>
      <w:bookmarkStart w:id="85" w:name="_Toc15427"/>
      <w:r>
        <w:rPr>
          <w:rFonts w:hint="eastAsia" w:ascii="仿宋" w:hAnsi="仿宋" w:eastAsia="仿宋" w:cs="仿宋"/>
          <w:b/>
          <w:bCs/>
          <w:color w:val="auto"/>
          <w:sz w:val="48"/>
          <w:szCs w:val="48"/>
          <w:highlight w:val="none"/>
          <w:lang w:val="zh-CN" w:eastAsia="zh-CN"/>
        </w:rPr>
        <w:t>政府采购项目合同书</w:t>
      </w:r>
    </w:p>
    <w:p w14:paraId="54010AF2">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79F594E6">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210D7D64">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109825DC">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65C4C8F7">
      <w:pPr>
        <w:shd w:val="clear"/>
        <w:autoSpaceDE w:val="0"/>
        <w:autoSpaceDN w:val="0"/>
        <w:adjustRightInd w:val="0"/>
        <w:spacing w:line="360" w:lineRule="auto"/>
        <w:rPr>
          <w:rFonts w:ascii="仿宋" w:hAnsi="仿宋" w:eastAsia="仿宋" w:cs="仿宋"/>
          <w:b/>
          <w:bCs/>
          <w:color w:val="auto"/>
          <w:sz w:val="30"/>
          <w:szCs w:val="30"/>
          <w:highlight w:val="none"/>
          <w:u w:val="single"/>
          <w:lang w:val="zh-CN" w:eastAsia="zh-CN"/>
        </w:rPr>
      </w:pPr>
      <w:r>
        <w:rPr>
          <w:rFonts w:hint="eastAsia" w:ascii="仿宋" w:hAnsi="仿宋" w:eastAsia="仿宋" w:cs="仿宋"/>
          <w:b/>
          <w:bCs/>
          <w:color w:val="auto"/>
          <w:sz w:val="30"/>
          <w:szCs w:val="30"/>
          <w:highlight w:val="none"/>
          <w:lang w:val="zh-CN" w:eastAsia="zh-CN"/>
        </w:rPr>
        <w:t>采购项目编号：</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color w:val="auto"/>
          <w:sz w:val="30"/>
          <w:szCs w:val="30"/>
          <w:highlight w:val="none"/>
          <w:u w:val="single"/>
          <w:lang w:eastAsia="zh-CN"/>
        </w:rPr>
        <w:t xml:space="preserve">      </w:t>
      </w:r>
    </w:p>
    <w:p w14:paraId="3E67D538">
      <w:pPr>
        <w:shd w:val="clear"/>
        <w:autoSpaceDE w:val="0"/>
        <w:autoSpaceDN w:val="0"/>
        <w:adjustRightInd w:val="0"/>
        <w:spacing w:line="360" w:lineRule="auto"/>
        <w:rPr>
          <w:rFonts w:ascii="仿宋" w:hAnsi="仿宋" w:eastAsia="仿宋" w:cs="仿宋"/>
          <w:b/>
          <w:bCs/>
          <w:color w:val="auto"/>
          <w:sz w:val="30"/>
          <w:szCs w:val="30"/>
          <w:highlight w:val="none"/>
          <w:u w:val="single"/>
          <w:lang w:eastAsia="zh-CN"/>
        </w:rPr>
      </w:pPr>
      <w:r>
        <w:rPr>
          <w:rFonts w:hint="eastAsia" w:ascii="仿宋" w:hAnsi="仿宋" w:eastAsia="仿宋" w:cs="仿宋"/>
          <w:b/>
          <w:bCs/>
          <w:color w:val="auto"/>
          <w:sz w:val="30"/>
          <w:szCs w:val="30"/>
          <w:highlight w:val="none"/>
          <w:lang w:val="zh-CN" w:eastAsia="zh-CN"/>
        </w:rPr>
        <w:t>采购项目名称：</w:t>
      </w:r>
      <w:r>
        <w:rPr>
          <w:rFonts w:hint="eastAsia" w:ascii="仿宋" w:hAnsi="仿宋" w:eastAsia="仿宋" w:cs="仿宋"/>
          <w:b/>
          <w:bCs/>
          <w:color w:val="auto"/>
          <w:sz w:val="30"/>
          <w:szCs w:val="30"/>
          <w:highlight w:val="none"/>
          <w:u w:val="single"/>
          <w:lang w:eastAsia="zh-CN"/>
        </w:rPr>
        <w:t xml:space="preserve">                                       </w:t>
      </w:r>
    </w:p>
    <w:p w14:paraId="7E4FD264">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采购合同编号：</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b/>
          <w:bCs/>
          <w:color w:val="auto"/>
          <w:sz w:val="30"/>
          <w:szCs w:val="30"/>
          <w:highlight w:val="none"/>
          <w:u w:val="single"/>
          <w:lang w:val="zh-CN" w:eastAsia="zh-CN"/>
        </w:rPr>
        <w:t xml:space="preserve"> </w:t>
      </w:r>
    </w:p>
    <w:p w14:paraId="2FEEDA3F">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合同金额（人民币）：</w:t>
      </w:r>
      <w:r>
        <w:rPr>
          <w:rFonts w:hint="eastAsia" w:ascii="仿宋" w:hAnsi="仿宋" w:eastAsia="仿宋" w:cs="仿宋"/>
          <w:b/>
          <w:bCs/>
          <w:color w:val="auto"/>
          <w:sz w:val="30"/>
          <w:szCs w:val="30"/>
          <w:highlight w:val="none"/>
          <w:u w:val="single"/>
          <w:lang w:eastAsia="zh-CN"/>
        </w:rPr>
        <w:t xml:space="preserve">                           </w:t>
      </w:r>
    </w:p>
    <w:p w14:paraId="752328A2">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采</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购</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人</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（甲</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方）：</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b/>
          <w:bCs/>
          <w:color w:val="auto"/>
          <w:sz w:val="30"/>
          <w:szCs w:val="30"/>
          <w:highlight w:val="none"/>
          <w:u w:val="single"/>
          <w:lang w:val="zh-CN" w:eastAsia="zh-CN"/>
        </w:rPr>
        <w:t>（盖章）</w:t>
      </w:r>
    </w:p>
    <w:p w14:paraId="4786826B">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中标服务商（乙方）：</w:t>
      </w:r>
      <w:r>
        <w:rPr>
          <w:rFonts w:hint="eastAsia" w:ascii="仿宋" w:hAnsi="仿宋" w:eastAsia="仿宋" w:cs="仿宋"/>
          <w:b/>
          <w:bCs/>
          <w:color w:val="auto"/>
          <w:sz w:val="30"/>
          <w:szCs w:val="30"/>
          <w:highlight w:val="none"/>
          <w:u w:val="single"/>
          <w:lang w:eastAsia="zh-CN"/>
        </w:rPr>
        <w:t xml:space="preserve">                       </w:t>
      </w:r>
      <w:r>
        <w:rPr>
          <w:rFonts w:hint="eastAsia" w:ascii="仿宋" w:hAnsi="仿宋" w:eastAsia="仿宋" w:cs="仿宋"/>
          <w:b/>
          <w:bCs/>
          <w:color w:val="auto"/>
          <w:sz w:val="30"/>
          <w:szCs w:val="30"/>
          <w:highlight w:val="none"/>
          <w:u w:val="single"/>
          <w:lang w:val="zh-CN" w:eastAsia="zh-CN"/>
        </w:rPr>
        <w:t>（盖章）</w:t>
      </w:r>
    </w:p>
    <w:p w14:paraId="40FF1CF1">
      <w:pPr>
        <w:shd w:val="clear"/>
        <w:autoSpaceDE w:val="0"/>
        <w:autoSpaceDN w:val="0"/>
        <w:adjustRightInd w:val="0"/>
        <w:spacing w:line="360" w:lineRule="auto"/>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zh-CN" w:eastAsia="zh-CN"/>
        </w:rPr>
        <w:t>采购日期：</w:t>
      </w:r>
      <w:r>
        <w:rPr>
          <w:rFonts w:hint="eastAsia" w:ascii="仿宋" w:hAnsi="仿宋" w:eastAsia="仿宋" w:cs="仿宋"/>
          <w:b/>
          <w:bCs/>
          <w:color w:val="auto"/>
          <w:sz w:val="30"/>
          <w:szCs w:val="30"/>
          <w:highlight w:val="none"/>
          <w:u w:val="single"/>
          <w:lang w:eastAsia="zh-CN"/>
        </w:rPr>
        <w:t xml:space="preserve">                                     </w:t>
      </w:r>
    </w:p>
    <w:p w14:paraId="0FA1E877">
      <w:pPr>
        <w:shd w:val="clear"/>
        <w:autoSpaceDE w:val="0"/>
        <w:autoSpaceDN w:val="0"/>
        <w:adjustRightInd w:val="0"/>
        <w:spacing w:line="360" w:lineRule="auto"/>
        <w:rPr>
          <w:rFonts w:ascii="仿宋" w:hAnsi="仿宋" w:eastAsia="仿宋" w:cs="仿宋"/>
          <w:color w:val="auto"/>
          <w:sz w:val="28"/>
          <w:szCs w:val="28"/>
          <w:highlight w:val="none"/>
          <w:lang w:eastAsia="zh-CN"/>
        </w:rPr>
      </w:pPr>
    </w:p>
    <w:p w14:paraId="454BFD15">
      <w:pPr>
        <w:shd w:val="clear"/>
        <w:autoSpaceDE w:val="0"/>
        <w:autoSpaceDN w:val="0"/>
        <w:adjustRightInd w:val="0"/>
        <w:spacing w:line="360" w:lineRule="auto"/>
        <w:rPr>
          <w:rFonts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eastAsia="zh-CN"/>
        </w:rPr>
        <w:br w:type="page"/>
      </w:r>
      <w:r>
        <w:rPr>
          <w:rFonts w:hint="eastAsia" w:ascii="仿宋" w:hAnsi="仿宋" w:eastAsia="仿宋" w:cs="仿宋"/>
          <w:b/>
          <w:bCs/>
          <w:color w:val="auto"/>
          <w:sz w:val="28"/>
          <w:szCs w:val="28"/>
          <w:highlight w:val="none"/>
          <w:lang w:val="zh-CN" w:eastAsia="zh-CN"/>
        </w:rPr>
        <w:t>采</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b/>
          <w:bCs/>
          <w:color w:val="auto"/>
          <w:sz w:val="28"/>
          <w:szCs w:val="28"/>
          <w:highlight w:val="none"/>
          <w:lang w:val="zh-CN" w:eastAsia="zh-CN"/>
        </w:rPr>
        <w:t>购</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b/>
          <w:bCs/>
          <w:color w:val="auto"/>
          <w:sz w:val="28"/>
          <w:szCs w:val="28"/>
          <w:highlight w:val="none"/>
          <w:lang w:val="zh-CN" w:eastAsia="zh-CN"/>
        </w:rPr>
        <w:t>人（以下简称甲方）：</w:t>
      </w:r>
    </w:p>
    <w:p w14:paraId="599F2237">
      <w:pPr>
        <w:shd w:val="clear"/>
        <w:autoSpaceDE w:val="0"/>
        <w:autoSpaceDN w:val="0"/>
        <w:adjustRightInd w:val="0"/>
        <w:spacing w:line="360" w:lineRule="auto"/>
        <w:rPr>
          <w:rFonts w:ascii="仿宋" w:hAnsi="仿宋" w:eastAsia="仿宋" w:cs="仿宋"/>
          <w:color w:val="auto"/>
          <w:sz w:val="28"/>
          <w:szCs w:val="28"/>
          <w:highlight w:val="none"/>
          <w:lang w:eastAsia="zh-CN"/>
        </w:rPr>
      </w:pPr>
      <w:r>
        <w:rPr>
          <w:rFonts w:hint="eastAsia" w:ascii="仿宋" w:hAnsi="仿宋" w:eastAsia="仿宋" w:cs="仿宋"/>
          <w:b/>
          <w:bCs/>
          <w:color w:val="auto"/>
          <w:sz w:val="30"/>
          <w:szCs w:val="30"/>
          <w:highlight w:val="none"/>
          <w:lang w:val="zh-CN" w:eastAsia="zh-CN"/>
        </w:rPr>
        <w:t>中</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标</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zh-CN" w:eastAsia="zh-CN"/>
        </w:rPr>
        <w:t>人</w:t>
      </w:r>
      <w:r>
        <w:rPr>
          <w:rFonts w:hint="eastAsia" w:ascii="仿宋" w:hAnsi="仿宋" w:eastAsia="仿宋" w:cs="仿宋"/>
          <w:b/>
          <w:bCs/>
          <w:color w:val="auto"/>
          <w:sz w:val="28"/>
          <w:szCs w:val="28"/>
          <w:highlight w:val="none"/>
          <w:lang w:val="zh-CN" w:eastAsia="zh-CN"/>
        </w:rPr>
        <w:t>（以下简称乙方）：</w:t>
      </w:r>
    </w:p>
    <w:p w14:paraId="63AA57DE">
      <w:pPr>
        <w:pStyle w:val="12"/>
        <w:shd w:val="clear"/>
        <w:ind w:left="440"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甲、乙双方根据20</w:t>
      </w:r>
      <w:r>
        <w:rPr>
          <w:rFonts w:hint="eastAsia" w:ascii="仿宋" w:hAnsi="仿宋" w:eastAsia="仿宋" w:cs="仿宋"/>
          <w:color w:val="auto"/>
          <w:sz w:val="24"/>
          <w:highlight w:val="none"/>
          <w:u w:val="single"/>
          <w:lang w:val="zh-CN" w:eastAsia="zh-CN"/>
        </w:rPr>
        <w:t xml:space="preserve">    </w:t>
      </w:r>
      <w:r>
        <w:rPr>
          <w:rFonts w:hint="eastAsia" w:ascii="仿宋" w:hAnsi="仿宋" w:eastAsia="仿宋" w:cs="仿宋"/>
          <w:color w:val="auto"/>
          <w:sz w:val="24"/>
          <w:highlight w:val="none"/>
          <w:lang w:val="zh-CN" w:eastAsia="zh-CN"/>
        </w:rPr>
        <w:t>年</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月</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日（</w:t>
      </w:r>
      <w:r>
        <w:rPr>
          <w:rFonts w:hint="eastAsia" w:ascii="仿宋" w:hAnsi="仿宋" w:eastAsia="仿宋" w:cs="仿宋"/>
          <w:i w:val="0"/>
          <w:iCs w:val="0"/>
          <w:caps w:val="0"/>
          <w:color w:val="auto"/>
          <w:spacing w:val="0"/>
          <w:sz w:val="24"/>
          <w:szCs w:val="24"/>
          <w:highlight w:val="none"/>
          <w:lang w:eastAsia="zh-CN"/>
        </w:rPr>
        <w:t>自治区文化和旅游厅态势感知平台升级和漏洞扫描服务项目</w:t>
      </w: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color w:val="auto"/>
          <w:sz w:val="24"/>
          <w:highlight w:val="none"/>
          <w:lang w:val="zh-CN" w:eastAsia="zh-CN"/>
        </w:rPr>
        <w:t>的竞争性磋商文件要求和采购人、采购代理机构出具的《中标通知书》，并经双方协商一致，签订本合同协议书。</w:t>
      </w:r>
    </w:p>
    <w:p w14:paraId="02B1939B">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一、签订本政府采购合同的依据</w:t>
      </w:r>
    </w:p>
    <w:p w14:paraId="19869EC0">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本政府采购合同所附下列文件是构成本政府采购合同不可分割的部分：</w:t>
      </w:r>
    </w:p>
    <w:p w14:paraId="46F8016B">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1.竞争性磋商文件；</w:t>
      </w:r>
    </w:p>
    <w:p w14:paraId="454ED458">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2.竞争性磋商文件的澄清、变更公告；</w:t>
      </w:r>
    </w:p>
    <w:p w14:paraId="1CC21627">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3.中标服务商提交的磋商响应文件；</w:t>
      </w:r>
    </w:p>
    <w:p w14:paraId="5381F189">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4.竞争性磋商文件中规定的政府采购合同通用条款；</w:t>
      </w:r>
    </w:p>
    <w:p w14:paraId="26707BA6">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5.中标通知书；</w:t>
      </w:r>
    </w:p>
    <w:p w14:paraId="73D4D657">
      <w:pPr>
        <w:shd w:val="clear"/>
        <w:autoSpaceDE w:val="0"/>
        <w:autoSpaceDN w:val="0"/>
        <w:spacing w:line="360" w:lineRule="auto"/>
        <w:ind w:firstLine="48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6.履约保证金缴费证明。</w:t>
      </w:r>
    </w:p>
    <w:p w14:paraId="575F1A36">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二、合同标的及金额                                       单位：元</w:t>
      </w:r>
    </w:p>
    <w:tbl>
      <w:tblPr>
        <w:tblStyle w:val="27"/>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14:paraId="6C93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14:paraId="7587AE47">
            <w:pPr>
              <w:shd w:val="clear"/>
              <w:spacing w:line="360" w:lineRule="auto"/>
              <w:ind w:firstLine="480"/>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14:paraId="0B810C48">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 </w:t>
            </w:r>
          </w:p>
        </w:tc>
      </w:tr>
      <w:tr w14:paraId="69B3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2F336530">
            <w:pPr>
              <w:pStyle w:val="20"/>
              <w:shd w:val="clear"/>
              <w:tabs>
                <w:tab w:val="right" w:leader="dot" w:pos="8393"/>
              </w:tabs>
              <w:rPr>
                <w:rFonts w:ascii="仿宋" w:hAnsi="仿宋" w:eastAsia="仿宋" w:cs="仿宋"/>
                <w:color w:val="auto"/>
                <w:sz w:val="24"/>
                <w:szCs w:val="24"/>
                <w:highlight w:val="none"/>
              </w:rPr>
            </w:pPr>
            <w:r>
              <w:rPr>
                <w:rStyle w:val="30"/>
                <w:rFonts w:hint="eastAsia" w:ascii="仿宋" w:hAnsi="仿宋" w:eastAsia="仿宋" w:cs="仿宋"/>
                <w:color w:val="auto"/>
                <w:sz w:val="24"/>
                <w:szCs w:val="24"/>
                <w:highlight w:val="none"/>
              </w:rPr>
              <w:t>序号</w:t>
            </w:r>
          </w:p>
        </w:tc>
        <w:tc>
          <w:tcPr>
            <w:tcW w:w="3871" w:type="dxa"/>
            <w:tcBorders>
              <w:top w:val="single" w:color="auto" w:sz="4" w:space="0"/>
              <w:left w:val="single" w:color="auto" w:sz="4" w:space="0"/>
              <w:bottom w:val="single" w:color="auto" w:sz="4" w:space="0"/>
              <w:right w:val="single" w:color="auto" w:sz="4" w:space="0"/>
            </w:tcBorders>
            <w:vAlign w:val="center"/>
          </w:tcPr>
          <w:p w14:paraId="344C5D21">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14:paraId="56717E1B">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费用</w:t>
            </w:r>
          </w:p>
        </w:tc>
        <w:tc>
          <w:tcPr>
            <w:tcW w:w="1901" w:type="dxa"/>
            <w:tcBorders>
              <w:top w:val="single" w:color="auto" w:sz="4" w:space="0"/>
              <w:left w:val="single" w:color="auto" w:sz="4" w:space="0"/>
              <w:bottom w:val="single" w:color="auto" w:sz="4" w:space="0"/>
              <w:right w:val="single" w:color="auto" w:sz="4" w:space="0"/>
            </w:tcBorders>
            <w:vAlign w:val="center"/>
          </w:tcPr>
          <w:p w14:paraId="3AC54EBB">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1730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42A455D7">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4954F092">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4D29AAB9">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6638AF70">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06A4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71228503">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202278E8">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335D409A">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2EF2ECD7">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31EC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05EAE633">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1A84EED4">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03FD514">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70841C1">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6EE3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0C8295A6">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705D7F5D">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3B31903">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36F97340">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48EF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BE2E79D">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4E585B55">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1F615F7">
            <w:pPr>
              <w:shd w:val="clear"/>
              <w:spacing w:line="360" w:lineRule="auto"/>
              <w:ind w:firstLine="480"/>
              <w:jc w:val="center"/>
              <w:rPr>
                <w:rFonts w:ascii="仿宋" w:hAnsi="仿宋" w:eastAsia="仿宋" w:cs="仿宋"/>
                <w:color w:val="auto"/>
                <w:sz w:val="24"/>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14:paraId="528EC299">
            <w:pPr>
              <w:shd w:val="clear"/>
              <w:spacing w:line="360" w:lineRule="auto"/>
              <w:ind w:firstLine="480"/>
              <w:jc w:val="center"/>
              <w:rPr>
                <w:rFonts w:ascii="仿宋" w:hAnsi="仿宋" w:eastAsia="仿宋" w:cs="仿宋"/>
                <w:color w:val="auto"/>
                <w:sz w:val="24"/>
                <w:highlight w:val="none"/>
              </w:rPr>
            </w:pPr>
          </w:p>
        </w:tc>
      </w:tr>
      <w:tr w14:paraId="347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B4A9820">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15A87451">
            <w:pPr>
              <w:shd w:val="clear"/>
              <w:ind w:firstLine="480"/>
              <w:jc w:val="center"/>
              <w:rPr>
                <w:rFonts w:ascii="仿宋" w:hAnsi="仿宋" w:eastAsia="仿宋" w:cs="仿宋"/>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0AFC187">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3B4AC26B">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1B23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9161BBF">
            <w:pPr>
              <w:shd w:val="clear"/>
              <w:spacing w:line="360" w:lineRule="auto"/>
              <w:ind w:firstLine="480"/>
              <w:jc w:val="center"/>
              <w:rPr>
                <w:rFonts w:ascii="仿宋" w:hAnsi="仿宋" w:eastAsia="仿宋" w:cs="仿宋"/>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77ABFF6F">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合    计</w:t>
            </w:r>
          </w:p>
        </w:tc>
        <w:tc>
          <w:tcPr>
            <w:tcW w:w="2009" w:type="dxa"/>
            <w:tcBorders>
              <w:top w:val="single" w:color="auto" w:sz="4" w:space="0"/>
              <w:left w:val="single" w:color="auto" w:sz="4" w:space="0"/>
              <w:bottom w:val="single" w:color="auto" w:sz="4" w:space="0"/>
              <w:right w:val="single" w:color="auto" w:sz="4" w:space="0"/>
            </w:tcBorders>
            <w:vAlign w:val="center"/>
          </w:tcPr>
          <w:p w14:paraId="62F95766">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D7AC72D">
            <w:pPr>
              <w:shd w:val="clea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w:t>
            </w:r>
          </w:p>
        </w:tc>
      </w:tr>
    </w:tbl>
    <w:p w14:paraId="59DFA384">
      <w:pPr>
        <w:shd w:val="clear"/>
        <w:autoSpaceDE w:val="0"/>
        <w:autoSpaceDN w:val="0"/>
        <w:spacing w:line="360" w:lineRule="auto"/>
        <w:rPr>
          <w:rFonts w:ascii="仿宋" w:hAnsi="仿宋" w:eastAsia="仿宋" w:cs="仿宋"/>
          <w:color w:val="auto"/>
          <w:sz w:val="24"/>
          <w:highlight w:val="none"/>
          <w:lang w:val="zh-CN"/>
        </w:rPr>
      </w:pPr>
    </w:p>
    <w:p w14:paraId="16E41E00">
      <w:pPr>
        <w:shd w:val="clear"/>
        <w:autoSpaceDE w:val="0"/>
        <w:autoSpaceDN w:val="0"/>
        <w:spacing w:line="360" w:lineRule="auto"/>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val="zh-CN" w:eastAsia="zh-CN"/>
        </w:rPr>
        <w:t>根据上述政府采购合同文件要求，本政府采购合同的总金额为人民币</w:t>
      </w:r>
      <w:r>
        <w:rPr>
          <w:rFonts w:hint="eastAsia" w:ascii="仿宋" w:hAnsi="仿宋" w:eastAsia="仿宋" w:cs="仿宋"/>
          <w:color w:val="auto"/>
          <w:sz w:val="24"/>
          <w:highlight w:val="none"/>
          <w:u w:val="single"/>
          <w:lang w:eastAsia="zh-CN"/>
        </w:rPr>
        <w:t xml:space="preserve">           </w:t>
      </w:r>
    </w:p>
    <w:p w14:paraId="588ACE34">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（大写）</w:t>
      </w:r>
      <w:r>
        <w:rPr>
          <w:rFonts w:hint="eastAsia" w:ascii="仿宋" w:hAnsi="仿宋" w:eastAsia="仿宋" w:cs="仿宋"/>
          <w:color w:val="auto"/>
          <w:sz w:val="24"/>
          <w:highlight w:val="none"/>
          <w:u w:val="single"/>
          <w:lang w:val="zh-CN" w:eastAsia="zh-CN"/>
        </w:rPr>
        <w:t xml:space="preserve">                 </w:t>
      </w:r>
      <w:r>
        <w:rPr>
          <w:rFonts w:hint="eastAsia" w:ascii="仿宋" w:hAnsi="仿宋" w:eastAsia="仿宋" w:cs="仿宋"/>
          <w:color w:val="auto"/>
          <w:sz w:val="24"/>
          <w:highlight w:val="none"/>
          <w:lang w:val="zh-CN" w:eastAsia="zh-CN"/>
        </w:rPr>
        <w:t>元。</w:t>
      </w:r>
    </w:p>
    <w:p w14:paraId="55832DCC">
      <w:pPr>
        <w:shd w:val="clear"/>
        <w:autoSpaceDE w:val="0"/>
        <w:autoSpaceDN w:val="0"/>
        <w:spacing w:line="360" w:lineRule="auto"/>
        <w:rPr>
          <w:rFonts w:ascii="仿宋" w:hAnsi="仿宋" w:eastAsia="仿宋" w:cs="仿宋"/>
          <w:color w:val="auto"/>
          <w:sz w:val="24"/>
          <w:highlight w:val="none"/>
          <w:u w:val="single"/>
          <w:lang w:val="zh-CN" w:eastAsia="zh-CN"/>
        </w:rPr>
      </w:pPr>
      <w:r>
        <w:rPr>
          <w:rFonts w:hint="eastAsia" w:ascii="仿宋" w:hAnsi="仿宋" w:eastAsia="仿宋" w:cs="仿宋"/>
          <w:color w:val="auto"/>
          <w:sz w:val="24"/>
          <w:highlight w:val="none"/>
          <w:lang w:val="zh-CN" w:eastAsia="zh-CN"/>
        </w:rPr>
        <w:t>本合同以人民币进行结算，合同总价包括：</w:t>
      </w:r>
      <w:r>
        <w:rPr>
          <w:rFonts w:hint="eastAsia" w:ascii="仿宋" w:hAnsi="仿宋" w:eastAsia="仿宋" w:cs="仿宋"/>
          <w:color w:val="auto"/>
          <w:sz w:val="24"/>
          <w:highlight w:val="none"/>
          <w:u w:val="single"/>
          <w:lang w:val="zh-CN" w:eastAsia="zh-CN"/>
        </w:rPr>
        <w:t>服务费、人员费用、技术支持费、保险费、差旅费、税金及其他不可预见费等全部费用。</w:t>
      </w:r>
    </w:p>
    <w:p w14:paraId="6469C1B4">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三、交付时间、地点和要求</w:t>
      </w:r>
    </w:p>
    <w:p w14:paraId="3CE4EB08">
      <w:pPr>
        <w:shd w:val="clear"/>
        <w:spacing w:line="360" w:lineRule="auto"/>
        <w:ind w:firstLine="600" w:firstLineChars="25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w:t>
      </w:r>
      <w:r>
        <w:rPr>
          <w:rFonts w:hint="eastAsia" w:ascii="仿宋" w:hAnsi="仿宋" w:eastAsia="仿宋" w:cs="仿宋"/>
          <w:color w:val="auto"/>
          <w:sz w:val="24"/>
          <w:highlight w:val="none"/>
          <w:lang w:eastAsia="zh-CN"/>
        </w:rPr>
        <w:t>服务期：</w:t>
      </w:r>
      <w:r>
        <w:rPr>
          <w:rFonts w:hint="eastAsia" w:ascii="仿宋" w:hAnsi="仿宋" w:eastAsia="仿宋" w:cs="仿宋"/>
          <w:i w:val="0"/>
          <w:iCs w:val="0"/>
          <w:caps w:val="0"/>
          <w:color w:val="auto"/>
          <w:spacing w:val="0"/>
          <w:sz w:val="24"/>
          <w:szCs w:val="24"/>
          <w:highlight w:val="none"/>
          <w:lang w:val="en-US" w:eastAsia="zh-CN"/>
        </w:rPr>
        <w:t>年  月  日前完成本项目所有工作内容并通过验收</w:t>
      </w:r>
      <w:r>
        <w:rPr>
          <w:rFonts w:hint="eastAsia" w:ascii="仿宋" w:hAnsi="仿宋" w:eastAsia="仿宋" w:cs="仿宋"/>
          <w:i w:val="0"/>
          <w:iCs w:val="0"/>
          <w:caps w:val="0"/>
          <w:color w:val="auto"/>
          <w:spacing w:val="0"/>
          <w:sz w:val="24"/>
          <w:szCs w:val="24"/>
          <w:highlight w:val="none"/>
          <w:lang w:eastAsia="zh-CN"/>
        </w:rPr>
        <w:t>。</w:t>
      </w:r>
    </w:p>
    <w:p w14:paraId="3F550C79">
      <w:pPr>
        <w:shd w:val="clear"/>
        <w:autoSpaceDE w:val="0"/>
        <w:autoSpaceDN w:val="0"/>
        <w:spacing w:line="360" w:lineRule="auto"/>
        <w:ind w:firstLine="720" w:firstLineChars="300"/>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 xml:space="preserve"> 服务</w:t>
      </w:r>
      <w:r>
        <w:rPr>
          <w:rFonts w:hint="eastAsia" w:ascii="仿宋" w:hAnsi="仿宋" w:eastAsia="仿宋" w:cs="仿宋"/>
          <w:color w:val="auto"/>
          <w:sz w:val="24"/>
          <w:highlight w:val="none"/>
          <w:lang w:val="zh-CN" w:eastAsia="zh-CN"/>
        </w:rPr>
        <w:t>地点：</w:t>
      </w:r>
      <w:r>
        <w:rPr>
          <w:rFonts w:hint="eastAsia" w:ascii="仿宋" w:hAnsi="仿宋" w:eastAsia="仿宋" w:cs="仿宋"/>
          <w:color w:val="auto"/>
          <w:sz w:val="24"/>
          <w:highlight w:val="none"/>
          <w:lang w:eastAsia="zh-CN"/>
        </w:rPr>
        <w:t>采购人指定地点</w:t>
      </w:r>
      <w:r>
        <w:rPr>
          <w:rFonts w:hint="eastAsia" w:ascii="仿宋" w:hAnsi="仿宋" w:eastAsia="仿宋" w:cs="仿宋"/>
          <w:color w:val="auto"/>
          <w:sz w:val="24"/>
          <w:highlight w:val="none"/>
          <w:lang w:val="zh-CN" w:eastAsia="zh-CN"/>
        </w:rPr>
        <w:t>。</w:t>
      </w:r>
    </w:p>
    <w:p w14:paraId="55303049">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zh-CN" w:eastAsia="zh-CN"/>
        </w:rPr>
        <w:t>.乙方提供不符合招响应文件和本合同规定的服务，甲方有权拒绝接受。</w:t>
      </w:r>
    </w:p>
    <w:p w14:paraId="0D5EFD15">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zh-CN" w:eastAsia="zh-CN"/>
        </w:rPr>
        <w:t>.乙方应无条件接受甲方对工作进度的调查和督促并提供成果质量检查按照检查意见对调查成果进行补充调查和修改。因成果质量造成的返工、修改，经济损失由乙方承担。</w:t>
      </w:r>
    </w:p>
    <w:p w14:paraId="03DDFC0E">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zh-CN" w:eastAsia="zh-CN"/>
        </w:rPr>
        <w:t>.乙方在项目实施过程中应保证安全，如造成人员伤亡或财产损失，由乙方自负法律责任。</w:t>
      </w:r>
    </w:p>
    <w:p w14:paraId="3CF50BCD">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甲方应提供该项目验收报告交同级财政监管部门，由财政部门按规定程序抽验后办理资金拨付。</w:t>
      </w:r>
    </w:p>
    <w:p w14:paraId="1CD14824">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lang w:val="zh-CN" w:eastAsia="zh-CN"/>
        </w:rPr>
        <w:t>. 甲方在验收过程中发现乙方有违约问题，可按招、响应文件的规定要求乙方及时予以解决。</w:t>
      </w:r>
    </w:p>
    <w:p w14:paraId="75C00CD9">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lang w:val="zh-CN" w:eastAsia="zh-CN"/>
        </w:rPr>
        <w:t>.乙方向甲方提供设备相关完税销售发票。</w:t>
      </w:r>
    </w:p>
    <w:p w14:paraId="1F7C75D1">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lang w:val="zh-CN" w:eastAsia="zh-CN"/>
        </w:rPr>
        <w:t>.未经甲方同意，乙方不得转包分包项目。</w:t>
      </w:r>
    </w:p>
    <w:p w14:paraId="67D693ED">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四、付款方式</w:t>
      </w:r>
    </w:p>
    <w:p w14:paraId="603FBBFE">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付款方式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合同签订后支付总项目款的  %，项目完成并通过验收后支付剩余  %</w:t>
      </w:r>
      <w:r>
        <w:rPr>
          <w:rFonts w:hint="eastAsia" w:ascii="仿宋" w:hAnsi="仿宋" w:eastAsia="仿宋" w:cs="仿宋"/>
          <w:color w:val="auto"/>
          <w:sz w:val="24"/>
          <w:highlight w:val="none"/>
          <w:lang w:eastAsia="zh-CN"/>
        </w:rPr>
        <w:t>；付款前，成交供应商须提供合法的当届结算金额全额增值税发票并经采购人财务审核后方可付款</w:t>
      </w:r>
      <w:r>
        <w:rPr>
          <w:rStyle w:val="35"/>
          <w:rFonts w:hint="eastAsia" w:ascii="仿宋" w:hAnsi="仿宋" w:eastAsia="仿宋" w:cs="仿宋"/>
          <w:color w:val="auto"/>
          <w:sz w:val="24"/>
          <w:szCs w:val="24"/>
          <w:highlight w:val="none"/>
          <w:lang w:eastAsia="zh-CN"/>
        </w:rPr>
        <w:t>。</w:t>
      </w:r>
      <w:bookmarkStart w:id="228" w:name="_GoBack"/>
      <w:bookmarkEnd w:id="228"/>
    </w:p>
    <w:p w14:paraId="0018DE3F">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lang w:val="zh-CN" w:eastAsia="zh-CN"/>
        </w:rPr>
        <w:t>合同的变更、终止与转让</w:t>
      </w:r>
    </w:p>
    <w:p w14:paraId="6D67495F">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甲乙双方如违反本合同规定，应承担违约责任和相应的经济处罚。具体规定如下：</w:t>
      </w:r>
    </w:p>
    <w:p w14:paraId="3034F33B">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1.除《中华人民共和国政府采购法》第50条规定的情形外，本合同一经签订，甲乙双方不得擅自变更、中止或终止。</w:t>
      </w:r>
    </w:p>
    <w:p w14:paraId="2372CDB3">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2.乙方不得擅自转让其应履行的合同义务。</w:t>
      </w:r>
    </w:p>
    <w:p w14:paraId="3EE2169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六、违约责任</w:t>
      </w:r>
    </w:p>
    <w:p w14:paraId="75B3F1F3">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3.因甲方原因造成乙方停工、返工及合同停止，乙方不承担违约责任。</w:t>
      </w:r>
    </w:p>
    <w:p w14:paraId="7EEC23AF">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4.经甲方组织的人员审查发现，乙方未按采购人要求完成工作内容，甲方有权要求乙方返工。</w:t>
      </w:r>
    </w:p>
    <w:p w14:paraId="0F93CB67">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仿宋" w:hAnsi="仿宋" w:eastAsia="仿宋" w:cs="仿宋"/>
          <w:color w:val="auto"/>
          <w:sz w:val="24"/>
          <w:highlight w:val="none"/>
          <w:lang w:eastAsia="zh-CN"/>
        </w:rPr>
        <w:t>0</w:t>
      </w:r>
      <w:r>
        <w:rPr>
          <w:rFonts w:hint="eastAsia" w:ascii="仿宋" w:hAnsi="仿宋" w:eastAsia="仿宋" w:cs="仿宋"/>
          <w:color w:val="auto"/>
          <w:sz w:val="24"/>
          <w:highlight w:val="none"/>
          <w:lang w:val="zh-CN" w:eastAsia="zh-CN"/>
        </w:rPr>
        <w:t>%的违约金；延迟提供服务、交付服务成果违约金从合同总价款中支付。</w:t>
      </w:r>
    </w:p>
    <w:p w14:paraId="37497851">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6. 乙方未经甲方同意将项目中的全部或部分工作任务分包给第三方，或将项目转包给第三方承担，甲方有权要求乙方予以纠正或解除合同。</w:t>
      </w:r>
    </w:p>
    <w:p w14:paraId="54682DC7">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0EA6CE3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8.甲乙双方任何一方由于不可抗拒的原因不能履行合同时，应及时向对方通报不能履行或不能完全履行的理由，根据具体情况可部分或全部免于承担违约责任。</w:t>
      </w:r>
    </w:p>
    <w:p w14:paraId="593DC1EE">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lang w:val="zh-CN" w:eastAsia="zh-CN"/>
        </w:rPr>
        <w:t>、不可抗力</w:t>
      </w:r>
    </w:p>
    <w:p w14:paraId="0829EB1C">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1.不可抗力使合同的某些内容有变更必要的，双方应通过协商在   天内达成进一步履行合同的协议，因不可抗力致使合同不能履行的，合同终止。</w:t>
      </w:r>
    </w:p>
    <w:p w14:paraId="5B466F37">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2.除法律、法规规定的不可抗力情形外，双方约定出现 </w:t>
      </w:r>
      <w:r>
        <w:rPr>
          <w:rFonts w:hint="eastAsia" w:ascii="仿宋" w:hAnsi="仿宋" w:eastAsia="仿宋" w:cs="仿宋"/>
          <w:color w:val="auto"/>
          <w:sz w:val="24"/>
          <w:highlight w:val="none"/>
          <w:u w:val="single"/>
          <w:lang w:val="zh-CN" w:eastAsia="zh-CN"/>
        </w:rPr>
        <w:t xml:space="preserve">        </w:t>
      </w:r>
      <w:r>
        <w:rPr>
          <w:rFonts w:hint="eastAsia" w:ascii="仿宋" w:hAnsi="仿宋" w:eastAsia="仿宋" w:cs="仿宋"/>
          <w:color w:val="auto"/>
          <w:sz w:val="24"/>
          <w:highlight w:val="none"/>
          <w:lang w:val="zh-CN" w:eastAsia="zh-CN"/>
        </w:rPr>
        <w:t>情况亦视为不可抗力。</w:t>
      </w:r>
    </w:p>
    <w:p w14:paraId="0169B55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八、成果和资料的保密与归属；</w:t>
      </w:r>
    </w:p>
    <w:p w14:paraId="606DCB95">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7B5BCB75">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428774BE">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3.本保密条款具有独立法律效力，不因合同其他条款无效或解除而失效。合同终止后，甲乙双方亦应持续履行本条所述各项保密责任。</w:t>
      </w:r>
    </w:p>
    <w:p w14:paraId="7F316C55">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九、其他约定：无</w:t>
      </w:r>
    </w:p>
    <w:p w14:paraId="29407216">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十、合同争议解决</w:t>
      </w:r>
    </w:p>
    <w:p w14:paraId="79681D1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1.因履行本合同引起的或与本合同有关的争议，甲乙双方应首先通过友好协商解决，如果协商不能解决，可向甲方所在地仲裁委员会申请仲裁或向甲方所在地人民法院提起诉讼。</w:t>
      </w:r>
    </w:p>
    <w:p w14:paraId="39077D20">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3.诉讼期间，本合同继续履行。</w:t>
      </w:r>
    </w:p>
    <w:p w14:paraId="1421CF36">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十</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lang w:val="zh-CN" w:eastAsia="zh-CN"/>
        </w:rPr>
        <w:t>、合同生效及其它：</w:t>
      </w:r>
    </w:p>
    <w:p w14:paraId="715AE93A">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1.本合同一式八份，经双方签字，并加盖公章即为生效。</w:t>
      </w:r>
    </w:p>
    <w:p w14:paraId="772DC85B">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2.本合同未尽事宜，按《中华人民共和国民法典》有关规定处理。</w:t>
      </w:r>
    </w:p>
    <w:p w14:paraId="584EEDEC">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3.本合同的组成包含《合同通用条款》，可自行在政府采购网下载《合同通用条款》。</w:t>
      </w:r>
    </w:p>
    <w:p w14:paraId="286E204A">
      <w:pPr>
        <w:shd w:val="clear"/>
        <w:autoSpaceDE w:val="0"/>
        <w:autoSpaceDN w:val="0"/>
        <w:spacing w:line="360" w:lineRule="auto"/>
        <w:rPr>
          <w:rFonts w:ascii="仿宋" w:hAnsi="仿宋" w:eastAsia="仿宋" w:cs="仿宋"/>
          <w:color w:val="auto"/>
          <w:sz w:val="24"/>
          <w:highlight w:val="none"/>
          <w:lang w:val="zh-CN" w:eastAsia="zh-CN"/>
        </w:rPr>
      </w:pPr>
    </w:p>
    <w:p w14:paraId="48108DE7">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甲方（盖章）：                         乙方（盖章）：</w:t>
      </w:r>
    </w:p>
    <w:p w14:paraId="1998CB2E">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法定代表人或委托代理人：               法定代表人或委托代理人：</w:t>
      </w:r>
    </w:p>
    <w:p w14:paraId="50323D52">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                                       开户银行：     </w:t>
      </w:r>
    </w:p>
    <w:p w14:paraId="7ED4918F">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联系电话：                             账号：</w:t>
      </w:r>
    </w:p>
    <w:p w14:paraId="1319086C">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                                       联系电话：</w:t>
      </w:r>
    </w:p>
    <w:p w14:paraId="21AD23B2">
      <w:pPr>
        <w:shd w:val="clear"/>
        <w:autoSpaceDE w:val="0"/>
        <w:autoSpaceDN w:val="0"/>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签约时间：  年  月  日</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负责人或经办人：</w:t>
      </w:r>
    </w:p>
    <w:p w14:paraId="477FF32F">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合同备案时间：   年   月    日</w:t>
      </w:r>
    </w:p>
    <w:p w14:paraId="0DDB24CF">
      <w:pPr>
        <w:shd w:val="clear"/>
        <w:autoSpaceDE w:val="0"/>
        <w:autoSpaceDN w:val="0"/>
        <w:spacing w:line="360" w:lineRule="auto"/>
        <w:rPr>
          <w:rFonts w:ascii="仿宋" w:hAnsi="仿宋" w:eastAsia="仿宋" w:cs="仿宋"/>
          <w:color w:val="auto"/>
          <w:sz w:val="24"/>
          <w:highlight w:val="none"/>
          <w:lang w:eastAsia="zh-CN"/>
        </w:rPr>
      </w:pPr>
    </w:p>
    <w:p w14:paraId="2B22B69E">
      <w:pPr>
        <w:pStyle w:val="10"/>
        <w:shd w:val="clear"/>
        <w:rPr>
          <w:rFonts w:ascii="仿宋" w:hAnsi="仿宋" w:eastAsia="仿宋" w:cs="仿宋"/>
          <w:color w:val="auto"/>
          <w:sz w:val="24"/>
          <w:highlight w:val="none"/>
          <w:lang w:eastAsia="zh-CN"/>
        </w:rPr>
      </w:pPr>
    </w:p>
    <w:p w14:paraId="0F6CC62F">
      <w:pPr>
        <w:pStyle w:val="10"/>
        <w:shd w:val="clear"/>
        <w:rPr>
          <w:rFonts w:ascii="仿宋" w:hAnsi="仿宋" w:eastAsia="仿宋" w:cs="仿宋"/>
          <w:color w:val="auto"/>
          <w:sz w:val="24"/>
          <w:highlight w:val="none"/>
          <w:lang w:eastAsia="zh-CN"/>
        </w:rPr>
      </w:pPr>
    </w:p>
    <w:p w14:paraId="1CFF9B85">
      <w:pPr>
        <w:pStyle w:val="10"/>
        <w:shd w:val="clear"/>
        <w:rPr>
          <w:rFonts w:ascii="仿宋" w:hAnsi="仿宋" w:eastAsia="仿宋" w:cs="仿宋"/>
          <w:color w:val="auto"/>
          <w:sz w:val="24"/>
          <w:highlight w:val="none"/>
          <w:lang w:eastAsia="zh-CN"/>
        </w:rPr>
      </w:pPr>
    </w:p>
    <w:p w14:paraId="2EC15314">
      <w:pPr>
        <w:pStyle w:val="10"/>
        <w:shd w:val="clear"/>
        <w:rPr>
          <w:rFonts w:ascii="仿宋" w:hAnsi="仿宋" w:eastAsia="仿宋" w:cs="仿宋"/>
          <w:color w:val="auto"/>
          <w:sz w:val="24"/>
          <w:highlight w:val="none"/>
          <w:lang w:eastAsia="zh-CN"/>
        </w:rPr>
      </w:pPr>
    </w:p>
    <w:p w14:paraId="01BE8F5D">
      <w:pPr>
        <w:pStyle w:val="10"/>
        <w:shd w:val="clear"/>
        <w:rPr>
          <w:rFonts w:ascii="仿宋" w:hAnsi="仿宋" w:eastAsia="仿宋" w:cs="仿宋"/>
          <w:color w:val="auto"/>
          <w:sz w:val="24"/>
          <w:highlight w:val="none"/>
          <w:lang w:eastAsia="zh-CN"/>
        </w:rPr>
      </w:pPr>
    </w:p>
    <w:p w14:paraId="62328FC2">
      <w:pPr>
        <w:shd w:val="clear"/>
        <w:autoSpaceDE w:val="0"/>
        <w:autoSpaceDN w:val="0"/>
        <w:spacing w:line="360" w:lineRule="auto"/>
        <w:jc w:val="center"/>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zh-CN" w:eastAsia="zh-CN"/>
        </w:rPr>
        <w:t>合同通用条款</w:t>
      </w:r>
    </w:p>
    <w:p w14:paraId="51983E03">
      <w:pPr>
        <w:shd w:val="clear"/>
        <w:autoSpaceDE w:val="0"/>
        <w:autoSpaceDN w:val="0"/>
        <w:adjustRightInd w:val="0"/>
        <w:spacing w:line="360" w:lineRule="auto"/>
        <w:rPr>
          <w:rFonts w:ascii="仿宋" w:hAnsi="仿宋" w:eastAsia="仿宋" w:cs="仿宋"/>
          <w:color w:val="auto"/>
          <w:sz w:val="24"/>
          <w:highlight w:val="none"/>
          <w:lang w:eastAsia="zh-CN"/>
        </w:rPr>
      </w:pPr>
    </w:p>
    <w:p w14:paraId="2CBC2608">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根据《中华人民共和国民法典》、《中华人民共和国政府采购法》的规定，合同双方经协商达成一致，自愿订立本合同，遵循公平原则明确双方的权利、义务，确保双方诚实守信地履行合同。</w:t>
      </w:r>
    </w:p>
    <w:p w14:paraId="18DB1EC6">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zh-CN" w:eastAsia="zh-CN"/>
        </w:rPr>
        <w:t>定义</w:t>
      </w:r>
    </w:p>
    <w:p w14:paraId="436DC4F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本合同中的下列术语应解释为：</w:t>
      </w:r>
    </w:p>
    <w:p w14:paraId="7179002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 </w:t>
      </w:r>
      <w:r>
        <w:rPr>
          <w:rFonts w:hint="eastAsia" w:ascii="仿宋" w:hAnsi="仿宋" w:eastAsia="仿宋" w:cs="仿宋"/>
          <w:color w:val="auto"/>
          <w:sz w:val="24"/>
          <w:highlight w:val="none"/>
          <w:lang w:val="zh-CN" w:eastAsia="zh-CN"/>
        </w:rPr>
        <w:t>“合同”指甲乙双方签署的、载明的甲乙双方权利义务的协议，包括所有的附件、附录和上述文件所提到的构成合同的所有文件。</w:t>
      </w:r>
    </w:p>
    <w:p w14:paraId="44714E4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 </w:t>
      </w:r>
      <w:r>
        <w:rPr>
          <w:rFonts w:hint="eastAsia" w:ascii="仿宋" w:hAnsi="仿宋" w:eastAsia="仿宋" w:cs="仿宋"/>
          <w:color w:val="auto"/>
          <w:sz w:val="24"/>
          <w:highlight w:val="none"/>
          <w:lang w:val="zh-CN" w:eastAsia="zh-CN"/>
        </w:rPr>
        <w:t>“合同金额”指根据合同规定，乙方在正确地完全履行合同义务后甲方应付给乙方的价款。</w:t>
      </w:r>
    </w:p>
    <w:p w14:paraId="659D6A9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1.3 </w:t>
      </w:r>
      <w:r>
        <w:rPr>
          <w:rFonts w:hint="eastAsia" w:ascii="仿宋" w:hAnsi="仿宋" w:eastAsia="仿宋" w:cs="仿宋"/>
          <w:color w:val="auto"/>
          <w:sz w:val="24"/>
          <w:highlight w:val="none"/>
          <w:lang w:val="zh-CN" w:eastAsia="zh-CN"/>
        </w:rPr>
        <w:t>“合同条款”指本合同条款。</w:t>
      </w:r>
    </w:p>
    <w:p w14:paraId="167F3F0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 </w:t>
      </w:r>
      <w:r>
        <w:rPr>
          <w:rFonts w:hint="eastAsia" w:ascii="仿宋" w:hAnsi="仿宋" w:eastAsia="仿宋" w:cs="仿宋"/>
          <w:color w:val="auto"/>
          <w:sz w:val="24"/>
          <w:highlight w:val="none"/>
          <w:lang w:val="zh-CN" w:eastAsia="zh-CN"/>
        </w:rPr>
        <w:t>“服务”指根据本合同规定乙方承担与供货有关的辅助服务，如提供技术援助、培训和合同中规定乙方应承担的其它义务。</w:t>
      </w:r>
    </w:p>
    <w:p w14:paraId="3248386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1.5 </w:t>
      </w:r>
      <w:r>
        <w:rPr>
          <w:rFonts w:hint="eastAsia" w:ascii="仿宋" w:hAnsi="仿宋" w:eastAsia="仿宋" w:cs="仿宋"/>
          <w:color w:val="auto"/>
          <w:sz w:val="24"/>
          <w:highlight w:val="none"/>
          <w:lang w:val="zh-CN" w:eastAsia="zh-CN"/>
        </w:rPr>
        <w:t>“甲方”指购买服务的单位。</w:t>
      </w:r>
    </w:p>
    <w:p w14:paraId="60BDF91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1.6 </w:t>
      </w:r>
      <w:r>
        <w:rPr>
          <w:rFonts w:hint="eastAsia" w:ascii="仿宋" w:hAnsi="仿宋" w:eastAsia="仿宋" w:cs="仿宋"/>
          <w:color w:val="auto"/>
          <w:sz w:val="24"/>
          <w:highlight w:val="none"/>
          <w:lang w:val="zh-CN" w:eastAsia="zh-CN"/>
        </w:rPr>
        <w:t>“乙方”指提供本合同条款下服务的公司或其他实体。</w:t>
      </w:r>
    </w:p>
    <w:p w14:paraId="5F5C60C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 </w:t>
      </w:r>
      <w:r>
        <w:rPr>
          <w:rFonts w:hint="eastAsia" w:ascii="仿宋" w:hAnsi="仿宋" w:eastAsia="仿宋" w:cs="仿宋"/>
          <w:color w:val="auto"/>
          <w:sz w:val="24"/>
          <w:highlight w:val="none"/>
          <w:lang w:val="zh-CN" w:eastAsia="zh-CN"/>
        </w:rPr>
        <w:t>“现场”指合同规定</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地点。</w:t>
      </w:r>
    </w:p>
    <w:p w14:paraId="0FECB75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1.8 </w:t>
      </w:r>
      <w:r>
        <w:rPr>
          <w:rFonts w:hint="eastAsia" w:ascii="仿宋" w:hAnsi="仿宋" w:eastAsia="仿宋" w:cs="仿宋"/>
          <w:color w:val="auto"/>
          <w:sz w:val="24"/>
          <w:highlight w:val="none"/>
          <w:lang w:val="zh-CN" w:eastAsia="zh-CN"/>
        </w:rPr>
        <w:t>“验收”指合同双方依据强制性的国家技术质量规范和合同约定，确认合同条款下的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符合合同规定的活动。</w:t>
      </w:r>
    </w:p>
    <w:p w14:paraId="506CCE0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1.9 </w:t>
      </w:r>
      <w:r>
        <w:rPr>
          <w:rFonts w:hint="eastAsia" w:ascii="仿宋" w:hAnsi="仿宋" w:eastAsia="仿宋" w:cs="仿宋"/>
          <w:color w:val="auto"/>
          <w:sz w:val="24"/>
          <w:highlight w:val="none"/>
          <w:lang w:val="zh-CN" w:eastAsia="zh-CN"/>
        </w:rPr>
        <w:t>原产地：指提供服务的来源地。</w:t>
      </w:r>
    </w:p>
    <w:p w14:paraId="7203439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1.10 </w:t>
      </w:r>
      <w:r>
        <w:rPr>
          <w:rFonts w:hint="eastAsia" w:ascii="仿宋" w:hAnsi="仿宋" w:eastAsia="仿宋" w:cs="仿宋"/>
          <w:color w:val="auto"/>
          <w:sz w:val="24"/>
          <w:highlight w:val="none"/>
          <w:lang w:val="zh-CN" w:eastAsia="zh-CN"/>
        </w:rPr>
        <w:t>“工作日”指国家法定工作日，“天”指日历天数。</w:t>
      </w:r>
    </w:p>
    <w:p w14:paraId="51C7C3E0">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lang w:val="zh-CN" w:eastAsia="zh-CN"/>
        </w:rPr>
        <w:t>合同范围</w:t>
      </w:r>
    </w:p>
    <w:p w14:paraId="6B664E12">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2.1 </w:t>
      </w:r>
      <w:r>
        <w:rPr>
          <w:rFonts w:hint="eastAsia" w:ascii="仿宋" w:hAnsi="仿宋" w:eastAsia="仿宋" w:cs="仿宋"/>
          <w:color w:val="auto"/>
          <w:sz w:val="24"/>
          <w:highlight w:val="none"/>
          <w:lang w:val="zh-CN" w:eastAsia="zh-CN"/>
        </w:rPr>
        <w:t>甲方同意从乙方处购买且乙方同意向甲方提供的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及其附属</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，包括各项技术服务、技术培训及满足合同技术服务、性能测试、正常运行及维修所必需的技术文件。</w:t>
      </w:r>
    </w:p>
    <w:p w14:paraId="14E5518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2.2 </w:t>
      </w:r>
      <w:r>
        <w:rPr>
          <w:rFonts w:hint="eastAsia" w:ascii="仿宋" w:hAnsi="仿宋" w:eastAsia="仿宋" w:cs="仿宋"/>
          <w:color w:val="auto"/>
          <w:sz w:val="24"/>
          <w:highlight w:val="none"/>
          <w:lang w:val="zh-CN" w:eastAsia="zh-CN"/>
        </w:rPr>
        <w:t>乙方应负责培训甲方的技术人员。</w:t>
      </w:r>
    </w:p>
    <w:p w14:paraId="514471C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2.3 </w:t>
      </w:r>
      <w:r>
        <w:rPr>
          <w:rFonts w:hint="eastAsia" w:ascii="仿宋" w:hAnsi="仿宋" w:eastAsia="仿宋" w:cs="仿宋"/>
          <w:color w:val="auto"/>
          <w:sz w:val="24"/>
          <w:highlight w:val="none"/>
          <w:lang w:val="zh-CN" w:eastAsia="zh-CN"/>
        </w:rPr>
        <w:t>按照甲方的要求，乙方应在合同规定的</w:t>
      </w: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lang w:val="zh-CN" w:eastAsia="zh-CN"/>
        </w:rPr>
        <w:t>内，对软件设备进行免费升级，同时在合同规定的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期满后，以最优惠的价格，向买方提供合同所需的配件及服务。</w:t>
      </w:r>
    </w:p>
    <w:p w14:paraId="2DF2CC2D">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3.</w:t>
      </w:r>
      <w:r>
        <w:rPr>
          <w:rFonts w:hint="eastAsia" w:ascii="仿宋" w:hAnsi="仿宋" w:eastAsia="仿宋" w:cs="仿宋"/>
          <w:b/>
          <w:bCs/>
          <w:color w:val="auto"/>
          <w:sz w:val="24"/>
          <w:highlight w:val="none"/>
          <w:lang w:val="zh-CN" w:eastAsia="zh-CN"/>
        </w:rPr>
        <w:t>合同文件和资料</w:t>
      </w:r>
    </w:p>
    <w:p w14:paraId="1D0A5E4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3.1 </w:t>
      </w:r>
      <w:r>
        <w:rPr>
          <w:rFonts w:hint="eastAsia" w:ascii="仿宋" w:hAnsi="仿宋" w:eastAsia="仿宋" w:cs="仿宋"/>
          <w:color w:val="auto"/>
          <w:sz w:val="24"/>
          <w:highlight w:val="none"/>
          <w:lang w:val="zh-CN" w:eastAsia="zh-CN"/>
        </w:rPr>
        <w:t>乙方在提供</w:t>
      </w:r>
      <w:r>
        <w:rPr>
          <w:rFonts w:hint="eastAsia" w:ascii="仿宋" w:hAnsi="仿宋" w:eastAsia="仿宋" w:cs="仿宋"/>
          <w:color w:val="auto"/>
          <w:sz w:val="24"/>
          <w:highlight w:val="none"/>
          <w:lang w:eastAsia="zh-CN"/>
        </w:rPr>
        <w:t>技术服务</w:t>
      </w:r>
      <w:r>
        <w:rPr>
          <w:rFonts w:hint="eastAsia" w:ascii="仿宋" w:hAnsi="仿宋" w:eastAsia="仿宋" w:cs="仿宋"/>
          <w:color w:val="auto"/>
          <w:sz w:val="24"/>
          <w:highlight w:val="none"/>
          <w:lang w:val="zh-CN" w:eastAsia="zh-CN"/>
        </w:rPr>
        <w:t>时应同时提供中文版相关的技术资料，如目录索引、操作手册、使用指南、维修指南、服务手册等。</w:t>
      </w:r>
    </w:p>
    <w:p w14:paraId="2D1DC2F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3.2 </w:t>
      </w:r>
      <w:r>
        <w:rPr>
          <w:rFonts w:hint="eastAsia" w:ascii="仿宋" w:hAnsi="仿宋" w:eastAsia="仿宋" w:cs="仿宋"/>
          <w:color w:val="auto"/>
          <w:sz w:val="24"/>
          <w:highlight w:val="none"/>
          <w:lang w:val="zh-CN" w:eastAsia="zh-CN"/>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7F3CC276">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lang w:val="zh-CN" w:eastAsia="zh-CN"/>
        </w:rPr>
        <w:t>知识产权</w:t>
      </w:r>
    </w:p>
    <w:p w14:paraId="7C055AE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4.1 </w:t>
      </w:r>
      <w:r>
        <w:rPr>
          <w:rFonts w:hint="eastAsia" w:ascii="仿宋" w:hAnsi="仿宋" w:eastAsia="仿宋" w:cs="仿宋"/>
          <w:color w:val="auto"/>
          <w:sz w:val="24"/>
          <w:highlight w:val="none"/>
          <w:lang w:val="zh-CN" w:eastAsia="zh-CN"/>
        </w:rPr>
        <w:t>乙方应保证甲方在使用该货物或其任何一部分时不受第三方提出的侵犯专利权、著作权、商标权和工业设计权等的起诉。</w:t>
      </w:r>
    </w:p>
    <w:p w14:paraId="4789F017">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4.2 </w:t>
      </w:r>
      <w:r>
        <w:rPr>
          <w:rFonts w:hint="eastAsia" w:ascii="仿宋" w:hAnsi="仿宋" w:eastAsia="仿宋" w:cs="仿宋"/>
          <w:color w:val="auto"/>
          <w:sz w:val="24"/>
          <w:highlight w:val="none"/>
          <w:lang w:val="zh-CN" w:eastAsia="zh-CN"/>
        </w:rPr>
        <w:t>任何第三方提出侵权指控，乙方须与第三方交涉并承担由此产生的一切责任、费用和经济赔偿。</w:t>
      </w:r>
    </w:p>
    <w:p w14:paraId="525065C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4.3 </w:t>
      </w:r>
      <w:r>
        <w:rPr>
          <w:rFonts w:hint="eastAsia" w:ascii="仿宋" w:hAnsi="仿宋" w:eastAsia="仿宋" w:cs="仿宋"/>
          <w:color w:val="auto"/>
          <w:sz w:val="24"/>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20A2761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4.4 </w:t>
      </w:r>
      <w:r>
        <w:rPr>
          <w:rFonts w:hint="eastAsia" w:ascii="仿宋" w:hAnsi="仿宋" w:eastAsia="仿宋" w:cs="仿宋"/>
          <w:color w:val="auto"/>
          <w:sz w:val="24"/>
          <w:highlight w:val="none"/>
          <w:lang w:val="zh-CN" w:eastAsia="zh-CN"/>
        </w:rPr>
        <w:t>在本合同生效时已经存在并为各方合法拥有或使用的所有技术、资料和信息的知识产权，仍应属于其各自的原权利人所有或享有，另有约定的除外。</w:t>
      </w:r>
    </w:p>
    <w:p w14:paraId="50C5AC4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4.5 </w:t>
      </w:r>
      <w:r>
        <w:rPr>
          <w:rFonts w:hint="eastAsia" w:ascii="仿宋" w:hAnsi="仿宋" w:eastAsia="仿宋" w:cs="仿宋"/>
          <w:color w:val="auto"/>
          <w:sz w:val="24"/>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4D9ECF60">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lang w:val="zh-CN" w:eastAsia="zh-CN"/>
        </w:rPr>
        <w:t>保密</w:t>
      </w:r>
    </w:p>
    <w:p w14:paraId="1D4323A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5.1 </w:t>
      </w:r>
      <w:r>
        <w:rPr>
          <w:rFonts w:hint="eastAsia" w:ascii="仿宋" w:hAnsi="仿宋" w:eastAsia="仿宋" w:cs="仿宋"/>
          <w:color w:val="auto"/>
          <w:sz w:val="24"/>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2E71D3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 </w:t>
      </w:r>
      <w:r>
        <w:rPr>
          <w:rFonts w:hint="eastAsia" w:ascii="仿宋" w:hAnsi="仿宋" w:eastAsia="仿宋" w:cs="仿宋"/>
          <w:color w:val="auto"/>
          <w:sz w:val="24"/>
          <w:highlight w:val="none"/>
          <w:lang w:val="zh-CN" w:eastAsia="zh-CN"/>
        </w:rPr>
        <w:t>保密信息指任何一方因履行本合同所知悉的任何以口头、书面、图表或电子形式存在的对方信息，具体包括：</w:t>
      </w:r>
    </w:p>
    <w:p w14:paraId="209D6C7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5.2.1 </w:t>
      </w:r>
      <w:r>
        <w:rPr>
          <w:rFonts w:hint="eastAsia" w:ascii="仿宋" w:hAnsi="仿宋" w:eastAsia="仿宋" w:cs="仿宋"/>
          <w:color w:val="auto"/>
          <w:sz w:val="24"/>
          <w:highlight w:val="none"/>
          <w:lang w:val="zh-CN" w:eastAsia="zh-CN"/>
        </w:rPr>
        <w:t>任何涉及对方过去、现在或将来的商业计划、规章制度、操作规程、处理手段、财务信息；</w:t>
      </w:r>
    </w:p>
    <w:p w14:paraId="104E32C8">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5.2.2 </w:t>
      </w:r>
      <w:r>
        <w:rPr>
          <w:rFonts w:hint="eastAsia" w:ascii="仿宋" w:hAnsi="仿宋" w:eastAsia="仿宋" w:cs="仿宋"/>
          <w:color w:val="auto"/>
          <w:sz w:val="24"/>
          <w:highlight w:val="none"/>
          <w:lang w:val="zh-CN" w:eastAsia="zh-CN"/>
        </w:rPr>
        <w:t>任何对方的技术措施、技术方案、软件应用及开发，硬件设备的品种、质量、数量、品牌等；</w:t>
      </w:r>
    </w:p>
    <w:p w14:paraId="2BC9D6D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5.2.3 </w:t>
      </w:r>
      <w:r>
        <w:rPr>
          <w:rFonts w:hint="eastAsia" w:ascii="仿宋" w:hAnsi="仿宋" w:eastAsia="仿宋" w:cs="仿宋"/>
          <w:color w:val="auto"/>
          <w:sz w:val="24"/>
          <w:highlight w:val="none"/>
          <w:lang w:val="zh-CN" w:eastAsia="zh-CN"/>
        </w:rPr>
        <w:t>任何对方的技术秘密或专有知识、文件</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、报告、数据、客户软件、流程图、数据库、发明、知识、贸易秘密。</w:t>
      </w:r>
    </w:p>
    <w:p w14:paraId="438F5A8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5.3 </w:t>
      </w:r>
      <w:r>
        <w:rPr>
          <w:rFonts w:hint="eastAsia" w:ascii="仿宋" w:hAnsi="仿宋" w:eastAsia="仿宋" w:cs="仿宋"/>
          <w:color w:val="auto"/>
          <w:sz w:val="24"/>
          <w:highlight w:val="none"/>
          <w:lang w:val="zh-CN" w:eastAsia="zh-CN"/>
        </w:rPr>
        <w:t>乙方应根据甲方的要求签署相应的保密协议，保密协议与本条款存在不一致的，以保密协议为准。</w:t>
      </w:r>
    </w:p>
    <w:p w14:paraId="07093100">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 xml:space="preserve">6. </w:t>
      </w:r>
      <w:r>
        <w:rPr>
          <w:rFonts w:hint="eastAsia" w:ascii="仿宋" w:hAnsi="仿宋" w:eastAsia="仿宋" w:cs="仿宋"/>
          <w:b/>
          <w:bCs/>
          <w:color w:val="auto"/>
          <w:sz w:val="24"/>
          <w:highlight w:val="none"/>
          <w:lang w:val="zh-CN" w:eastAsia="zh-CN"/>
        </w:rPr>
        <w:t>质量保证</w:t>
      </w:r>
    </w:p>
    <w:p w14:paraId="352212E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6.1 服务</w:t>
      </w:r>
      <w:r>
        <w:rPr>
          <w:rFonts w:hint="eastAsia" w:ascii="仿宋" w:hAnsi="仿宋" w:eastAsia="仿宋" w:cs="仿宋"/>
          <w:color w:val="auto"/>
          <w:sz w:val="24"/>
          <w:highlight w:val="none"/>
          <w:lang w:val="zh-CN" w:eastAsia="zh-CN"/>
        </w:rPr>
        <w:t>质量保证</w:t>
      </w:r>
    </w:p>
    <w:p w14:paraId="2686EC3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6.1.1 </w:t>
      </w:r>
      <w:r>
        <w:rPr>
          <w:rFonts w:hint="eastAsia" w:ascii="仿宋" w:hAnsi="仿宋" w:eastAsia="仿宋" w:cs="仿宋"/>
          <w:color w:val="auto"/>
          <w:sz w:val="24"/>
          <w:highlight w:val="none"/>
          <w:lang w:val="zh-CN" w:eastAsia="zh-CN"/>
        </w:rPr>
        <w:t>乙方必须完全符合强制性的国家技术质量规范和合同规定的质量、性能和技术规范等的要求。</w:t>
      </w:r>
    </w:p>
    <w:p w14:paraId="3518C75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6.1.2 </w:t>
      </w:r>
      <w:r>
        <w:rPr>
          <w:rFonts w:hint="eastAsia" w:ascii="仿宋" w:hAnsi="仿宋" w:eastAsia="仿宋" w:cs="仿宋"/>
          <w:color w:val="auto"/>
          <w:sz w:val="24"/>
          <w:highlight w:val="none"/>
          <w:lang w:val="zh-CN" w:eastAsia="zh-CN"/>
        </w:rPr>
        <w:t>根据乙方按检验标准自己检验结果或委托有资质的相关质检机构的检验结果，发现</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w:t>
      </w:r>
      <w:r>
        <w:rPr>
          <w:rFonts w:hint="eastAsia" w:ascii="仿宋" w:hAnsi="仿宋" w:eastAsia="仿宋" w:cs="仿宋"/>
          <w:color w:val="auto"/>
          <w:sz w:val="24"/>
          <w:highlight w:val="none"/>
          <w:lang w:eastAsia="zh-CN"/>
        </w:rPr>
        <w:t>成果</w:t>
      </w:r>
      <w:r>
        <w:rPr>
          <w:rFonts w:hint="eastAsia" w:ascii="仿宋" w:hAnsi="仿宋" w:eastAsia="仿宋" w:cs="仿宋"/>
          <w:color w:val="auto"/>
          <w:sz w:val="24"/>
          <w:highlight w:val="none"/>
          <w:lang w:val="zh-CN" w:eastAsia="zh-CN"/>
        </w:rPr>
        <w:t>、质量、与合同不符；或者在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期内，证实</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存在缺陷，包括潜在的缺陷或使用不符合要求的，甲方应书面通知乙方。接到上述通知后，乙方应及时</w:t>
      </w:r>
      <w:r>
        <w:rPr>
          <w:rFonts w:hint="eastAsia" w:ascii="仿宋" w:hAnsi="仿宋" w:eastAsia="仿宋" w:cs="仿宋"/>
          <w:color w:val="auto"/>
          <w:sz w:val="24"/>
          <w:highlight w:val="none"/>
          <w:lang w:eastAsia="zh-CN"/>
        </w:rPr>
        <w:t>解决</w:t>
      </w:r>
      <w:r>
        <w:rPr>
          <w:rFonts w:hint="eastAsia" w:ascii="仿宋" w:hAnsi="仿宋" w:eastAsia="仿宋" w:cs="仿宋"/>
          <w:color w:val="auto"/>
          <w:sz w:val="24"/>
          <w:highlight w:val="none"/>
          <w:lang w:val="zh-CN" w:eastAsia="zh-CN"/>
        </w:rPr>
        <w:t>。乙方在甲方发出质量异议通知后，未作答复，甲方在通知书中所提出的要求应视为已被乙方接受。</w:t>
      </w:r>
    </w:p>
    <w:p w14:paraId="77CFC3E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6.1.3 </w:t>
      </w:r>
      <w:r>
        <w:rPr>
          <w:rFonts w:hint="eastAsia" w:ascii="仿宋" w:hAnsi="仿宋" w:eastAsia="仿宋" w:cs="仿宋"/>
          <w:color w:val="auto"/>
          <w:sz w:val="24"/>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13CF3E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6.1.4 </w:t>
      </w:r>
      <w:r>
        <w:rPr>
          <w:rFonts w:hint="eastAsia" w:ascii="仿宋" w:hAnsi="仿宋" w:eastAsia="仿宋" w:cs="仿宋"/>
          <w:color w:val="auto"/>
          <w:sz w:val="24"/>
          <w:highlight w:val="none"/>
          <w:lang w:val="zh-CN" w:eastAsia="zh-CN"/>
        </w:rPr>
        <w:t>合同条款下</w:t>
      </w:r>
      <w:r>
        <w:rPr>
          <w:rFonts w:hint="eastAsia" w:ascii="仿宋" w:hAnsi="仿宋" w:eastAsia="仿宋" w:cs="仿宋"/>
          <w:color w:val="auto"/>
          <w:sz w:val="24"/>
          <w:highlight w:val="none"/>
          <w:lang w:eastAsia="zh-CN"/>
        </w:rPr>
        <w:t>技术服务</w:t>
      </w:r>
      <w:r>
        <w:rPr>
          <w:rFonts w:hint="eastAsia" w:ascii="仿宋" w:hAnsi="仿宋" w:eastAsia="仿宋" w:cs="仿宋"/>
          <w:color w:val="auto"/>
          <w:sz w:val="24"/>
          <w:highlight w:val="none"/>
          <w:lang w:val="zh-CN" w:eastAsia="zh-CN"/>
        </w:rPr>
        <w:t>的质量保证期自</w:t>
      </w:r>
      <w:r>
        <w:rPr>
          <w:rFonts w:hint="eastAsia" w:ascii="仿宋" w:hAnsi="仿宋" w:eastAsia="仿宋" w:cs="仿宋"/>
          <w:color w:val="auto"/>
          <w:sz w:val="24"/>
          <w:highlight w:val="none"/>
          <w:lang w:eastAsia="zh-CN"/>
        </w:rPr>
        <w:t>技术服务</w:t>
      </w:r>
      <w:r>
        <w:rPr>
          <w:rFonts w:hint="eastAsia" w:ascii="仿宋" w:hAnsi="仿宋" w:eastAsia="仿宋" w:cs="仿宋"/>
          <w:color w:val="auto"/>
          <w:sz w:val="24"/>
          <w:highlight w:val="none"/>
          <w:lang w:val="zh-CN" w:eastAsia="zh-CN"/>
        </w:rPr>
        <w:t>通过最终验收起算，合同另行规定除外。</w:t>
      </w:r>
    </w:p>
    <w:p w14:paraId="1D13214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6.2 </w:t>
      </w:r>
      <w:r>
        <w:rPr>
          <w:rFonts w:hint="eastAsia" w:ascii="仿宋" w:hAnsi="仿宋" w:eastAsia="仿宋" w:cs="仿宋"/>
          <w:color w:val="auto"/>
          <w:sz w:val="24"/>
          <w:highlight w:val="none"/>
          <w:lang w:val="zh-CN" w:eastAsia="zh-CN"/>
        </w:rPr>
        <w:t>辅助服务质量保证</w:t>
      </w:r>
    </w:p>
    <w:p w14:paraId="1073A69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6.2.1 </w:t>
      </w:r>
      <w:r>
        <w:rPr>
          <w:rFonts w:hint="eastAsia" w:ascii="仿宋" w:hAnsi="仿宋" w:eastAsia="仿宋" w:cs="仿宋"/>
          <w:color w:val="auto"/>
          <w:sz w:val="24"/>
          <w:highlight w:val="none"/>
          <w:lang w:val="zh-CN" w:eastAsia="zh-CN"/>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14:paraId="348FE24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6.2.2 </w:t>
      </w:r>
      <w:r>
        <w:rPr>
          <w:rFonts w:hint="eastAsia" w:ascii="仿宋" w:hAnsi="仿宋" w:eastAsia="仿宋" w:cs="仿宋"/>
          <w:color w:val="auto"/>
          <w:sz w:val="24"/>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14:paraId="6E6600D5">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7.</w:t>
      </w:r>
      <w:r>
        <w:rPr>
          <w:rFonts w:hint="eastAsia" w:ascii="仿宋" w:hAnsi="仿宋" w:eastAsia="仿宋" w:cs="仿宋"/>
          <w:b/>
          <w:bCs/>
          <w:color w:val="auto"/>
          <w:sz w:val="24"/>
          <w:highlight w:val="none"/>
          <w:lang w:val="zh-CN" w:eastAsia="zh-CN"/>
        </w:rPr>
        <w:t>价格</w:t>
      </w:r>
    </w:p>
    <w:p w14:paraId="721D8E5C">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7.1 </w:t>
      </w:r>
      <w:r>
        <w:rPr>
          <w:rFonts w:hint="eastAsia" w:ascii="仿宋" w:hAnsi="仿宋" w:eastAsia="仿宋" w:cs="仿宋"/>
          <w:color w:val="auto"/>
          <w:sz w:val="24"/>
          <w:highlight w:val="none"/>
          <w:lang w:val="zh-CN" w:eastAsia="zh-CN"/>
        </w:rPr>
        <w:t>乙方履行合同所必须的所有费用，包括但不限于检测与试验、技术资料、培训、交通、人员、差旅、质量保证期服务费、其他管理费用、所有的检验、测试、验收、试运行费用等均已包括在合同价格中。</w:t>
      </w:r>
    </w:p>
    <w:p w14:paraId="2F1BB42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7.2 </w:t>
      </w:r>
      <w:r>
        <w:rPr>
          <w:rFonts w:hint="eastAsia" w:ascii="仿宋" w:hAnsi="仿宋" w:eastAsia="仿宋" w:cs="仿宋"/>
          <w:color w:val="auto"/>
          <w:sz w:val="24"/>
          <w:highlight w:val="none"/>
          <w:lang w:val="zh-CN" w:eastAsia="zh-CN"/>
        </w:rPr>
        <w:t>本合同价格为固定价格，包括了乙方履行合同全过程产生的所有成本和费用以及乙方应承担的一切税费。</w:t>
      </w:r>
    </w:p>
    <w:p w14:paraId="3D192DD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 </w:t>
      </w:r>
      <w:r>
        <w:rPr>
          <w:rFonts w:hint="eastAsia" w:ascii="仿宋" w:hAnsi="仿宋" w:eastAsia="仿宋" w:cs="仿宋"/>
          <w:color w:val="auto"/>
          <w:sz w:val="24"/>
          <w:highlight w:val="none"/>
          <w:lang w:val="zh-CN" w:eastAsia="zh-CN"/>
        </w:rPr>
        <w:t>检验费用</w:t>
      </w:r>
    </w:p>
    <w:p w14:paraId="290AACD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7.3.1 </w:t>
      </w:r>
      <w:r>
        <w:rPr>
          <w:rFonts w:hint="eastAsia" w:ascii="仿宋" w:hAnsi="仿宋" w:eastAsia="仿宋" w:cs="仿宋"/>
          <w:color w:val="auto"/>
          <w:sz w:val="24"/>
          <w:highlight w:val="none"/>
          <w:lang w:val="zh-CN" w:eastAsia="zh-CN"/>
        </w:rPr>
        <w:t>乙方必须负担本条款下属于乙方负责的检验、测试、试运行和验收的所有费用，并负责乙方派往买方组织的检验、测试和验收人员的所有费用。</w:t>
      </w:r>
    </w:p>
    <w:p w14:paraId="6452367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7.3.2 </w:t>
      </w:r>
      <w:r>
        <w:rPr>
          <w:rFonts w:hint="eastAsia" w:ascii="仿宋" w:hAnsi="仿宋" w:eastAsia="仿宋" w:cs="仿宋"/>
          <w:color w:val="auto"/>
          <w:sz w:val="24"/>
          <w:highlight w:val="none"/>
          <w:lang w:val="zh-CN" w:eastAsia="zh-CN"/>
        </w:rPr>
        <w:t>甲方按合同计划参加在乙方工厂所在地检验、测试和验收的费用全部由乙方负责并已包含在合同总价中。</w:t>
      </w:r>
    </w:p>
    <w:p w14:paraId="60FFB4E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7.3.3 </w:t>
      </w:r>
      <w:r>
        <w:rPr>
          <w:rFonts w:hint="eastAsia" w:ascii="仿宋" w:hAnsi="仿宋" w:eastAsia="仿宋" w:cs="仿宋"/>
          <w:color w:val="auto"/>
          <w:sz w:val="24"/>
          <w:highlight w:val="none"/>
          <w:lang w:val="zh-CN" w:eastAsia="zh-CN"/>
        </w:rPr>
        <w:t>甲方检验人员已到卖方所在地，测试无法依照合同进行，</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zh-CN" w:eastAsia="zh-CN"/>
        </w:rPr>
        <w:t>而引起甲方人员延长逗留时间，所有由此产生的包括甲方人员在内的直接费用及成本由乙方承担。</w:t>
      </w:r>
    </w:p>
    <w:p w14:paraId="7245A3A5">
      <w:pPr>
        <w:shd w:val="clear"/>
        <w:autoSpaceDE w:val="0"/>
        <w:autoSpaceDN w:val="0"/>
        <w:spacing w:line="360" w:lineRule="auto"/>
        <w:rPr>
          <w:rFonts w:ascii="仿宋" w:hAnsi="仿宋" w:eastAsia="仿宋" w:cs="仿宋"/>
          <w:color w:val="auto"/>
          <w:sz w:val="24"/>
          <w:highlight w:val="none"/>
          <w:lang w:val="zh-CN" w:eastAsia="zh-CN"/>
        </w:rPr>
      </w:pPr>
      <w:r>
        <w:rPr>
          <w:rFonts w:hint="eastAsia" w:ascii="仿宋" w:hAnsi="仿宋" w:eastAsia="仿宋" w:cs="仿宋"/>
          <w:b/>
          <w:bCs/>
          <w:color w:val="auto"/>
          <w:sz w:val="24"/>
          <w:highlight w:val="none"/>
          <w:lang w:eastAsia="zh-CN"/>
        </w:rPr>
        <w:t>8</w:t>
      </w:r>
      <w:r>
        <w:rPr>
          <w:rFonts w:hint="eastAsia" w:ascii="仿宋" w:hAnsi="仿宋" w:eastAsia="仿宋" w:cs="仿宋"/>
          <w:b/>
          <w:bCs/>
          <w:color w:val="auto"/>
          <w:sz w:val="24"/>
          <w:highlight w:val="none"/>
          <w:lang w:val="zh-CN" w:eastAsia="zh-CN"/>
        </w:rPr>
        <w:t>.检验和验收</w:t>
      </w:r>
    </w:p>
    <w:p w14:paraId="54A436C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8.1 </w:t>
      </w:r>
      <w:r>
        <w:rPr>
          <w:rFonts w:hint="eastAsia" w:ascii="仿宋" w:hAnsi="仿宋" w:eastAsia="仿宋" w:cs="仿宋"/>
          <w:color w:val="auto"/>
          <w:sz w:val="24"/>
          <w:highlight w:val="none"/>
          <w:lang w:val="zh-CN" w:eastAsia="zh-CN"/>
        </w:rPr>
        <w:t>乙方应在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前对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的质量、等进行详细而全面的检验，并出具证明</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符合合同规定的文件。该文件将作为申请付款单据的一部分，但有关质量的检验不应视为最终检验。</w:t>
      </w:r>
    </w:p>
    <w:p w14:paraId="02F4124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8.1.2 </w:t>
      </w:r>
      <w:r>
        <w:rPr>
          <w:rFonts w:hint="eastAsia" w:ascii="仿宋" w:hAnsi="仿宋" w:eastAsia="仿宋" w:cs="仿宋"/>
          <w:color w:val="auto"/>
          <w:sz w:val="24"/>
          <w:highlight w:val="none"/>
          <w:lang w:val="zh-CN" w:eastAsia="zh-CN"/>
        </w:rPr>
        <w:t>验收中如发现</w:t>
      </w:r>
      <w:r>
        <w:rPr>
          <w:rFonts w:hint="eastAsia" w:ascii="仿宋" w:hAnsi="仿宋" w:eastAsia="仿宋" w:cs="仿宋"/>
          <w:color w:val="auto"/>
          <w:sz w:val="24"/>
          <w:highlight w:val="none"/>
          <w:lang w:eastAsia="zh-CN"/>
        </w:rPr>
        <w:t>服务成果质量</w:t>
      </w:r>
      <w:r>
        <w:rPr>
          <w:rFonts w:hint="eastAsia" w:ascii="仿宋" w:hAnsi="仿宋" w:eastAsia="仿宋" w:cs="仿宋"/>
          <w:color w:val="auto"/>
          <w:sz w:val="24"/>
          <w:highlight w:val="none"/>
          <w:lang w:val="zh-CN" w:eastAsia="zh-CN"/>
        </w:rPr>
        <w:t>与合同约定不符，甲方有权</w:t>
      </w:r>
      <w:r>
        <w:rPr>
          <w:rFonts w:hint="eastAsia" w:ascii="仿宋" w:hAnsi="仿宋" w:eastAsia="仿宋" w:cs="仿宋"/>
          <w:color w:val="auto"/>
          <w:sz w:val="24"/>
          <w:highlight w:val="none"/>
          <w:lang w:eastAsia="zh-CN"/>
        </w:rPr>
        <w:t>拒绝</w:t>
      </w:r>
      <w:r>
        <w:rPr>
          <w:rFonts w:hint="eastAsia" w:ascii="仿宋" w:hAnsi="仿宋" w:eastAsia="仿宋" w:cs="仿宋"/>
          <w:color w:val="auto"/>
          <w:sz w:val="24"/>
          <w:highlight w:val="none"/>
          <w:lang w:val="zh-CN" w:eastAsia="zh-CN"/>
        </w:rPr>
        <w:t>，乙方应及时按甲方要求免费对拒收采取更换或其他必要的补救措施，直至验收合格，方视为乙方完成</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w:t>
      </w:r>
    </w:p>
    <w:p w14:paraId="1B17AB0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 </w:t>
      </w:r>
      <w:r>
        <w:rPr>
          <w:rFonts w:hint="eastAsia" w:ascii="仿宋" w:hAnsi="仿宋" w:eastAsia="仿宋" w:cs="仿宋"/>
          <w:color w:val="auto"/>
          <w:sz w:val="24"/>
          <w:highlight w:val="none"/>
          <w:lang w:val="zh-CN" w:eastAsia="zh-CN"/>
        </w:rPr>
        <w:t>检验验收</w:t>
      </w:r>
    </w:p>
    <w:p w14:paraId="600C98F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8.2.1 服务</w:t>
      </w:r>
      <w:r>
        <w:rPr>
          <w:rFonts w:hint="eastAsia" w:ascii="仿宋" w:hAnsi="仿宋" w:eastAsia="仿宋" w:cs="仿宋"/>
          <w:color w:val="auto"/>
          <w:sz w:val="24"/>
          <w:highlight w:val="none"/>
          <w:lang w:val="zh-CN" w:eastAsia="zh-CN"/>
        </w:rPr>
        <w:t>完成后，乙方应及时试运行，按照合同专用条款规定的试运行完成后，双方及时组织对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检验验收。合同双方均须派人参加合同要求双方参加的试验、检验。</w:t>
      </w:r>
    </w:p>
    <w:p w14:paraId="2D69A07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8.2.2 </w:t>
      </w:r>
      <w:r>
        <w:rPr>
          <w:rFonts w:hint="eastAsia" w:ascii="仿宋" w:hAnsi="仿宋" w:eastAsia="仿宋" w:cs="仿宋"/>
          <w:color w:val="auto"/>
          <w:sz w:val="24"/>
          <w:highlight w:val="none"/>
          <w:lang w:val="zh-CN" w:eastAsia="zh-CN"/>
        </w:rPr>
        <w:t>在具体实施合同规定的检验验收之前，乙方需提前提交相应的测试计划（包括测试程序、测试内容和检验标准、试验时间安排等）供甲方确认。</w:t>
      </w:r>
    </w:p>
    <w:p w14:paraId="6E858C1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8.2.3 </w:t>
      </w:r>
      <w:r>
        <w:rPr>
          <w:rFonts w:hint="eastAsia" w:ascii="仿宋" w:hAnsi="仿宋" w:eastAsia="仿宋" w:cs="仿宋"/>
          <w:color w:val="auto"/>
          <w:sz w:val="24"/>
          <w:highlight w:val="none"/>
          <w:lang w:val="zh-CN" w:eastAsia="zh-CN"/>
        </w:rPr>
        <w:t>除需甲方确认的试验验收外，乙方还应对所有检验验收测试的结果、步骤、原始数据等作妥善记录。如甲方要求，乙方应提供这些记录给买方。</w:t>
      </w:r>
    </w:p>
    <w:p w14:paraId="745A410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8.2.4 </w:t>
      </w:r>
      <w:r>
        <w:rPr>
          <w:rFonts w:hint="eastAsia" w:ascii="仿宋" w:hAnsi="仿宋" w:eastAsia="仿宋" w:cs="仿宋"/>
          <w:color w:val="auto"/>
          <w:sz w:val="24"/>
          <w:highlight w:val="none"/>
          <w:lang w:val="zh-CN" w:eastAsia="zh-CN"/>
        </w:rPr>
        <w:t>检验测试出现全部或部分未达到本合同所约定的技术指标，甲方有权选择下列任一处理方式：</w:t>
      </w:r>
    </w:p>
    <w:p w14:paraId="68BE673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a.</w:t>
      </w:r>
      <w:r>
        <w:rPr>
          <w:rFonts w:hint="eastAsia" w:ascii="仿宋" w:hAnsi="仿宋" w:eastAsia="仿宋" w:cs="仿宋"/>
          <w:color w:val="auto"/>
          <w:sz w:val="24"/>
          <w:highlight w:val="none"/>
          <w:lang w:val="zh-CN" w:eastAsia="zh-CN"/>
        </w:rPr>
        <w:t>重新测试直至合格为止；</w:t>
      </w:r>
    </w:p>
    <w:p w14:paraId="3E0FF4B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b.</w:t>
      </w:r>
      <w:r>
        <w:rPr>
          <w:rFonts w:hint="eastAsia" w:ascii="仿宋" w:hAnsi="仿宋" w:eastAsia="仿宋" w:cs="仿宋"/>
          <w:color w:val="auto"/>
          <w:sz w:val="24"/>
          <w:highlight w:val="none"/>
          <w:lang w:val="zh-CN" w:eastAsia="zh-CN"/>
        </w:rPr>
        <w:t>要求乙方对</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进行</w:t>
      </w:r>
      <w:r>
        <w:rPr>
          <w:rFonts w:hint="eastAsia" w:ascii="仿宋" w:hAnsi="仿宋" w:eastAsia="仿宋" w:cs="仿宋"/>
          <w:color w:val="auto"/>
          <w:sz w:val="24"/>
          <w:highlight w:val="none"/>
          <w:lang w:eastAsia="zh-CN"/>
        </w:rPr>
        <w:t>处理</w:t>
      </w:r>
      <w:r>
        <w:rPr>
          <w:rFonts w:hint="eastAsia" w:ascii="仿宋" w:hAnsi="仿宋" w:eastAsia="仿宋" w:cs="仿宋"/>
          <w:color w:val="auto"/>
          <w:sz w:val="24"/>
          <w:highlight w:val="none"/>
          <w:lang w:val="zh-CN" w:eastAsia="zh-CN"/>
        </w:rPr>
        <w:t>，然后重新测试直至合格为止；</w:t>
      </w:r>
    </w:p>
    <w:p w14:paraId="0C95AB97">
      <w:pPr>
        <w:shd w:val="clear"/>
        <w:autoSpaceDE w:val="0"/>
        <w:autoSpaceDN w:val="0"/>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无论选择何种方式，甲方因此而发生的因卖方原因引起的所有费用均由乙方负担。</w:t>
      </w:r>
    </w:p>
    <w:p w14:paraId="1272F7B8">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8.3 </w:t>
      </w:r>
      <w:r>
        <w:rPr>
          <w:rFonts w:hint="eastAsia" w:ascii="仿宋" w:hAnsi="仿宋" w:eastAsia="仿宋" w:cs="仿宋"/>
          <w:color w:val="auto"/>
          <w:sz w:val="24"/>
          <w:highlight w:val="none"/>
          <w:lang w:val="zh-CN" w:eastAsia="zh-CN"/>
        </w:rPr>
        <w:t>使用过程检验</w:t>
      </w:r>
    </w:p>
    <w:p w14:paraId="2AD2767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8.3.1 </w:t>
      </w:r>
      <w:r>
        <w:rPr>
          <w:rFonts w:hint="eastAsia" w:ascii="仿宋" w:hAnsi="仿宋" w:eastAsia="仿宋" w:cs="仿宋"/>
          <w:color w:val="auto"/>
          <w:sz w:val="24"/>
          <w:highlight w:val="none"/>
          <w:lang w:val="zh-CN" w:eastAsia="zh-CN"/>
        </w:rPr>
        <w:t>在合同规定的质量保证期内，发现</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的质量与合同规定不符，或证明</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有缺陷，包括潜在的缺陷或使用不合适等，由甲方组织质检（相关检测费用由卖方承担），据质检报告及质量保证条款向卖方提出索赔，此索赔并不免除乙方应承担的合同义务。</w:t>
      </w:r>
    </w:p>
    <w:p w14:paraId="17FDB6C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8.3.2 </w:t>
      </w:r>
      <w:r>
        <w:rPr>
          <w:rFonts w:hint="eastAsia" w:ascii="仿宋" w:hAnsi="仿宋" w:eastAsia="仿宋" w:cs="仿宋"/>
          <w:color w:val="auto"/>
          <w:sz w:val="24"/>
          <w:highlight w:val="none"/>
          <w:lang w:val="zh-CN" w:eastAsia="zh-CN"/>
        </w:rPr>
        <w:t>如果合同双方对乙方提供的上述试验结果报告的解释有分歧，双方须于出现分歧后</w:t>
      </w:r>
      <w:r>
        <w:rPr>
          <w:rFonts w:hint="eastAsia" w:ascii="仿宋" w:hAnsi="仿宋" w:eastAsia="仿宋" w:cs="仿宋"/>
          <w:color w:val="auto"/>
          <w:sz w:val="24"/>
          <w:highlight w:val="none"/>
          <w:lang w:eastAsia="zh-CN"/>
        </w:rPr>
        <w:t>10</w:t>
      </w:r>
      <w:r>
        <w:rPr>
          <w:rFonts w:hint="eastAsia" w:ascii="仿宋" w:hAnsi="仿宋" w:eastAsia="仿宋" w:cs="仿宋"/>
          <w:color w:val="auto"/>
          <w:sz w:val="24"/>
          <w:highlight w:val="none"/>
          <w:lang w:val="zh-CN" w:eastAsia="zh-CN"/>
        </w:rPr>
        <w:t>天内给对方声明，以陈述己方的观点。声明须附有关证据。分歧应通过协商解决。</w:t>
      </w:r>
    </w:p>
    <w:p w14:paraId="101021C6">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9.</w:t>
      </w:r>
      <w:r>
        <w:rPr>
          <w:rFonts w:hint="eastAsia" w:ascii="仿宋" w:hAnsi="仿宋" w:eastAsia="仿宋" w:cs="仿宋"/>
          <w:b/>
          <w:bCs/>
          <w:color w:val="auto"/>
          <w:sz w:val="24"/>
          <w:highlight w:val="none"/>
          <w:lang w:val="zh-CN" w:eastAsia="zh-CN"/>
        </w:rPr>
        <w:t>付款方法和条件</w:t>
      </w:r>
    </w:p>
    <w:p w14:paraId="74592A7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本合同条款下的付款方法和条件在“政府采购项目合同书”中具体规定。</w:t>
      </w:r>
    </w:p>
    <w:p w14:paraId="159B1A63">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10.</w:t>
      </w:r>
      <w:r>
        <w:rPr>
          <w:rFonts w:hint="eastAsia" w:ascii="仿宋" w:hAnsi="仿宋" w:eastAsia="仿宋" w:cs="仿宋"/>
          <w:b/>
          <w:bCs/>
          <w:color w:val="auto"/>
          <w:sz w:val="24"/>
          <w:highlight w:val="none"/>
          <w:lang w:val="zh-CN" w:eastAsia="zh-CN"/>
        </w:rPr>
        <w:t>履约保证金</w:t>
      </w:r>
    </w:p>
    <w:p w14:paraId="2C9086C8">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10.1 </w:t>
      </w:r>
      <w:r>
        <w:rPr>
          <w:rFonts w:hint="eastAsia" w:ascii="仿宋" w:hAnsi="仿宋" w:eastAsia="仿宋" w:cs="仿宋"/>
          <w:color w:val="auto"/>
          <w:sz w:val="24"/>
          <w:highlight w:val="none"/>
          <w:lang w:val="zh-CN" w:eastAsia="zh-CN"/>
        </w:rPr>
        <w:t>乙方应在合同签订前，按磋商文件第</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lang w:val="zh-CN" w:eastAsia="zh-CN"/>
        </w:rPr>
        <w:t>部分“八 授予合同”中第22.2项的约定提交履约保证金。</w:t>
      </w:r>
    </w:p>
    <w:p w14:paraId="1F0388E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10.2 </w:t>
      </w:r>
      <w:r>
        <w:rPr>
          <w:rFonts w:hint="eastAsia" w:ascii="仿宋" w:hAnsi="仿宋" w:eastAsia="仿宋" w:cs="仿宋"/>
          <w:color w:val="auto"/>
          <w:sz w:val="24"/>
          <w:highlight w:val="none"/>
          <w:lang w:val="zh-CN" w:eastAsia="zh-CN"/>
        </w:rPr>
        <w:t>履约保证金用于补偿甲方因乙方不能履行其合同义务而蒙受的损失。</w:t>
      </w:r>
    </w:p>
    <w:p w14:paraId="3409E8F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10.3 </w:t>
      </w:r>
      <w:r>
        <w:rPr>
          <w:rFonts w:hint="eastAsia" w:ascii="仿宋" w:hAnsi="仿宋" w:eastAsia="仿宋" w:cs="仿宋"/>
          <w:color w:val="auto"/>
          <w:sz w:val="24"/>
          <w:highlight w:val="none"/>
          <w:lang w:val="zh-CN" w:eastAsia="zh-CN"/>
        </w:rPr>
        <w:t>履约保证金应使用本合同货币，按下述方式之一提交（磋商文件中另有约定的除外）：</w:t>
      </w:r>
    </w:p>
    <w:p w14:paraId="7DD5A25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10.3.1 </w:t>
      </w:r>
      <w:r>
        <w:rPr>
          <w:rFonts w:hint="eastAsia" w:ascii="仿宋" w:hAnsi="仿宋" w:eastAsia="仿宋" w:cs="仿宋"/>
          <w:color w:val="auto"/>
          <w:sz w:val="24"/>
          <w:highlight w:val="none"/>
          <w:lang w:val="zh-CN" w:eastAsia="zh-CN"/>
        </w:rPr>
        <w:t>甲方可接受的在中华人民共和国注册和营业的银行出具的履约保函；</w:t>
      </w:r>
    </w:p>
    <w:p w14:paraId="004EB1E9">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10.3.2 </w:t>
      </w:r>
      <w:r>
        <w:rPr>
          <w:rFonts w:hint="eastAsia" w:ascii="仿宋" w:hAnsi="仿宋" w:eastAsia="仿宋" w:cs="仿宋"/>
          <w:color w:val="auto"/>
          <w:sz w:val="24"/>
          <w:highlight w:val="none"/>
          <w:lang w:val="zh-CN" w:eastAsia="zh-CN"/>
        </w:rPr>
        <w:t>支票或汇票。</w:t>
      </w:r>
    </w:p>
    <w:p w14:paraId="234267C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10.4 </w:t>
      </w:r>
      <w:r>
        <w:rPr>
          <w:rFonts w:hint="eastAsia" w:ascii="仿宋" w:hAnsi="仿宋" w:eastAsia="仿宋" w:cs="仿宋"/>
          <w:color w:val="auto"/>
          <w:sz w:val="24"/>
          <w:highlight w:val="none"/>
          <w:lang w:val="zh-CN" w:eastAsia="zh-CN"/>
        </w:rPr>
        <w:t>乙方未能按合同规定履行其义务，甲方有权从履约保证金中取得补偿。货物验收合格后，甲方将履约保证金退还乙方或转为质量保证金。</w:t>
      </w:r>
    </w:p>
    <w:p w14:paraId="0F0CB528">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11.</w:t>
      </w:r>
      <w:r>
        <w:rPr>
          <w:rFonts w:hint="eastAsia" w:ascii="仿宋" w:hAnsi="仿宋" w:eastAsia="仿宋" w:cs="仿宋"/>
          <w:b/>
          <w:bCs/>
          <w:color w:val="auto"/>
          <w:sz w:val="24"/>
          <w:highlight w:val="none"/>
          <w:lang w:val="zh-CN" w:eastAsia="zh-CN"/>
        </w:rPr>
        <w:t>索赔</w:t>
      </w:r>
    </w:p>
    <w:p w14:paraId="05E5E3DB">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 服务</w:t>
      </w:r>
      <w:r>
        <w:rPr>
          <w:rFonts w:hint="eastAsia" w:ascii="仿宋" w:hAnsi="仿宋" w:eastAsia="仿宋" w:cs="仿宋"/>
          <w:color w:val="auto"/>
          <w:sz w:val="24"/>
          <w:highlight w:val="none"/>
          <w:lang w:val="zh-CN" w:eastAsia="zh-CN"/>
        </w:rPr>
        <w:t>的质量、性能等与合同约定不符，或在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期内证实</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存有缺陷，包括潜在的缺陷或使用不符合要求的，甲方有权根据有资质的权威质检机构的检验结果向乙方提出索赔（但责任应由保险公司除外）。</w:t>
      </w:r>
    </w:p>
    <w:p w14:paraId="64FAC918">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 </w:t>
      </w:r>
      <w:r>
        <w:rPr>
          <w:rFonts w:hint="eastAsia" w:ascii="仿宋" w:hAnsi="仿宋" w:eastAsia="仿宋" w:cs="仿宋"/>
          <w:color w:val="auto"/>
          <w:sz w:val="24"/>
          <w:highlight w:val="none"/>
          <w:lang w:val="zh-CN" w:eastAsia="zh-CN"/>
        </w:rPr>
        <w:t>在履约保证期和检验期内，乙方对甲方提出的索赔负有责任，乙方应按照甲方同意的下列一种或多种方式解决索赔事宜：</w:t>
      </w:r>
    </w:p>
    <w:p w14:paraId="760492A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11.2.1 </w:t>
      </w:r>
      <w:r>
        <w:rPr>
          <w:rFonts w:hint="eastAsia" w:ascii="仿宋" w:hAnsi="仿宋" w:eastAsia="仿宋" w:cs="仿宋"/>
          <w:color w:val="auto"/>
          <w:sz w:val="24"/>
          <w:highlight w:val="none"/>
          <w:lang w:val="zh-CN" w:eastAsia="zh-CN"/>
        </w:rPr>
        <w:t>在法定的</w:t>
      </w:r>
      <w:r>
        <w:rPr>
          <w:rFonts w:hint="eastAsia" w:ascii="仿宋" w:hAnsi="仿宋" w:eastAsia="仿宋" w:cs="仿宋"/>
          <w:color w:val="auto"/>
          <w:sz w:val="24"/>
          <w:highlight w:val="none"/>
          <w:lang w:eastAsia="zh-CN"/>
        </w:rPr>
        <w:t>拒绝使用</w:t>
      </w:r>
      <w:r>
        <w:rPr>
          <w:rFonts w:hint="eastAsia" w:ascii="仿宋" w:hAnsi="仿宋" w:eastAsia="仿宋" w:cs="仿宋"/>
          <w:color w:val="auto"/>
          <w:sz w:val="24"/>
          <w:highlight w:val="none"/>
          <w:lang w:val="zh-CN" w:eastAsia="zh-CN"/>
        </w:rPr>
        <w:t>期内，乙方应按合同规定将货款退还给甲方，并承担由此发生的一切损失和费用，包括利息、银行手续费、检验费以及所需的其它必要费用。如已超过</w:t>
      </w:r>
      <w:r>
        <w:rPr>
          <w:rFonts w:hint="eastAsia" w:ascii="仿宋" w:hAnsi="仿宋" w:eastAsia="仿宋" w:cs="仿宋"/>
          <w:color w:val="auto"/>
          <w:sz w:val="24"/>
          <w:highlight w:val="none"/>
          <w:lang w:eastAsia="zh-CN"/>
        </w:rPr>
        <w:t>拒绝使用</w:t>
      </w:r>
      <w:r>
        <w:rPr>
          <w:rFonts w:hint="eastAsia" w:ascii="仿宋" w:hAnsi="仿宋" w:eastAsia="仿宋" w:cs="仿宋"/>
          <w:color w:val="auto"/>
          <w:sz w:val="24"/>
          <w:highlight w:val="none"/>
          <w:lang w:val="zh-CN" w:eastAsia="zh-CN"/>
        </w:rPr>
        <w:t>期，但乙方同意，可比照上述办法办理，或由双方协商处理。</w:t>
      </w:r>
    </w:p>
    <w:p w14:paraId="778C63FC">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11.2.2 </w:t>
      </w:r>
      <w:r>
        <w:rPr>
          <w:rFonts w:hint="eastAsia" w:ascii="仿宋" w:hAnsi="仿宋" w:eastAsia="仿宋" w:cs="仿宋"/>
          <w:color w:val="auto"/>
          <w:sz w:val="24"/>
          <w:highlight w:val="none"/>
          <w:lang w:val="zh-CN" w:eastAsia="zh-CN"/>
        </w:rPr>
        <w:t>根据</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低劣程度及甲方所遭受损失的数额，经甲乙双方商定降低</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的价格，或由有资质的中介机构评估，以降低后的价格或评估价格为准。</w:t>
      </w:r>
    </w:p>
    <w:p w14:paraId="0A50FC92">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11.2.3 </w:t>
      </w:r>
      <w:r>
        <w:rPr>
          <w:rFonts w:hint="eastAsia" w:ascii="仿宋" w:hAnsi="仿宋" w:eastAsia="仿宋" w:cs="仿宋"/>
          <w:color w:val="auto"/>
          <w:sz w:val="24"/>
          <w:highlight w:val="none"/>
          <w:lang w:val="zh-CN" w:eastAsia="zh-CN"/>
        </w:rPr>
        <w:t>用符合规格、质量和性能要求的</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来更换有缺陷的部分或修补缺陷部分，乙方应承担一切费用和风险，并负担甲方所发生的一切直接费用。同时，乙方应相应延长</w:t>
      </w:r>
      <w:r>
        <w:rPr>
          <w:rFonts w:hint="eastAsia" w:ascii="仿宋" w:hAnsi="仿宋" w:eastAsia="仿宋" w:cs="仿宋"/>
          <w:color w:val="auto"/>
          <w:sz w:val="24"/>
          <w:highlight w:val="none"/>
          <w:lang w:eastAsia="zh-CN"/>
        </w:rPr>
        <w:t>维护</w:t>
      </w:r>
      <w:r>
        <w:rPr>
          <w:rFonts w:hint="eastAsia" w:ascii="仿宋" w:hAnsi="仿宋" w:eastAsia="仿宋" w:cs="仿宋"/>
          <w:color w:val="auto"/>
          <w:sz w:val="24"/>
          <w:highlight w:val="none"/>
          <w:lang w:val="zh-CN" w:eastAsia="zh-CN"/>
        </w:rPr>
        <w:t>或</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履约保证期。</w:t>
      </w:r>
    </w:p>
    <w:p w14:paraId="4FE6098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11.3 </w:t>
      </w:r>
      <w:r>
        <w:rPr>
          <w:rFonts w:hint="eastAsia" w:ascii="仿宋" w:hAnsi="仿宋" w:eastAsia="仿宋" w:cs="仿宋"/>
          <w:color w:val="auto"/>
          <w:sz w:val="24"/>
          <w:highlight w:val="none"/>
          <w:lang w:val="zh-CN" w:eastAsia="zh-CN"/>
        </w:rPr>
        <w:t>乙方收到甲方发出的索赔通知之日起</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zh-CN" w:eastAsia="zh-CN"/>
        </w:rPr>
        <w:t>个工作日内未作答复的，甲方可从合同款或履约保证金中扣回索赔金额，如金额不足以补偿索赔金额，乙方应补足差额部分。</w:t>
      </w:r>
    </w:p>
    <w:p w14:paraId="33A7B134">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12.</w:t>
      </w:r>
      <w:r>
        <w:rPr>
          <w:rFonts w:hint="eastAsia" w:ascii="仿宋" w:hAnsi="仿宋" w:eastAsia="仿宋" w:cs="仿宋"/>
          <w:b/>
          <w:bCs/>
          <w:color w:val="auto"/>
          <w:sz w:val="24"/>
          <w:highlight w:val="none"/>
          <w:lang w:val="zh-CN" w:eastAsia="zh-CN"/>
        </w:rPr>
        <w:t>迟延交货</w:t>
      </w:r>
    </w:p>
    <w:p w14:paraId="39F07F07">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12.1 </w:t>
      </w:r>
      <w:r>
        <w:rPr>
          <w:rFonts w:hint="eastAsia" w:ascii="仿宋" w:hAnsi="仿宋" w:eastAsia="仿宋" w:cs="仿宋"/>
          <w:color w:val="auto"/>
          <w:sz w:val="24"/>
          <w:highlight w:val="none"/>
          <w:lang w:val="zh-CN" w:eastAsia="zh-CN"/>
        </w:rPr>
        <w:t>乙方应按照合同约定的时间提供服务。</w:t>
      </w:r>
    </w:p>
    <w:p w14:paraId="560A635D">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12.2 </w:t>
      </w:r>
      <w:r>
        <w:rPr>
          <w:rFonts w:hint="eastAsia" w:ascii="仿宋" w:hAnsi="仿宋" w:eastAsia="仿宋" w:cs="仿宋"/>
          <w:color w:val="auto"/>
          <w:sz w:val="24"/>
          <w:highlight w:val="none"/>
          <w:lang w:val="zh-CN" w:eastAsia="zh-CN"/>
        </w:rPr>
        <w:t>除不可抗力因素外，乙方迟延</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，甲方有权提出违约损失赔偿或解除合同。</w:t>
      </w:r>
    </w:p>
    <w:p w14:paraId="03687A40">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12.3 </w:t>
      </w:r>
      <w:r>
        <w:rPr>
          <w:rFonts w:hint="eastAsia" w:ascii="仿宋" w:hAnsi="仿宋" w:eastAsia="仿宋" w:cs="仿宋"/>
          <w:color w:val="auto"/>
          <w:sz w:val="24"/>
          <w:highlight w:val="none"/>
          <w:lang w:val="zh-CN" w:eastAsia="zh-CN"/>
        </w:rPr>
        <w:t>在履行合同过程中，乙方遇到不能按时提供服务的情况，应及时以书面形式将不能按时</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的理由、预期延误时间通知甲方。甲方收到乙方通知后，认为其理由正当的，可酌情延长</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zh-CN" w:eastAsia="zh-CN"/>
        </w:rPr>
        <w:t>时间。</w:t>
      </w:r>
    </w:p>
    <w:p w14:paraId="0E6FA253">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13.</w:t>
      </w:r>
      <w:r>
        <w:rPr>
          <w:rFonts w:hint="eastAsia" w:ascii="仿宋" w:hAnsi="仿宋" w:eastAsia="仿宋" w:cs="仿宋"/>
          <w:b/>
          <w:bCs/>
          <w:color w:val="auto"/>
          <w:sz w:val="24"/>
          <w:highlight w:val="none"/>
          <w:lang w:val="zh-CN" w:eastAsia="zh-CN"/>
        </w:rPr>
        <w:t>违约赔偿</w:t>
      </w:r>
    </w:p>
    <w:p w14:paraId="6C1D973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除不可抗力因素外，乙方没有按照合同规定的时间提供服务，甲方可要求乙方支付违约金。违约金每日按合同总价款的千分之五计收。</w:t>
      </w:r>
    </w:p>
    <w:p w14:paraId="3FA961FE">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14.</w:t>
      </w:r>
      <w:r>
        <w:rPr>
          <w:rFonts w:hint="eastAsia" w:ascii="仿宋" w:hAnsi="仿宋" w:eastAsia="仿宋" w:cs="仿宋"/>
          <w:b/>
          <w:bCs/>
          <w:color w:val="auto"/>
          <w:sz w:val="24"/>
          <w:highlight w:val="none"/>
          <w:lang w:val="zh-CN" w:eastAsia="zh-CN"/>
        </w:rPr>
        <w:t>不可抗力</w:t>
      </w:r>
    </w:p>
    <w:p w14:paraId="6258744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14.1 </w:t>
      </w:r>
      <w:r>
        <w:rPr>
          <w:rFonts w:hint="eastAsia" w:ascii="仿宋" w:hAnsi="仿宋" w:eastAsia="仿宋" w:cs="仿宋"/>
          <w:color w:val="auto"/>
          <w:sz w:val="24"/>
          <w:highlight w:val="none"/>
          <w:lang w:val="zh-CN" w:eastAsia="zh-CN"/>
        </w:rPr>
        <w:t>双方中任何一方遭遇法律规定的不可抗力，致使合同履行受阻时，履行合同的期限应予延长，延长的期限应相当于不可抗力所影响的时间。</w:t>
      </w:r>
    </w:p>
    <w:p w14:paraId="37AE8243">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14.2 </w:t>
      </w:r>
      <w:r>
        <w:rPr>
          <w:rFonts w:hint="eastAsia" w:ascii="仿宋" w:hAnsi="仿宋" w:eastAsia="仿宋" w:cs="仿宋"/>
          <w:color w:val="auto"/>
          <w:sz w:val="24"/>
          <w:highlight w:val="none"/>
          <w:lang w:val="zh-CN" w:eastAsia="zh-CN"/>
        </w:rPr>
        <w:t>受事故影响的一方应在不可抗力的事故发生后以书面形式通知另一方。</w:t>
      </w:r>
    </w:p>
    <w:p w14:paraId="1768A16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14.3 </w:t>
      </w:r>
      <w:r>
        <w:rPr>
          <w:rFonts w:hint="eastAsia" w:ascii="仿宋" w:hAnsi="仿宋" w:eastAsia="仿宋" w:cs="仿宋"/>
          <w:color w:val="auto"/>
          <w:sz w:val="24"/>
          <w:highlight w:val="none"/>
          <w:lang w:val="zh-CN" w:eastAsia="zh-CN"/>
        </w:rPr>
        <w:t>不可抗力使合同的某些内容有变更必要的，双方应通过协商达成进一步履行合同的协议，因不可抗力致使合同不能履行的，合同终止。</w:t>
      </w:r>
    </w:p>
    <w:p w14:paraId="5175CF83">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15.</w:t>
      </w:r>
      <w:r>
        <w:rPr>
          <w:rFonts w:hint="eastAsia" w:ascii="仿宋" w:hAnsi="仿宋" w:eastAsia="仿宋" w:cs="仿宋"/>
          <w:b/>
          <w:bCs/>
          <w:color w:val="auto"/>
          <w:sz w:val="24"/>
          <w:highlight w:val="none"/>
          <w:lang w:val="zh-CN" w:eastAsia="zh-CN"/>
        </w:rPr>
        <w:t>税费</w:t>
      </w:r>
    </w:p>
    <w:p w14:paraId="371EDD8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与本合同有关的一切税费均由乙方承担。</w:t>
      </w:r>
    </w:p>
    <w:p w14:paraId="49B14829">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16.</w:t>
      </w:r>
      <w:r>
        <w:rPr>
          <w:rFonts w:hint="eastAsia" w:ascii="仿宋" w:hAnsi="仿宋" w:eastAsia="仿宋" w:cs="仿宋"/>
          <w:b/>
          <w:bCs/>
          <w:color w:val="auto"/>
          <w:sz w:val="24"/>
          <w:highlight w:val="none"/>
          <w:lang w:val="zh-CN" w:eastAsia="zh-CN"/>
        </w:rPr>
        <w:t>合同争议的解决</w:t>
      </w:r>
    </w:p>
    <w:p w14:paraId="71093A4A">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16.1 </w:t>
      </w:r>
      <w:r>
        <w:rPr>
          <w:rFonts w:hint="eastAsia" w:ascii="仿宋" w:hAnsi="仿宋" w:eastAsia="仿宋" w:cs="仿宋"/>
          <w:color w:val="auto"/>
          <w:sz w:val="24"/>
          <w:highlight w:val="none"/>
          <w:lang w:val="zh-CN" w:eastAsia="zh-CN"/>
        </w:rPr>
        <w:t>甲方和乙方由于本合同的履行而发生任何争议时，双方可先通过协商解决。</w:t>
      </w:r>
    </w:p>
    <w:p w14:paraId="74C0390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16.2 </w:t>
      </w:r>
      <w:r>
        <w:rPr>
          <w:rFonts w:hint="eastAsia" w:ascii="仿宋" w:hAnsi="仿宋" w:eastAsia="仿宋" w:cs="仿宋"/>
          <w:color w:val="auto"/>
          <w:sz w:val="24"/>
          <w:highlight w:val="none"/>
          <w:lang w:val="zh-CN" w:eastAsia="zh-CN"/>
        </w:rPr>
        <w:t>任何一方不愿通过协商或通过协商仍不能解决争议，则双方中任何一方均应向甲方所在地人民法院起诉。</w:t>
      </w:r>
    </w:p>
    <w:p w14:paraId="160A5DA2">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17.</w:t>
      </w:r>
      <w:r>
        <w:rPr>
          <w:rFonts w:hint="eastAsia" w:ascii="仿宋" w:hAnsi="仿宋" w:eastAsia="仿宋" w:cs="仿宋"/>
          <w:b/>
          <w:bCs/>
          <w:color w:val="auto"/>
          <w:sz w:val="24"/>
          <w:highlight w:val="none"/>
          <w:lang w:val="zh-CN" w:eastAsia="zh-CN"/>
        </w:rPr>
        <w:t>违约解除合同</w:t>
      </w:r>
    </w:p>
    <w:p w14:paraId="64DF6ABE">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 </w:t>
      </w:r>
      <w:r>
        <w:rPr>
          <w:rFonts w:hint="eastAsia" w:ascii="仿宋" w:hAnsi="仿宋" w:eastAsia="仿宋" w:cs="仿宋"/>
          <w:color w:val="auto"/>
          <w:sz w:val="24"/>
          <w:highlight w:val="none"/>
          <w:lang w:val="zh-CN" w:eastAsia="zh-CN"/>
        </w:rPr>
        <w:t>出现下列情形之一的，视为乙方违约。甲方可向乙方发出书面通知，部分或全部终止合同，同时保留向乙方索赔的权利。</w:t>
      </w:r>
    </w:p>
    <w:p w14:paraId="5E880556">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17.1.1 </w:t>
      </w:r>
      <w:r>
        <w:rPr>
          <w:rFonts w:hint="eastAsia" w:ascii="仿宋" w:hAnsi="仿宋" w:eastAsia="仿宋" w:cs="仿宋"/>
          <w:color w:val="auto"/>
          <w:sz w:val="24"/>
          <w:highlight w:val="none"/>
          <w:lang w:val="zh-CN" w:eastAsia="zh-CN"/>
        </w:rPr>
        <w:t>乙方未能在合同规定的限期或甲方同意延长的限期内，提供全部或部分货物的；</w:t>
      </w:r>
    </w:p>
    <w:p w14:paraId="30FB6E2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17.1.2 </w:t>
      </w:r>
      <w:r>
        <w:rPr>
          <w:rFonts w:hint="eastAsia" w:ascii="仿宋" w:hAnsi="仿宋" w:eastAsia="仿宋" w:cs="仿宋"/>
          <w:color w:val="auto"/>
          <w:sz w:val="24"/>
          <w:highlight w:val="none"/>
          <w:lang w:val="zh-CN" w:eastAsia="zh-CN"/>
        </w:rPr>
        <w:t>乙方未能履行合同规定的其它主要义务的；</w:t>
      </w:r>
    </w:p>
    <w:p w14:paraId="25E74E3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17.1.3 </w:t>
      </w:r>
      <w:r>
        <w:rPr>
          <w:rFonts w:hint="eastAsia" w:ascii="仿宋" w:hAnsi="仿宋" w:eastAsia="仿宋" w:cs="仿宋"/>
          <w:color w:val="auto"/>
          <w:sz w:val="24"/>
          <w:highlight w:val="none"/>
          <w:lang w:val="zh-CN" w:eastAsia="zh-CN"/>
        </w:rPr>
        <w:t>乙方在本合同履行过程中有欺诈行为的。</w:t>
      </w:r>
    </w:p>
    <w:p w14:paraId="0FE9C221">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17.2 </w:t>
      </w:r>
      <w:r>
        <w:rPr>
          <w:rFonts w:hint="eastAsia" w:ascii="仿宋" w:hAnsi="仿宋" w:eastAsia="仿宋" w:cs="仿宋"/>
          <w:color w:val="auto"/>
          <w:sz w:val="24"/>
          <w:highlight w:val="none"/>
          <w:lang w:val="zh-CN" w:eastAsia="zh-CN"/>
        </w:rPr>
        <w:t>甲方全部或部分解除合同之后，应当遵循诚实信用原则购买与未交付的服务，乙方应承担买方购买类似服务而产生的额外支出。部分解除合同的，乙方应继续履行合同中未解除的部分。</w:t>
      </w:r>
    </w:p>
    <w:p w14:paraId="410BF0C6">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18.</w:t>
      </w:r>
      <w:r>
        <w:rPr>
          <w:rFonts w:hint="eastAsia" w:ascii="仿宋" w:hAnsi="仿宋" w:eastAsia="仿宋" w:cs="仿宋"/>
          <w:b/>
          <w:bCs/>
          <w:color w:val="auto"/>
          <w:sz w:val="24"/>
          <w:highlight w:val="none"/>
          <w:lang w:val="zh-CN" w:eastAsia="zh-CN"/>
        </w:rPr>
        <w:t>破产终止合同</w:t>
      </w:r>
    </w:p>
    <w:p w14:paraId="5B524BF4">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2DF32A44">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19.</w:t>
      </w:r>
      <w:r>
        <w:rPr>
          <w:rFonts w:hint="eastAsia" w:ascii="仿宋" w:hAnsi="仿宋" w:eastAsia="仿宋" w:cs="仿宋"/>
          <w:b/>
          <w:bCs/>
          <w:color w:val="auto"/>
          <w:sz w:val="24"/>
          <w:highlight w:val="none"/>
          <w:lang w:val="zh-CN" w:eastAsia="zh-CN"/>
        </w:rPr>
        <w:t>转让和分包</w:t>
      </w:r>
    </w:p>
    <w:p w14:paraId="67730167">
      <w:pPr>
        <w:shd w:val="clear"/>
        <w:autoSpaceDE w:val="0"/>
        <w:autoSpaceDN w:val="0"/>
        <w:spacing w:line="360" w:lineRule="auto"/>
        <w:ind w:firstLine="36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19.1 </w:t>
      </w:r>
      <w:r>
        <w:rPr>
          <w:rFonts w:hint="eastAsia" w:ascii="仿宋" w:hAnsi="仿宋" w:eastAsia="仿宋" w:cs="仿宋"/>
          <w:color w:val="auto"/>
          <w:sz w:val="24"/>
          <w:highlight w:val="none"/>
          <w:lang w:val="zh-CN" w:eastAsia="zh-CN"/>
        </w:rPr>
        <w:t>政府采购合同不能转让。</w:t>
      </w:r>
    </w:p>
    <w:p w14:paraId="68E0DFFF">
      <w:pPr>
        <w:shd w:val="clear"/>
        <w:autoSpaceDE w:val="0"/>
        <w:autoSpaceDN w:val="0"/>
        <w:spacing w:line="360" w:lineRule="auto"/>
        <w:ind w:firstLine="36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19.2 </w:t>
      </w:r>
      <w:r>
        <w:rPr>
          <w:rFonts w:hint="eastAsia" w:ascii="仿宋" w:hAnsi="仿宋" w:eastAsia="仿宋" w:cs="仿宋"/>
          <w:color w:val="auto"/>
          <w:sz w:val="24"/>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28F1AF6">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20.</w:t>
      </w:r>
      <w:r>
        <w:rPr>
          <w:rFonts w:hint="eastAsia" w:ascii="仿宋" w:hAnsi="仿宋" w:eastAsia="仿宋" w:cs="仿宋"/>
          <w:b/>
          <w:bCs/>
          <w:color w:val="auto"/>
          <w:sz w:val="24"/>
          <w:highlight w:val="none"/>
          <w:lang w:val="zh-CN" w:eastAsia="zh-CN"/>
        </w:rPr>
        <w:t>合同修改</w:t>
      </w:r>
    </w:p>
    <w:p w14:paraId="4B84BFF4">
      <w:pPr>
        <w:shd w:val="clear"/>
        <w:autoSpaceDE w:val="0"/>
        <w:autoSpaceDN w:val="0"/>
        <w:spacing w:line="360"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政府采购合同的双方当事人不得擅自变更、中止或者终止合同</w:t>
      </w:r>
    </w:p>
    <w:p w14:paraId="63732C08">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21.</w:t>
      </w:r>
      <w:r>
        <w:rPr>
          <w:rFonts w:hint="eastAsia" w:ascii="仿宋" w:hAnsi="仿宋" w:eastAsia="仿宋" w:cs="仿宋"/>
          <w:b/>
          <w:bCs/>
          <w:color w:val="auto"/>
          <w:sz w:val="24"/>
          <w:highlight w:val="none"/>
          <w:lang w:val="zh-CN" w:eastAsia="zh-CN"/>
        </w:rPr>
        <w:t>通知</w:t>
      </w:r>
    </w:p>
    <w:p w14:paraId="7E11A8D5">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本合同任何一方给另一方的通知，都应以书面形式发送，而另一方也应以书面形式确认并发送到对方明确的地址。</w:t>
      </w:r>
    </w:p>
    <w:p w14:paraId="11023B4D">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22.</w:t>
      </w:r>
      <w:r>
        <w:rPr>
          <w:rFonts w:hint="eastAsia" w:ascii="仿宋" w:hAnsi="仿宋" w:eastAsia="仿宋" w:cs="仿宋"/>
          <w:b/>
          <w:bCs/>
          <w:color w:val="auto"/>
          <w:sz w:val="24"/>
          <w:highlight w:val="none"/>
          <w:lang w:val="zh-CN" w:eastAsia="zh-CN"/>
        </w:rPr>
        <w:t>计量单位</w:t>
      </w:r>
    </w:p>
    <w:p w14:paraId="65282DEF">
      <w:pPr>
        <w:shd w:val="clear"/>
        <w:autoSpaceDE w:val="0"/>
        <w:autoSpaceDN w:val="0"/>
        <w:spacing w:line="360" w:lineRule="auto"/>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除技术规范中另有规定外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eastAsia="zh-CN"/>
        </w:rPr>
        <w:t>计量单位均使用国家法定计量单位。</w:t>
      </w:r>
    </w:p>
    <w:p w14:paraId="5356A8EB">
      <w:pPr>
        <w:shd w:val="clear"/>
        <w:autoSpaceDE w:val="0"/>
        <w:autoSpaceDN w:val="0"/>
        <w:spacing w:line="360" w:lineRule="auto"/>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23.</w:t>
      </w:r>
      <w:r>
        <w:rPr>
          <w:rFonts w:hint="eastAsia" w:ascii="仿宋" w:hAnsi="仿宋" w:eastAsia="仿宋" w:cs="仿宋"/>
          <w:b/>
          <w:bCs/>
          <w:color w:val="auto"/>
          <w:sz w:val="24"/>
          <w:highlight w:val="none"/>
          <w:lang w:val="zh-CN" w:eastAsia="zh-CN"/>
        </w:rPr>
        <w:t>适用法律</w:t>
      </w:r>
    </w:p>
    <w:p w14:paraId="1C8F321B">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zh-CN" w:eastAsia="zh-CN"/>
        </w:rPr>
        <w:t>本合同按照中华人民共和国的相关法律进行解释。</w:t>
      </w:r>
    </w:p>
    <w:p w14:paraId="42243D4C">
      <w:pPr>
        <w:keepNext w:val="0"/>
        <w:keepLines w:val="0"/>
        <w:pageBreakBefore w:val="0"/>
        <w:widowControl/>
        <w:shd w:val="clear"/>
        <w:kinsoku/>
        <w:wordWrap/>
        <w:overflowPunct/>
        <w:topLinePunct w:val="0"/>
        <w:autoSpaceDE/>
        <w:autoSpaceDN/>
        <w:bidi w:val="0"/>
        <w:adjustRightInd/>
        <w:snapToGrid/>
        <w:spacing w:before="95" w:line="560" w:lineRule="exact"/>
        <w:ind w:right="1814"/>
        <w:jc w:val="both"/>
        <w:textAlignment w:val="baseline"/>
        <w:outlineLvl w:val="9"/>
        <w:rPr>
          <w:rFonts w:hint="eastAsia" w:ascii="仿宋" w:hAnsi="仿宋" w:eastAsia="仿宋" w:cs="仿宋"/>
          <w:b/>
          <w:bCs/>
          <w:color w:val="auto"/>
          <w:sz w:val="24"/>
          <w:szCs w:val="24"/>
          <w:highlight w:val="none"/>
        </w:rPr>
      </w:pPr>
    </w:p>
    <w:p w14:paraId="04FFB397">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1BE2254B">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414951CA">
      <w:pPr>
        <w:keepNext/>
        <w:keepLines/>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b/>
          <w:bCs/>
          <w:color w:val="auto"/>
          <w:sz w:val="24"/>
          <w:szCs w:val="24"/>
          <w:highlight w:val="none"/>
        </w:rPr>
      </w:pPr>
    </w:p>
    <w:p w14:paraId="52F3F091">
      <w:pPr>
        <w:shd w:val="clear"/>
        <w:rPr>
          <w:rFonts w:hint="eastAsia"/>
          <w:color w:val="auto"/>
          <w:highlight w:val="none"/>
        </w:rPr>
      </w:pPr>
    </w:p>
    <w:p w14:paraId="3320119D">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142E5889">
      <w:pPr>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rPr>
      </w:pPr>
    </w:p>
    <w:p w14:paraId="4295E346">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128EA93D">
      <w:pPr>
        <w:keepNext w:val="0"/>
        <w:keepLines w:val="0"/>
        <w:pageBreakBefore w:val="0"/>
        <w:widowControl/>
        <w:shd w:val="clear"/>
        <w:kinsoku/>
        <w:wordWrap/>
        <w:overflowPunct/>
        <w:topLinePunct w:val="0"/>
        <w:autoSpaceDE/>
        <w:autoSpaceDN/>
        <w:bidi w:val="0"/>
        <w:adjustRightInd/>
        <w:spacing w:before="95" w:line="560" w:lineRule="exact"/>
        <w:ind w:left="2166" w:right="1814"/>
        <w:jc w:val="center"/>
        <w:textAlignment w:val="baseline"/>
        <w:outlineLvl w:val="0"/>
        <w:rPr>
          <w:rStyle w:val="35"/>
          <w:rFonts w:ascii="仿宋" w:hAnsi="仿宋" w:eastAsia="仿宋" w:cs="仿宋"/>
          <w:b/>
          <w:color w:val="auto"/>
          <w:sz w:val="36"/>
          <w:highlight w:val="none"/>
          <w:lang w:eastAsia="zh-CN"/>
        </w:rPr>
      </w:pPr>
      <w:bookmarkStart w:id="86" w:name="_Toc22952"/>
      <w:r>
        <w:rPr>
          <w:rStyle w:val="35"/>
          <w:rFonts w:hint="eastAsia" w:ascii="仿宋" w:hAnsi="仿宋" w:eastAsia="仿宋" w:cs="仿宋"/>
          <w:b/>
          <w:color w:val="auto"/>
          <w:sz w:val="36"/>
          <w:highlight w:val="none"/>
          <w:lang w:eastAsia="zh-CN"/>
        </w:rPr>
        <w:t>第五部分附件</w:t>
      </w:r>
      <w:bookmarkEnd w:id="81"/>
      <w:bookmarkEnd w:id="82"/>
      <w:bookmarkEnd w:id="83"/>
      <w:bookmarkEnd w:id="84"/>
      <w:bookmarkEnd w:id="85"/>
      <w:bookmarkEnd w:id="86"/>
    </w:p>
    <w:p w14:paraId="5560ADFF">
      <w:pPr>
        <w:pStyle w:val="60"/>
        <w:shd w:val="clear"/>
        <w:ind w:firstLine="643"/>
        <w:jc w:val="center"/>
        <w:rPr>
          <w:rFonts w:hint="default"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t>封面格式</w:t>
      </w:r>
    </w:p>
    <w:p w14:paraId="025AC971">
      <w:pPr>
        <w:shd w:val="clear"/>
        <w:spacing w:line="579" w:lineRule="exact"/>
        <w:rPr>
          <w:rFonts w:ascii="仿宋" w:hAnsi="仿宋" w:eastAsia="仿宋" w:cs="仿宋"/>
          <w:b/>
          <w:color w:val="auto"/>
          <w:highlight w:val="none"/>
          <w:lang w:eastAsia="zh-CN"/>
        </w:rPr>
      </w:pPr>
    </w:p>
    <w:p w14:paraId="7B111322">
      <w:pPr>
        <w:shd w:val="clear"/>
        <w:spacing w:line="579" w:lineRule="exact"/>
        <w:jc w:val="center"/>
        <w:rPr>
          <w:rFonts w:ascii="仿宋" w:hAnsi="仿宋" w:eastAsia="仿宋" w:cs="仿宋"/>
          <w:b/>
          <w:color w:val="auto"/>
          <w:sz w:val="48"/>
          <w:szCs w:val="36"/>
          <w:highlight w:val="none"/>
          <w:lang w:eastAsia="zh-CN" w:bidi="ar"/>
        </w:rPr>
      </w:pPr>
    </w:p>
    <w:p w14:paraId="53E20459">
      <w:pPr>
        <w:shd w:val="clear"/>
        <w:spacing w:line="579" w:lineRule="exact"/>
        <w:jc w:val="center"/>
        <w:rPr>
          <w:rFonts w:ascii="仿宋" w:hAnsi="仿宋" w:eastAsia="仿宋" w:cs="仿宋"/>
          <w:b/>
          <w:color w:val="auto"/>
          <w:sz w:val="52"/>
          <w:szCs w:val="40"/>
          <w:highlight w:val="none"/>
          <w:lang w:eastAsia="zh-CN" w:bidi="ar"/>
        </w:rPr>
      </w:pPr>
      <w:r>
        <w:rPr>
          <w:rFonts w:hint="eastAsia" w:ascii="仿宋" w:hAnsi="仿宋" w:eastAsia="仿宋" w:cs="仿宋"/>
          <w:b/>
          <w:color w:val="auto"/>
          <w:sz w:val="52"/>
          <w:szCs w:val="52"/>
          <w:highlight w:val="none"/>
          <w:lang w:eastAsia="zh-CN"/>
        </w:rPr>
        <w:t>自治区文化和旅游厅态势感知平台升级和漏洞扫描服务项目</w:t>
      </w:r>
    </w:p>
    <w:p w14:paraId="2DA2375B">
      <w:pPr>
        <w:shd w:val="clear"/>
        <w:spacing w:line="579" w:lineRule="exact"/>
        <w:jc w:val="center"/>
        <w:rPr>
          <w:rFonts w:ascii="仿宋" w:hAnsi="仿宋" w:eastAsia="仿宋" w:cs="仿宋"/>
          <w:b/>
          <w:color w:val="auto"/>
          <w:sz w:val="52"/>
          <w:szCs w:val="40"/>
          <w:highlight w:val="none"/>
          <w:lang w:eastAsia="zh-CN" w:bidi="ar"/>
        </w:rPr>
      </w:pPr>
    </w:p>
    <w:p w14:paraId="22709931">
      <w:pPr>
        <w:shd w:val="clear"/>
        <w:spacing w:line="579" w:lineRule="exact"/>
        <w:jc w:val="center"/>
        <w:rPr>
          <w:rFonts w:ascii="仿宋" w:hAnsi="仿宋" w:eastAsia="仿宋" w:cs="仿宋"/>
          <w:b/>
          <w:color w:val="auto"/>
          <w:sz w:val="52"/>
          <w:szCs w:val="52"/>
          <w:highlight w:val="none"/>
          <w:lang w:eastAsia="zh-CN"/>
        </w:rPr>
      </w:pPr>
      <w:r>
        <w:rPr>
          <w:rFonts w:hint="eastAsia" w:ascii="仿宋" w:hAnsi="仿宋" w:eastAsia="仿宋" w:cs="仿宋"/>
          <w:b/>
          <w:color w:val="auto"/>
          <w:sz w:val="52"/>
          <w:szCs w:val="40"/>
          <w:highlight w:val="none"/>
          <w:lang w:eastAsia="zh-CN" w:bidi="ar"/>
        </w:rPr>
        <w:t>磋 商 响 应 文 件</w:t>
      </w:r>
    </w:p>
    <w:p w14:paraId="34024DD9">
      <w:pPr>
        <w:shd w:val="clear"/>
        <w:spacing w:line="579" w:lineRule="exact"/>
        <w:rPr>
          <w:rFonts w:ascii="仿宋" w:hAnsi="仿宋" w:eastAsia="仿宋" w:cs="仿宋"/>
          <w:color w:val="auto"/>
          <w:highlight w:val="none"/>
          <w:lang w:eastAsia="zh-CN"/>
        </w:rPr>
      </w:pPr>
    </w:p>
    <w:p w14:paraId="3B821CCA">
      <w:pPr>
        <w:shd w:val="clear"/>
        <w:spacing w:line="579" w:lineRule="exact"/>
        <w:rPr>
          <w:rFonts w:ascii="仿宋" w:hAnsi="仿宋" w:eastAsia="仿宋" w:cs="仿宋"/>
          <w:color w:val="auto"/>
          <w:highlight w:val="none"/>
          <w:lang w:eastAsia="zh-CN"/>
        </w:rPr>
      </w:pPr>
    </w:p>
    <w:p w14:paraId="71CDFAFB">
      <w:pPr>
        <w:shd w:val="clear"/>
        <w:spacing w:line="579" w:lineRule="exact"/>
        <w:rPr>
          <w:rFonts w:ascii="仿宋" w:hAnsi="仿宋" w:eastAsia="仿宋" w:cs="仿宋"/>
          <w:color w:val="auto"/>
          <w:highlight w:val="none"/>
          <w:lang w:eastAsia="zh-CN"/>
        </w:rPr>
      </w:pPr>
    </w:p>
    <w:p w14:paraId="6E2854A4">
      <w:pPr>
        <w:shd w:val="clear"/>
        <w:spacing w:line="579" w:lineRule="exact"/>
        <w:rPr>
          <w:rFonts w:ascii="仿宋" w:hAnsi="仿宋" w:eastAsia="仿宋" w:cs="仿宋"/>
          <w:color w:val="auto"/>
          <w:highlight w:val="none"/>
          <w:lang w:eastAsia="zh-CN"/>
        </w:rPr>
      </w:pPr>
    </w:p>
    <w:p w14:paraId="75583DA6">
      <w:pPr>
        <w:shd w:val="clear"/>
        <w:spacing w:line="579" w:lineRule="exact"/>
        <w:rPr>
          <w:rFonts w:ascii="仿宋" w:hAnsi="仿宋" w:eastAsia="仿宋" w:cs="仿宋"/>
          <w:color w:val="auto"/>
          <w:highlight w:val="none"/>
          <w:lang w:eastAsia="zh-CN"/>
        </w:rPr>
      </w:pPr>
    </w:p>
    <w:p w14:paraId="04B306B2">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项目名称：</w:t>
      </w:r>
    </w:p>
    <w:p w14:paraId="50808ED9">
      <w:pPr>
        <w:shd w:val="clear"/>
        <w:spacing w:line="579" w:lineRule="exac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项目编号:</w:t>
      </w:r>
    </w:p>
    <w:p w14:paraId="25778247">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供应商名称：（盖章）</w:t>
      </w:r>
    </w:p>
    <w:p w14:paraId="095ABFF5">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法定代表人或授权代理人：（签字或盖章）</w:t>
      </w:r>
    </w:p>
    <w:p w14:paraId="14F1FB85">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供应商地址：</w:t>
      </w:r>
    </w:p>
    <w:p w14:paraId="393DDDD5">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联系人姓名：</w:t>
      </w:r>
    </w:p>
    <w:p w14:paraId="7189172A">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联系方式:</w:t>
      </w:r>
    </w:p>
    <w:p w14:paraId="4FCD78C2">
      <w:pPr>
        <w:pStyle w:val="60"/>
        <w:shd w:val="clear"/>
        <w:ind w:firstLine="643"/>
        <w:jc w:val="center"/>
        <w:rPr>
          <w:rFonts w:ascii="仿宋" w:hAnsi="仿宋" w:eastAsia="仿宋" w:cs="仿宋"/>
          <w:b/>
          <w:color w:val="auto"/>
          <w:sz w:val="32"/>
          <w:szCs w:val="32"/>
          <w:highlight w:val="none"/>
          <w:lang w:eastAsia="zh-CN"/>
        </w:rPr>
      </w:pPr>
    </w:p>
    <w:p w14:paraId="734CC105">
      <w:pPr>
        <w:pStyle w:val="60"/>
        <w:shd w:val="clear"/>
        <w:ind w:firstLine="643"/>
        <w:jc w:val="center"/>
        <w:rPr>
          <w:rFonts w:ascii="仿宋" w:hAnsi="仿宋" w:eastAsia="仿宋" w:cs="仿宋"/>
          <w:b/>
          <w:color w:val="auto"/>
          <w:sz w:val="32"/>
          <w:szCs w:val="32"/>
          <w:highlight w:val="none"/>
          <w:lang w:eastAsia="zh-CN"/>
        </w:rPr>
      </w:pPr>
    </w:p>
    <w:p w14:paraId="22F1A4FB">
      <w:pPr>
        <w:pStyle w:val="60"/>
        <w:shd w:val="clear"/>
        <w:ind w:firstLine="643"/>
        <w:jc w:val="center"/>
        <w:rPr>
          <w:rFonts w:ascii="仿宋" w:hAnsi="仿宋" w:eastAsia="仿宋" w:cs="仿宋"/>
          <w:b/>
          <w:color w:val="auto"/>
          <w:sz w:val="32"/>
          <w:szCs w:val="32"/>
          <w:highlight w:val="none"/>
          <w:lang w:eastAsia="zh-CN"/>
        </w:rPr>
      </w:pPr>
    </w:p>
    <w:p w14:paraId="27A11F24">
      <w:pPr>
        <w:pStyle w:val="60"/>
        <w:shd w:val="clear"/>
        <w:ind w:firstLine="643"/>
        <w:jc w:val="center"/>
        <w:rPr>
          <w:rFonts w:ascii="仿宋" w:hAnsi="仿宋" w:eastAsia="仿宋" w:cs="仿宋"/>
          <w:b/>
          <w:color w:val="auto"/>
          <w:sz w:val="32"/>
          <w:szCs w:val="32"/>
          <w:highlight w:val="none"/>
          <w:lang w:eastAsia="zh-CN"/>
        </w:rPr>
      </w:pPr>
    </w:p>
    <w:p w14:paraId="0800C620">
      <w:pPr>
        <w:shd w:val="clear"/>
        <w:spacing w:before="120" w:after="120" w:line="500" w:lineRule="exact"/>
        <w:ind w:firstLine="643"/>
        <w:jc w:val="center"/>
        <w:outlineLvl w:val="1"/>
        <w:rPr>
          <w:rFonts w:ascii="仿宋" w:hAnsi="仿宋" w:eastAsia="仿宋" w:cs="仿宋"/>
          <w:color w:val="auto"/>
          <w:highlight w:val="none"/>
        </w:rPr>
      </w:pPr>
      <w:bookmarkStart w:id="87" w:name="_Toc31950"/>
      <w:bookmarkStart w:id="88" w:name="_Toc21563"/>
      <w:bookmarkStart w:id="89" w:name="_Toc83546621"/>
      <w:bookmarkStart w:id="90" w:name="_Toc22554395"/>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第一部分</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rPr>
        <w:t>资格证明文件</w:t>
      </w:r>
      <w:bookmarkEnd w:id="87"/>
      <w:bookmarkEnd w:id="88"/>
      <w:bookmarkEnd w:id="89"/>
    </w:p>
    <w:p w14:paraId="53A6477C">
      <w:pPr>
        <w:shd w:val="clea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投标人应按下列顺序排序资格审查文件：</w:t>
      </w:r>
    </w:p>
    <w:p w14:paraId="631874CC">
      <w:pPr>
        <w:shd w:val="clea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）法人或者非法人组织的营业执照等证明文件</w:t>
      </w:r>
      <w:bookmarkStart w:id="91" w:name="_Toc515647806"/>
      <w:r>
        <w:rPr>
          <w:rFonts w:hint="eastAsia" w:ascii="仿宋" w:hAnsi="仿宋" w:eastAsia="仿宋" w:cs="仿宋"/>
          <w:color w:val="auto"/>
          <w:highlight w:val="none"/>
          <w:lang w:eastAsia="zh-CN"/>
        </w:rPr>
        <w:t>或自然人的身份证明</w:t>
      </w:r>
      <w:bookmarkEnd w:id="91"/>
      <w:r>
        <w:rPr>
          <w:rFonts w:hint="eastAsia" w:ascii="仿宋" w:hAnsi="仿宋" w:eastAsia="仿宋" w:cs="仿宋"/>
          <w:color w:val="auto"/>
          <w:highlight w:val="none"/>
        </w:rPr>
        <w:t>（复印件）；</w:t>
      </w:r>
    </w:p>
    <w:p w14:paraId="3F319430">
      <w:pPr>
        <w:shd w:val="clea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）提供法定代表人身份证明或法定代表人授权委托书；（原件）</w:t>
      </w:r>
    </w:p>
    <w:p w14:paraId="16210D2A">
      <w:pPr>
        <w:shd w:val="clear"/>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政府采购供应商信用承诺函</w:t>
      </w:r>
    </w:p>
    <w:p w14:paraId="1C3BC02E">
      <w:pPr>
        <w:shd w:val="clear"/>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lang w:eastAsia="zh-CN"/>
        </w:rPr>
        <w:t>）供应商无关联关系书面声明函</w:t>
      </w:r>
    </w:p>
    <w:p w14:paraId="1489B43B">
      <w:pPr>
        <w:shd w:val="clear"/>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中小企业声明函</w:t>
      </w:r>
      <w:r>
        <w:rPr>
          <w:rFonts w:hint="eastAsia" w:ascii="仿宋" w:hAnsi="仿宋" w:eastAsia="仿宋" w:cs="仿宋"/>
          <w:color w:val="auto"/>
          <w:highlight w:val="none"/>
          <w:lang w:eastAsia="zh-CN"/>
        </w:rPr>
        <w:t>》</w:t>
      </w:r>
    </w:p>
    <w:p w14:paraId="4E1BC183">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020FA889">
      <w:pPr>
        <w:shd w:val="clear"/>
        <w:spacing w:line="440" w:lineRule="exact"/>
        <w:ind w:firstLine="480"/>
        <w:rPr>
          <w:rFonts w:ascii="仿宋" w:hAnsi="仿宋" w:eastAsia="仿宋" w:cs="仿宋"/>
          <w:color w:val="auto"/>
          <w:highlight w:val="none"/>
        </w:rPr>
      </w:pPr>
    </w:p>
    <w:p w14:paraId="338E20F2">
      <w:pPr>
        <w:keepNext w:val="0"/>
        <w:keepLines w:val="0"/>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ascii="仿宋" w:hAnsi="仿宋" w:eastAsia="仿宋" w:cs="仿宋"/>
          <w:b/>
          <w:color w:val="auto"/>
          <w:sz w:val="24"/>
          <w:highlight w:val="none"/>
        </w:rPr>
      </w:pPr>
    </w:p>
    <w:p w14:paraId="502A7FE4">
      <w:pPr>
        <w:pStyle w:val="7"/>
        <w:shd w:val="clear"/>
        <w:ind w:firstLine="482"/>
        <w:rPr>
          <w:rFonts w:ascii="仿宋" w:hAnsi="仿宋" w:eastAsia="仿宋" w:cs="仿宋"/>
          <w:b/>
          <w:color w:val="auto"/>
          <w:sz w:val="24"/>
          <w:szCs w:val="24"/>
          <w:highlight w:val="none"/>
        </w:rPr>
      </w:pPr>
    </w:p>
    <w:p w14:paraId="1B87681F">
      <w:pPr>
        <w:pStyle w:val="7"/>
        <w:shd w:val="clear"/>
        <w:ind w:firstLine="482"/>
        <w:rPr>
          <w:rFonts w:ascii="仿宋" w:hAnsi="仿宋" w:eastAsia="仿宋" w:cs="仿宋"/>
          <w:b/>
          <w:color w:val="auto"/>
          <w:sz w:val="24"/>
          <w:szCs w:val="24"/>
          <w:highlight w:val="none"/>
        </w:rPr>
      </w:pPr>
    </w:p>
    <w:p w14:paraId="17304D5C">
      <w:pPr>
        <w:pStyle w:val="7"/>
        <w:shd w:val="clear"/>
        <w:ind w:firstLine="482"/>
        <w:rPr>
          <w:rFonts w:ascii="仿宋" w:hAnsi="仿宋" w:eastAsia="仿宋" w:cs="仿宋"/>
          <w:b/>
          <w:color w:val="auto"/>
          <w:sz w:val="24"/>
          <w:szCs w:val="24"/>
          <w:highlight w:val="none"/>
        </w:rPr>
      </w:pPr>
    </w:p>
    <w:p w14:paraId="2D27D7B1">
      <w:pPr>
        <w:pStyle w:val="7"/>
        <w:shd w:val="clear"/>
        <w:ind w:firstLine="482"/>
        <w:rPr>
          <w:rFonts w:ascii="仿宋" w:hAnsi="仿宋" w:eastAsia="仿宋" w:cs="仿宋"/>
          <w:b/>
          <w:color w:val="auto"/>
          <w:sz w:val="24"/>
          <w:szCs w:val="24"/>
          <w:highlight w:val="none"/>
        </w:rPr>
      </w:pPr>
    </w:p>
    <w:p w14:paraId="2A7228C8">
      <w:pPr>
        <w:pStyle w:val="7"/>
        <w:shd w:val="clear"/>
        <w:ind w:firstLine="482"/>
        <w:rPr>
          <w:rFonts w:ascii="仿宋" w:hAnsi="仿宋" w:eastAsia="仿宋" w:cs="仿宋"/>
          <w:b/>
          <w:color w:val="auto"/>
          <w:sz w:val="24"/>
          <w:szCs w:val="24"/>
          <w:highlight w:val="none"/>
        </w:rPr>
      </w:pPr>
    </w:p>
    <w:p w14:paraId="277D958A">
      <w:pPr>
        <w:pStyle w:val="7"/>
        <w:shd w:val="clear"/>
        <w:ind w:firstLine="482"/>
        <w:rPr>
          <w:rFonts w:ascii="仿宋" w:hAnsi="仿宋" w:eastAsia="仿宋" w:cs="仿宋"/>
          <w:b/>
          <w:color w:val="auto"/>
          <w:sz w:val="24"/>
          <w:szCs w:val="24"/>
          <w:highlight w:val="none"/>
        </w:rPr>
      </w:pPr>
    </w:p>
    <w:p w14:paraId="0BDCC5AC">
      <w:pPr>
        <w:shd w:val="clear"/>
        <w:rPr>
          <w:rFonts w:ascii="仿宋" w:hAnsi="仿宋" w:eastAsia="仿宋" w:cs="仿宋"/>
          <w:b/>
          <w:color w:val="auto"/>
          <w:sz w:val="24"/>
          <w:szCs w:val="24"/>
          <w:highlight w:val="none"/>
        </w:rPr>
      </w:pPr>
    </w:p>
    <w:p w14:paraId="50C633F9">
      <w:pPr>
        <w:keepNext/>
        <w:keepLines/>
        <w:pageBreakBefore w:val="0"/>
        <w:widowControl/>
        <w:shd w:val="clear"/>
        <w:kinsoku/>
        <w:wordWrap/>
        <w:overflowPunct/>
        <w:topLinePunct w:val="0"/>
        <w:autoSpaceDE/>
        <w:autoSpaceDN/>
        <w:bidi w:val="0"/>
        <w:adjustRightInd/>
        <w:snapToGrid/>
        <w:textAlignment w:val="baseline"/>
        <w:outlineLvl w:val="9"/>
        <w:rPr>
          <w:rFonts w:ascii="仿宋" w:hAnsi="仿宋" w:eastAsia="仿宋" w:cs="仿宋"/>
          <w:b/>
          <w:color w:val="auto"/>
          <w:sz w:val="24"/>
          <w:szCs w:val="24"/>
          <w:highlight w:val="none"/>
        </w:rPr>
      </w:pPr>
    </w:p>
    <w:p w14:paraId="36F2379E">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rPr>
      </w:pPr>
    </w:p>
    <w:p w14:paraId="467B6DBB">
      <w:pPr>
        <w:shd w:val="clear"/>
        <w:rPr>
          <w:color w:val="auto"/>
          <w:highlight w:val="none"/>
        </w:rPr>
      </w:pPr>
    </w:p>
    <w:p w14:paraId="15318B8E">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rPr>
      </w:pPr>
    </w:p>
    <w:p w14:paraId="1ADD9FE8">
      <w:pPr>
        <w:pStyle w:val="7"/>
        <w:shd w:val="clear"/>
        <w:ind w:firstLine="482"/>
        <w:rPr>
          <w:rFonts w:ascii="仿宋" w:hAnsi="仿宋" w:eastAsia="仿宋" w:cs="仿宋"/>
          <w:b/>
          <w:color w:val="auto"/>
          <w:sz w:val="24"/>
          <w:szCs w:val="24"/>
          <w:highlight w:val="none"/>
        </w:rPr>
      </w:pPr>
    </w:p>
    <w:p w14:paraId="0BC718F7">
      <w:pPr>
        <w:pStyle w:val="7"/>
        <w:shd w:val="clear"/>
        <w:ind w:firstLine="482"/>
        <w:rPr>
          <w:rFonts w:ascii="仿宋" w:hAnsi="仿宋" w:eastAsia="仿宋" w:cs="仿宋"/>
          <w:b/>
          <w:color w:val="auto"/>
          <w:sz w:val="24"/>
          <w:szCs w:val="24"/>
          <w:highlight w:val="none"/>
        </w:rPr>
      </w:pPr>
    </w:p>
    <w:p w14:paraId="347FCE85">
      <w:pPr>
        <w:pStyle w:val="7"/>
        <w:shd w:val="clear"/>
        <w:ind w:firstLine="482"/>
        <w:rPr>
          <w:rFonts w:ascii="仿宋" w:hAnsi="仿宋" w:eastAsia="仿宋" w:cs="仿宋"/>
          <w:b/>
          <w:color w:val="auto"/>
          <w:sz w:val="24"/>
          <w:szCs w:val="24"/>
          <w:highlight w:val="none"/>
        </w:rPr>
      </w:pPr>
    </w:p>
    <w:p w14:paraId="0C25A420">
      <w:pPr>
        <w:shd w:val="clear"/>
        <w:rPr>
          <w:rFonts w:ascii="仿宋" w:hAnsi="仿宋" w:eastAsia="仿宋" w:cs="仿宋"/>
          <w:b/>
          <w:color w:val="auto"/>
          <w:sz w:val="24"/>
          <w:szCs w:val="24"/>
          <w:highlight w:val="none"/>
        </w:rPr>
      </w:pPr>
    </w:p>
    <w:p w14:paraId="22D080CE">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rPr>
      </w:pPr>
    </w:p>
    <w:p w14:paraId="5DC82670">
      <w:pPr>
        <w:pStyle w:val="7"/>
        <w:shd w:val="clear"/>
        <w:ind w:firstLine="482"/>
        <w:rPr>
          <w:rFonts w:ascii="仿宋" w:hAnsi="仿宋" w:eastAsia="仿宋" w:cs="仿宋"/>
          <w:b/>
          <w:color w:val="auto"/>
          <w:sz w:val="24"/>
          <w:szCs w:val="24"/>
          <w:highlight w:val="none"/>
        </w:rPr>
      </w:pPr>
    </w:p>
    <w:p w14:paraId="0DC62957">
      <w:pPr>
        <w:shd w:val="clear"/>
        <w:rPr>
          <w:color w:val="auto"/>
          <w:highlight w:val="none"/>
        </w:rPr>
      </w:pPr>
    </w:p>
    <w:p w14:paraId="274746E0">
      <w:pPr>
        <w:shd w:val="clear"/>
        <w:rPr>
          <w:color w:val="auto"/>
          <w:highlight w:val="none"/>
        </w:rPr>
      </w:pPr>
    </w:p>
    <w:p w14:paraId="3741CFF2">
      <w:pPr>
        <w:shd w:val="clear"/>
        <w:rPr>
          <w:color w:val="auto"/>
          <w:highlight w:val="none"/>
        </w:rPr>
      </w:pPr>
    </w:p>
    <w:p w14:paraId="05A45208">
      <w:pPr>
        <w:shd w:val="clear"/>
        <w:rPr>
          <w:color w:val="auto"/>
          <w:highlight w:val="none"/>
        </w:rPr>
      </w:pPr>
    </w:p>
    <w:p w14:paraId="3DC70350">
      <w:pPr>
        <w:pStyle w:val="7"/>
        <w:shd w:val="clear"/>
        <w:ind w:firstLine="482"/>
        <w:rPr>
          <w:rFonts w:ascii="仿宋" w:hAnsi="仿宋" w:eastAsia="仿宋" w:cs="仿宋"/>
          <w:b/>
          <w:color w:val="auto"/>
          <w:sz w:val="24"/>
          <w:szCs w:val="24"/>
          <w:highlight w:val="none"/>
        </w:rPr>
      </w:pPr>
    </w:p>
    <w:p w14:paraId="313FB877">
      <w:pPr>
        <w:keepNext w:val="0"/>
        <w:keepLines w:val="0"/>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提供合法有效的营业执照</w:t>
      </w:r>
      <w:bookmarkEnd w:id="90"/>
    </w:p>
    <w:p w14:paraId="4C67C530">
      <w:pPr>
        <w:keepNext/>
        <w:keepLines/>
        <w:pageBreakBefore w:val="0"/>
        <w:widowControl/>
        <w:shd w:val="clear"/>
        <w:kinsoku/>
        <w:wordWrap/>
        <w:overflowPunct/>
        <w:topLinePunct w:val="0"/>
        <w:autoSpaceDE/>
        <w:autoSpaceDN/>
        <w:bidi w:val="0"/>
        <w:adjustRightInd/>
        <w:snapToGrid/>
        <w:spacing w:line="500" w:lineRule="exact"/>
        <w:ind w:firstLine="440" w:firstLineChars="200"/>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说明：1.提供有效的营业执照等证明文件复印件，复印件上应加盖章。</w:t>
      </w:r>
    </w:p>
    <w:p w14:paraId="02FEB469">
      <w:pPr>
        <w:keepNext/>
        <w:keepLines/>
        <w:pageBreakBefore w:val="0"/>
        <w:widowControl/>
        <w:shd w:val="clear"/>
        <w:kinsoku/>
        <w:wordWrap/>
        <w:overflowPunct/>
        <w:topLinePunct w:val="0"/>
        <w:autoSpaceDE/>
        <w:autoSpaceDN/>
        <w:bidi w:val="0"/>
        <w:adjustRightInd/>
        <w:snapToGrid/>
        <w:spacing w:line="500" w:lineRule="exac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2.供应商为自然人的，应提供身份证明的复印件。</w:t>
      </w:r>
    </w:p>
    <w:p w14:paraId="783E81D9">
      <w:pPr>
        <w:keepNext/>
        <w:keepLines/>
        <w:pageBreakBefore w:val="0"/>
        <w:widowControl/>
        <w:shd w:val="clear"/>
        <w:kinsoku/>
        <w:wordWrap/>
        <w:overflowPunct/>
        <w:topLinePunct w:val="0"/>
        <w:autoSpaceDE/>
        <w:autoSpaceDN/>
        <w:bidi w:val="0"/>
        <w:adjustRightInd/>
        <w:snapToGrid/>
        <w:spacing w:line="500" w:lineRule="exac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3.联合体应提供联合体各方满足以上要求的证明文件。</w:t>
      </w:r>
    </w:p>
    <w:p w14:paraId="16221C59">
      <w:pPr>
        <w:keepNext/>
        <w:keepLines/>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highlight w:val="none"/>
        </w:rPr>
      </w:pPr>
    </w:p>
    <w:p w14:paraId="2633E796">
      <w:pPr>
        <w:keepNext/>
        <w:keepLines/>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hint="eastAsia" w:ascii="仿宋" w:hAnsi="仿宋" w:eastAsia="仿宋" w:cs="仿宋"/>
          <w:b/>
          <w:bCs/>
          <w:color w:val="auto"/>
          <w:szCs w:val="24"/>
          <w:highlight w:val="none"/>
          <w:lang w:val="en-US" w:eastAsia="zh-CN"/>
        </w:rPr>
      </w:pPr>
    </w:p>
    <w:p w14:paraId="2C89E55D">
      <w:pPr>
        <w:keepNext/>
        <w:keepLines/>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2、</w:t>
      </w:r>
      <w:r>
        <w:rPr>
          <w:rFonts w:ascii="仿宋" w:hAnsi="仿宋" w:eastAsia="仿宋" w:cs="仿宋"/>
          <w:b/>
          <w:bCs/>
          <w:color w:val="auto"/>
          <w:szCs w:val="24"/>
          <w:highlight w:val="none"/>
        </w:rPr>
        <w:t>法定代表人授权委托书</w:t>
      </w:r>
    </w:p>
    <w:p w14:paraId="4A508C4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的法人代表人，现授权委托</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为我公司代理人，以本公司的名义参加</w:t>
      </w:r>
      <w:r>
        <w:rPr>
          <w:rFonts w:hint="eastAsia" w:ascii="仿宋" w:hAnsi="仿宋" w:eastAsia="仿宋" w:cs="仿宋"/>
          <w:color w:val="auto"/>
          <w:sz w:val="24"/>
          <w:highlight w:val="none"/>
          <w:u w:val="single"/>
        </w:rPr>
        <w:t>（招标人）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u w:val="single"/>
          <w:lang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的投标活动。代理人在参加整个项目招标活动、合同签署过程中所签署的一切文件和处理与之有关的一切事物，我单位均予以承认。</w:t>
      </w:r>
    </w:p>
    <w:p w14:paraId="5BE2523A">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代理人：              性别：         年龄：       </w:t>
      </w:r>
    </w:p>
    <w:p w14:paraId="667812C4">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部门：         职务：       </w:t>
      </w:r>
    </w:p>
    <w:p w14:paraId="26AD22BB">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邮箱：                   </w:t>
      </w:r>
    </w:p>
    <w:p w14:paraId="07C7FE44">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代理人无转委权。特此委托。</w:t>
      </w:r>
    </w:p>
    <w:p w14:paraId="7C0E6E56">
      <w:pPr>
        <w:shd w:val="clea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授权人身份证复印件（正反面）：</w:t>
      </w:r>
    </w:p>
    <w:p w14:paraId="70411A1A">
      <w:pPr>
        <w:shd w:val="clear"/>
        <w:spacing w:line="500" w:lineRule="exact"/>
        <w:ind w:firstLine="480"/>
        <w:rPr>
          <w:rFonts w:ascii="仿宋" w:hAnsi="仿宋" w:eastAsia="仿宋" w:cs="仿宋"/>
          <w:color w:val="auto"/>
          <w:sz w:val="24"/>
          <w:highlight w:val="none"/>
        </w:rPr>
      </w:pPr>
    </w:p>
    <w:p w14:paraId="48C9166C">
      <w:pPr>
        <w:shd w:val="clea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被授权人身份证复印件（正反面）：</w:t>
      </w:r>
    </w:p>
    <w:p w14:paraId="4EBC5CA1">
      <w:pPr>
        <w:shd w:val="clear"/>
        <w:spacing w:line="500" w:lineRule="exact"/>
        <w:ind w:firstLine="480"/>
        <w:rPr>
          <w:rFonts w:ascii="仿宋" w:hAnsi="仿宋" w:eastAsia="仿宋" w:cs="仿宋"/>
          <w:color w:val="auto"/>
          <w:sz w:val="24"/>
          <w:highlight w:val="none"/>
        </w:rPr>
      </w:pPr>
    </w:p>
    <w:p w14:paraId="1E57A63A">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54FCC11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004045C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7E98376">
      <w:pPr>
        <w:shd w:val="clear"/>
        <w:spacing w:line="500" w:lineRule="exact"/>
        <w:ind w:firstLine="480"/>
        <w:rPr>
          <w:rFonts w:ascii="仿宋" w:hAnsi="仿宋" w:eastAsia="仿宋" w:cs="仿宋"/>
          <w:color w:val="auto"/>
          <w:sz w:val="24"/>
          <w:highlight w:val="none"/>
        </w:rPr>
      </w:pPr>
    </w:p>
    <w:p w14:paraId="689A0DA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注：1、法定代表人本人作为公司代理人前来参与投标的，不提供此项证明文件。</w:t>
      </w:r>
    </w:p>
    <w:p w14:paraId="3D385781">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2、授权书上应当附有授权人和被授权人的居民身份证复印件（正反面）。</w:t>
      </w:r>
    </w:p>
    <w:p w14:paraId="527C24B8">
      <w:pPr>
        <w:keepNext/>
        <w:keepLines/>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r>
        <w:rPr>
          <w:rFonts w:hint="eastAsia" w:ascii="仿宋" w:hAnsi="仿宋" w:eastAsia="仿宋" w:cs="仿宋"/>
          <w:b/>
          <w:bCs/>
          <w:color w:val="auto"/>
          <w:szCs w:val="24"/>
          <w:highlight w:val="none"/>
          <w:lang w:val="en-US" w:eastAsia="zh-CN"/>
        </w:rPr>
        <w:t>3、</w:t>
      </w:r>
      <w:r>
        <w:rPr>
          <w:rFonts w:ascii="仿宋" w:hAnsi="仿宋" w:eastAsia="仿宋" w:cs="仿宋"/>
          <w:b/>
          <w:bCs/>
          <w:color w:val="auto"/>
          <w:szCs w:val="24"/>
          <w:highlight w:val="none"/>
        </w:rPr>
        <w:t>法定代表人身份证明书</w:t>
      </w:r>
    </w:p>
    <w:p w14:paraId="5BBF8468">
      <w:pPr>
        <w:shd w:val="clear"/>
        <w:spacing w:line="500" w:lineRule="exact"/>
        <w:ind w:firstLine="480"/>
        <w:rPr>
          <w:rFonts w:ascii="仿宋" w:hAnsi="仿宋" w:eastAsia="仿宋" w:cs="仿宋"/>
          <w:color w:val="auto"/>
          <w:sz w:val="24"/>
          <w:highlight w:val="none"/>
        </w:rPr>
      </w:pPr>
    </w:p>
    <w:p w14:paraId="6905D0C2">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                                                   </w:t>
      </w:r>
    </w:p>
    <w:p w14:paraId="1BC3E2CA">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企业类型：                                                   </w:t>
      </w:r>
    </w:p>
    <w:p w14:paraId="3C2F0F73">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6D39B4DE">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营业期限：                                                   </w:t>
      </w:r>
    </w:p>
    <w:p w14:paraId="04E1C36B">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成立时间：                                                   </w:t>
      </w:r>
    </w:p>
    <w:p w14:paraId="4E635DF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姓名：                  性别：            年龄：             </w:t>
      </w:r>
    </w:p>
    <w:p w14:paraId="73147BCA">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职务：                </w:t>
      </w:r>
    </w:p>
    <w:p w14:paraId="14D62E0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（投标单位名称）          </w:t>
      </w:r>
      <w:r>
        <w:rPr>
          <w:rFonts w:hint="eastAsia" w:ascii="仿宋" w:hAnsi="仿宋" w:eastAsia="仿宋" w:cs="仿宋"/>
          <w:color w:val="auto"/>
          <w:sz w:val="24"/>
          <w:highlight w:val="none"/>
        </w:rPr>
        <w:t>的法定代表人。</w:t>
      </w:r>
    </w:p>
    <w:p w14:paraId="244C634D">
      <w:pPr>
        <w:shd w:val="clear"/>
        <w:spacing w:line="500" w:lineRule="exact"/>
        <w:ind w:firstLine="480"/>
        <w:rPr>
          <w:rFonts w:ascii="仿宋" w:hAnsi="仿宋" w:eastAsia="仿宋" w:cs="仿宋"/>
          <w:color w:val="auto"/>
          <w:sz w:val="24"/>
          <w:highlight w:val="none"/>
        </w:rPr>
      </w:pPr>
    </w:p>
    <w:p w14:paraId="5E79FDF4">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D534BF2">
      <w:pPr>
        <w:shd w:val="clear"/>
        <w:spacing w:line="500" w:lineRule="exact"/>
        <w:ind w:firstLine="480"/>
        <w:rPr>
          <w:rFonts w:ascii="仿宋" w:hAnsi="仿宋" w:eastAsia="仿宋" w:cs="仿宋"/>
          <w:color w:val="auto"/>
          <w:sz w:val="24"/>
          <w:highlight w:val="none"/>
        </w:rPr>
      </w:pPr>
    </w:p>
    <w:p w14:paraId="6A76D2BB">
      <w:pPr>
        <w:shd w:val="clea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法定代表人身份证复印件（正反面）：</w:t>
      </w:r>
    </w:p>
    <w:p w14:paraId="196303B7">
      <w:pPr>
        <w:shd w:val="clear"/>
        <w:spacing w:line="500" w:lineRule="exact"/>
        <w:ind w:firstLine="480"/>
        <w:rPr>
          <w:rFonts w:ascii="仿宋" w:hAnsi="仿宋" w:eastAsia="仿宋" w:cs="仿宋"/>
          <w:color w:val="auto"/>
          <w:sz w:val="24"/>
          <w:highlight w:val="none"/>
        </w:rPr>
      </w:pPr>
    </w:p>
    <w:p w14:paraId="60753E6F">
      <w:pPr>
        <w:shd w:val="clear"/>
        <w:spacing w:line="500" w:lineRule="exact"/>
        <w:ind w:firstLine="480"/>
        <w:rPr>
          <w:rFonts w:ascii="仿宋" w:hAnsi="仿宋" w:eastAsia="仿宋" w:cs="仿宋"/>
          <w:color w:val="auto"/>
          <w:sz w:val="24"/>
          <w:highlight w:val="none"/>
        </w:rPr>
      </w:pPr>
    </w:p>
    <w:p w14:paraId="571571C7">
      <w:pPr>
        <w:shd w:val="clear"/>
        <w:spacing w:line="500" w:lineRule="exact"/>
        <w:ind w:firstLine="480"/>
        <w:rPr>
          <w:rFonts w:ascii="仿宋" w:hAnsi="仿宋" w:eastAsia="仿宋" w:cs="仿宋"/>
          <w:color w:val="auto"/>
          <w:sz w:val="24"/>
          <w:highlight w:val="none"/>
        </w:rPr>
      </w:pPr>
    </w:p>
    <w:p w14:paraId="507C4987">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43FE600F">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 (签字或盖章)：</w:t>
      </w:r>
    </w:p>
    <w:p w14:paraId="7B335F2D">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A20B817">
      <w:pPr>
        <w:shd w:val="clear"/>
        <w:spacing w:line="500" w:lineRule="exact"/>
        <w:ind w:firstLine="480"/>
        <w:rPr>
          <w:rFonts w:ascii="仿宋" w:hAnsi="仿宋" w:eastAsia="仿宋" w:cs="仿宋"/>
          <w:color w:val="auto"/>
          <w:sz w:val="24"/>
          <w:highlight w:val="none"/>
        </w:rPr>
      </w:pPr>
    </w:p>
    <w:p w14:paraId="43FB8504">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注：本证明书为法定代表人本人作为公司代理人参与投标的，提供此项证明书。</w:t>
      </w:r>
    </w:p>
    <w:p w14:paraId="56514104">
      <w:pPr>
        <w:shd w:val="clear"/>
        <w:ind w:firstLine="480"/>
        <w:rPr>
          <w:rFonts w:ascii="仿宋" w:hAnsi="仿宋" w:eastAsia="仿宋" w:cs="仿宋"/>
          <w:color w:val="auto"/>
          <w:sz w:val="24"/>
          <w:highlight w:val="none"/>
        </w:rPr>
      </w:pPr>
    </w:p>
    <w:p w14:paraId="1618AA50">
      <w:pPr>
        <w:pStyle w:val="7"/>
        <w:shd w:val="clear"/>
        <w:ind w:firstLine="480"/>
        <w:rPr>
          <w:rFonts w:ascii="仿宋" w:hAnsi="仿宋" w:eastAsia="仿宋" w:cs="仿宋"/>
          <w:color w:val="auto"/>
          <w:sz w:val="24"/>
          <w:szCs w:val="24"/>
          <w:highlight w:val="none"/>
        </w:rPr>
      </w:pPr>
    </w:p>
    <w:p w14:paraId="302254BC">
      <w:pPr>
        <w:keepNext/>
        <w:keepLines/>
        <w:pageBreakBefore w:val="0"/>
        <w:widowControl/>
        <w:shd w:val="clear"/>
        <w:kinsoku/>
        <w:wordWrap/>
        <w:overflowPunct/>
        <w:topLinePunct w:val="0"/>
        <w:autoSpaceDE/>
        <w:autoSpaceDN/>
        <w:bidi w:val="0"/>
        <w:adjustRightInd/>
        <w:snapToGrid/>
        <w:spacing w:line="500" w:lineRule="exact"/>
        <w:ind w:left="629"/>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bookmarkStart w:id="92" w:name="_Toc3891646"/>
      <w:bookmarkStart w:id="93" w:name="_Toc22554399"/>
    </w:p>
    <w:p w14:paraId="0180891B">
      <w:pPr>
        <w:shd w:val="clear"/>
        <w:tabs>
          <w:tab w:val="center" w:pos="4153"/>
          <w:tab w:val="right" w:pos="8306"/>
        </w:tabs>
        <w:snapToGrid w:val="0"/>
        <w:spacing w:line="440" w:lineRule="exact"/>
        <w:ind w:firstLine="482" w:firstLineChars="20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政府采购供应商信用承诺函</w:t>
      </w:r>
    </w:p>
    <w:p w14:paraId="5FBB06E5">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单位名称(自然人姓名)：</w:t>
      </w:r>
    </w:p>
    <w:p w14:paraId="6604B016">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统一社会信用代码(身份证号码)：</w:t>
      </w:r>
    </w:p>
    <w:p w14:paraId="5393EB4E">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w:t>
      </w:r>
    </w:p>
    <w:p w14:paraId="2FAFEE3D">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为维护公平、公正、公开的政府采购市场秩序，树立诚实守信的政府采购供应商形象，我单位(本人)自愿作出以下承诺：</w:t>
      </w:r>
    </w:p>
    <w:p w14:paraId="54F8EEB6">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171E81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(一)具有独立承担民事责任的能力;</w:t>
      </w:r>
    </w:p>
    <w:p w14:paraId="7F1263A9">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(二)具有良好的商业信誉和健全的财务会计制度;</w:t>
      </w:r>
    </w:p>
    <w:p w14:paraId="0CDF700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(三)具有履行合同所必需的设备和专业技术能力;</w:t>
      </w:r>
    </w:p>
    <w:p w14:paraId="0AAB757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(四)有依法缴纳税收和社会保障资金的良好记录;</w:t>
      </w:r>
    </w:p>
    <w:p w14:paraId="7AEE6C29">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(五)参加政府采购活动前三年内，在经营活动中没有重大违法记录;</w:t>
      </w:r>
    </w:p>
    <w:p w14:paraId="640D8EC2">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(六)未被列入经营异常名录或者严重违法失信名单、失信被执行人、重大税收违法案件当事人名单、政府采购严重违法失信行为记录名单;</w:t>
      </w:r>
    </w:p>
    <w:p w14:paraId="2399293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(七)未被相关监管部门作出行政处罚且尚在处罚有效期内;</w:t>
      </w:r>
    </w:p>
    <w:p w14:paraId="0E6E2760">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(八)未曾作出虚假采购承诺;</w:t>
      </w:r>
    </w:p>
    <w:p w14:paraId="32AFD85A">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(九)符合法律、行政法规规定的其他条件。</w:t>
      </w:r>
    </w:p>
    <w:p w14:paraId="5BEB25B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4193C65">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p>
    <w:p w14:paraId="3C4413B3">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6CB039EB">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供应商名称（加盖公章）：</w:t>
      </w:r>
    </w:p>
    <w:p w14:paraId="40216D08">
      <w:pPr>
        <w:shd w:val="clea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35034747">
      <w:pPr>
        <w:shd w:val="clear"/>
        <w:rPr>
          <w:color w:val="auto"/>
          <w:highlight w:val="none"/>
        </w:rPr>
      </w:pPr>
    </w:p>
    <w:p w14:paraId="702B413A">
      <w:pPr>
        <w:shd w:val="clear"/>
        <w:tabs>
          <w:tab w:val="center" w:pos="4153"/>
          <w:tab w:val="right" w:pos="8306"/>
        </w:tabs>
        <w:snapToGrid w:val="0"/>
        <w:spacing w:line="440" w:lineRule="exact"/>
        <w:ind w:firstLine="482" w:firstLineChars="200"/>
        <w:jc w:val="center"/>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供应商无关联关系书面声明函（格式）</w:t>
      </w:r>
    </w:p>
    <w:p w14:paraId="656AB35A">
      <w:pPr>
        <w:shd w:val="clear"/>
        <w:tabs>
          <w:tab w:val="center" w:pos="4153"/>
          <w:tab w:val="right" w:pos="8306"/>
        </w:tabs>
        <w:snapToGrid w:val="0"/>
        <w:spacing w:line="440" w:lineRule="exact"/>
        <w:ind w:firstLine="643" w:firstLineChars="200"/>
        <w:jc w:val="center"/>
        <w:rPr>
          <w:rFonts w:ascii="仿宋" w:hAnsi="仿宋" w:eastAsia="仿宋" w:cs="仿宋"/>
          <w:b/>
          <w:bCs/>
          <w:color w:val="auto"/>
          <w:sz w:val="32"/>
          <w:szCs w:val="32"/>
          <w:highlight w:val="none"/>
          <w:lang w:eastAsia="zh-CN"/>
        </w:rPr>
      </w:pPr>
    </w:p>
    <w:p w14:paraId="2B949971">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新疆君凯杰工程项目管理有限公司：</w:t>
      </w:r>
    </w:p>
    <w:p w14:paraId="5352B544">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我单位郑重声明：与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lang w:eastAsia="zh-CN"/>
        </w:rPr>
        <w:t>存在利害关系，与本单位负责人为同一人或者与本单位存在控股关系、管理关系的其他关联供应商未参与</w:t>
      </w:r>
      <w:r>
        <w:rPr>
          <w:rFonts w:hint="eastAsia" w:ascii="仿宋" w:hAnsi="仿宋" w:eastAsia="仿宋" w:cs="仿宋"/>
          <w:b/>
          <w:bCs/>
          <w:color w:val="auto"/>
          <w:sz w:val="24"/>
          <w:highlight w:val="none"/>
          <w:u w:val="single"/>
          <w:lang w:eastAsia="zh-CN"/>
        </w:rPr>
        <w:t xml:space="preserve">_(项目名称) </w:t>
      </w:r>
      <w:r>
        <w:rPr>
          <w:rFonts w:hint="eastAsia" w:ascii="仿宋" w:hAnsi="仿宋" w:eastAsia="仿宋" w:cs="仿宋"/>
          <w:color w:val="auto"/>
          <w:sz w:val="24"/>
          <w:highlight w:val="none"/>
          <w:lang w:eastAsia="zh-CN"/>
        </w:rPr>
        <w:t>同一合同项下的谈判。</w:t>
      </w:r>
      <w:r>
        <w:rPr>
          <w:rFonts w:hint="eastAsia" w:ascii="仿宋" w:hAnsi="仿宋" w:eastAsia="仿宋" w:cs="仿宋"/>
          <w:i w:val="0"/>
          <w:iCs w:val="0"/>
          <w:caps w:val="0"/>
          <w:color w:val="auto"/>
          <w:spacing w:val="0"/>
          <w:sz w:val="24"/>
          <w:szCs w:val="24"/>
          <w:highlight w:val="none"/>
          <w:lang w:val="en-US" w:eastAsia="zh-CN"/>
        </w:rPr>
        <w:t>我单位不是</w:t>
      </w:r>
      <w:r>
        <w:rPr>
          <w:rFonts w:hint="eastAsia" w:ascii="仿宋" w:hAnsi="仿宋" w:eastAsia="仿宋" w:cs="仿宋"/>
          <w:i w:val="0"/>
          <w:iCs w:val="0"/>
          <w:caps w:val="0"/>
          <w:color w:val="auto"/>
          <w:spacing w:val="0"/>
          <w:sz w:val="24"/>
          <w:szCs w:val="24"/>
          <w:highlight w:val="none"/>
        </w:rPr>
        <w:t>为该整体项目或其中分项目前期工作提供过设计、编制、监理、检测、管理等服务的法人及附属单位；</w:t>
      </w:r>
    </w:p>
    <w:p w14:paraId="687D6352">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我单位保证上述声明真实、有效、可查。</w:t>
      </w:r>
    </w:p>
    <w:p w14:paraId="3C29DA57">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特此声明。</w:t>
      </w:r>
    </w:p>
    <w:p w14:paraId="7B62E07E">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6F3AF6C0">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79F9AC53">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3672BE39">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供应商名称（加盖公章）：</w:t>
      </w:r>
    </w:p>
    <w:p w14:paraId="2F1768AF">
      <w:pPr>
        <w:shd w:val="clea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5FAD83E0">
      <w:pPr>
        <w:shd w:val="clear"/>
        <w:tabs>
          <w:tab w:val="center" w:pos="4153"/>
          <w:tab w:val="right" w:pos="8306"/>
        </w:tabs>
        <w:snapToGrid w:val="0"/>
        <w:spacing w:line="440" w:lineRule="exact"/>
        <w:rPr>
          <w:rFonts w:ascii="仿宋" w:hAnsi="仿宋" w:eastAsia="仿宋" w:cs="仿宋"/>
          <w:color w:val="auto"/>
          <w:sz w:val="24"/>
          <w:highlight w:val="none"/>
          <w:lang w:eastAsia="zh-CN"/>
        </w:rPr>
      </w:pPr>
    </w:p>
    <w:p w14:paraId="643DD3B1">
      <w:pPr>
        <w:shd w:val="clear"/>
        <w:tabs>
          <w:tab w:val="center" w:pos="4153"/>
          <w:tab w:val="right" w:pos="8306"/>
        </w:tabs>
        <w:snapToGrid w:val="0"/>
        <w:spacing w:line="440" w:lineRule="exact"/>
        <w:rPr>
          <w:rFonts w:ascii="仿宋" w:hAnsi="仿宋" w:eastAsia="仿宋" w:cs="仿宋"/>
          <w:color w:val="auto"/>
          <w:sz w:val="24"/>
          <w:highlight w:val="none"/>
          <w:lang w:eastAsia="zh-CN"/>
        </w:rPr>
      </w:pPr>
    </w:p>
    <w:p w14:paraId="7EF4FD3A">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bookmarkStart w:id="94" w:name="_Toc21814_WPSOffice_Level1"/>
      <w:bookmarkStart w:id="95" w:name="_Toc8420_WPSOffice_Level1"/>
      <w:bookmarkStart w:id="96" w:name="_Toc7781_WPSOffice_Level1"/>
    </w:p>
    <w:p w14:paraId="39C51BAE">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p>
    <w:p w14:paraId="08084E7C">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p>
    <w:p w14:paraId="696CAA25">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p>
    <w:p w14:paraId="3D9B95B5">
      <w:pPr>
        <w:pStyle w:val="11"/>
        <w:shd w:val="clear"/>
        <w:rPr>
          <w:rFonts w:hint="eastAsia" w:ascii="仿宋" w:hAnsi="仿宋" w:eastAsia="仿宋" w:cs="仿宋"/>
          <w:color w:val="auto"/>
          <w:szCs w:val="24"/>
          <w:highlight w:val="none"/>
          <w:lang w:val="en-US" w:eastAsia="zh-CN"/>
        </w:rPr>
      </w:pPr>
    </w:p>
    <w:p w14:paraId="5B362AEF">
      <w:pPr>
        <w:shd w:val="clear"/>
        <w:rPr>
          <w:rFonts w:hint="eastAsia" w:ascii="仿宋" w:hAnsi="仿宋" w:eastAsia="仿宋" w:cs="仿宋"/>
          <w:color w:val="auto"/>
          <w:szCs w:val="24"/>
          <w:highlight w:val="none"/>
          <w:lang w:val="en-US" w:eastAsia="zh-CN"/>
        </w:rPr>
      </w:pPr>
    </w:p>
    <w:p w14:paraId="49DB46C6">
      <w:pPr>
        <w:pStyle w:val="11"/>
        <w:shd w:val="clear"/>
        <w:rPr>
          <w:rFonts w:hint="eastAsia" w:ascii="仿宋" w:hAnsi="仿宋" w:eastAsia="仿宋" w:cs="仿宋"/>
          <w:color w:val="auto"/>
          <w:szCs w:val="24"/>
          <w:highlight w:val="none"/>
          <w:lang w:val="en-US" w:eastAsia="zh-CN"/>
        </w:rPr>
      </w:pPr>
    </w:p>
    <w:p w14:paraId="69F1F37B">
      <w:pPr>
        <w:shd w:val="clear"/>
        <w:rPr>
          <w:rFonts w:hint="eastAsia" w:ascii="仿宋" w:hAnsi="仿宋" w:eastAsia="仿宋" w:cs="仿宋"/>
          <w:color w:val="auto"/>
          <w:szCs w:val="24"/>
          <w:highlight w:val="none"/>
          <w:lang w:val="en-US" w:eastAsia="zh-CN"/>
        </w:rPr>
      </w:pPr>
    </w:p>
    <w:p w14:paraId="7BB5E5F7">
      <w:pPr>
        <w:pStyle w:val="11"/>
        <w:shd w:val="clear"/>
        <w:rPr>
          <w:rFonts w:hint="eastAsia" w:ascii="仿宋" w:hAnsi="仿宋" w:eastAsia="仿宋" w:cs="仿宋"/>
          <w:color w:val="auto"/>
          <w:szCs w:val="24"/>
          <w:highlight w:val="none"/>
          <w:lang w:val="en-US" w:eastAsia="zh-CN"/>
        </w:rPr>
      </w:pPr>
    </w:p>
    <w:p w14:paraId="17291761">
      <w:pPr>
        <w:shd w:val="clear"/>
        <w:rPr>
          <w:rFonts w:hint="eastAsia" w:ascii="仿宋" w:hAnsi="仿宋" w:eastAsia="仿宋" w:cs="仿宋"/>
          <w:color w:val="auto"/>
          <w:szCs w:val="24"/>
          <w:highlight w:val="none"/>
          <w:lang w:val="en-US" w:eastAsia="zh-CN"/>
        </w:rPr>
      </w:pPr>
    </w:p>
    <w:p w14:paraId="3D8A0363">
      <w:pPr>
        <w:pStyle w:val="11"/>
        <w:shd w:val="clear"/>
        <w:rPr>
          <w:rFonts w:hint="eastAsia" w:ascii="仿宋" w:hAnsi="仿宋" w:eastAsia="仿宋" w:cs="仿宋"/>
          <w:color w:val="auto"/>
          <w:szCs w:val="24"/>
          <w:highlight w:val="none"/>
          <w:lang w:val="en-US" w:eastAsia="zh-CN"/>
        </w:rPr>
      </w:pPr>
    </w:p>
    <w:p w14:paraId="6245B871">
      <w:pPr>
        <w:shd w:val="clear"/>
        <w:rPr>
          <w:rFonts w:hint="eastAsia" w:ascii="仿宋" w:hAnsi="仿宋" w:eastAsia="仿宋" w:cs="仿宋"/>
          <w:color w:val="auto"/>
          <w:szCs w:val="24"/>
          <w:highlight w:val="none"/>
          <w:lang w:val="en-US" w:eastAsia="zh-CN"/>
        </w:rPr>
      </w:pPr>
    </w:p>
    <w:p w14:paraId="092C12F6">
      <w:pPr>
        <w:pStyle w:val="11"/>
        <w:shd w:val="clear"/>
        <w:rPr>
          <w:rFonts w:hint="eastAsia" w:ascii="仿宋" w:hAnsi="仿宋" w:eastAsia="仿宋" w:cs="仿宋"/>
          <w:color w:val="auto"/>
          <w:szCs w:val="24"/>
          <w:highlight w:val="none"/>
          <w:lang w:val="en-US" w:eastAsia="zh-CN"/>
        </w:rPr>
      </w:pPr>
    </w:p>
    <w:p w14:paraId="7863D4C9">
      <w:pPr>
        <w:shd w:val="clear"/>
        <w:rPr>
          <w:rFonts w:hint="eastAsia" w:ascii="仿宋" w:hAnsi="仿宋" w:eastAsia="仿宋" w:cs="仿宋"/>
          <w:color w:val="auto"/>
          <w:szCs w:val="24"/>
          <w:highlight w:val="none"/>
          <w:lang w:val="en-US" w:eastAsia="zh-CN"/>
        </w:rPr>
      </w:pPr>
    </w:p>
    <w:p w14:paraId="02849D99">
      <w:pPr>
        <w:pStyle w:val="11"/>
        <w:shd w:val="clear"/>
        <w:rPr>
          <w:rFonts w:hint="eastAsia" w:ascii="仿宋" w:hAnsi="仿宋" w:eastAsia="仿宋" w:cs="仿宋"/>
          <w:color w:val="auto"/>
          <w:szCs w:val="24"/>
          <w:highlight w:val="none"/>
          <w:lang w:val="en-US" w:eastAsia="zh-CN"/>
        </w:rPr>
      </w:pPr>
    </w:p>
    <w:p w14:paraId="36EF15AC">
      <w:pPr>
        <w:shd w:val="clear"/>
        <w:rPr>
          <w:rFonts w:hint="eastAsia" w:ascii="仿宋" w:hAnsi="仿宋" w:eastAsia="仿宋" w:cs="仿宋"/>
          <w:color w:val="auto"/>
          <w:szCs w:val="24"/>
          <w:highlight w:val="none"/>
          <w:lang w:val="en-US" w:eastAsia="zh-CN"/>
        </w:rPr>
      </w:pPr>
    </w:p>
    <w:p w14:paraId="2EE6F978">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szCs w:val="24"/>
          <w:highlight w:val="none"/>
          <w:lang w:eastAsia="zh-CN" w:bidi="ar"/>
        </w:rPr>
        <w:t>《中小企业声明函》（服务）</w:t>
      </w:r>
    </w:p>
    <w:p w14:paraId="00AA18E7">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76674FAA">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5C0F38FB">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6AF99AC8">
      <w:pPr>
        <w:shd w:val="clear"/>
        <w:spacing w:line="579" w:lineRule="exac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21628A1A">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5E21AC7C">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32A3D29F">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1A3FFF17">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1FA93E08">
      <w:pPr>
        <w:shd w:val="clear"/>
        <w:spacing w:line="579" w:lineRule="exact"/>
        <w:ind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软件和信息技术服务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551B732">
      <w:pPr>
        <w:pStyle w:val="7"/>
        <w:shd w:val="clear"/>
        <w:rPr>
          <w:rFonts w:hint="eastAsia" w:ascii="仿宋" w:hAnsi="仿宋" w:eastAsia="仿宋" w:cs="仿宋"/>
          <w:color w:val="auto"/>
          <w:szCs w:val="24"/>
          <w:highlight w:val="none"/>
          <w:lang w:val="en-US" w:eastAsia="zh-CN"/>
        </w:rPr>
      </w:pPr>
    </w:p>
    <w:p w14:paraId="76668AFA">
      <w:pPr>
        <w:shd w:val="clear"/>
        <w:rPr>
          <w:rFonts w:hint="eastAsia" w:ascii="仿宋" w:hAnsi="仿宋" w:eastAsia="仿宋" w:cs="仿宋"/>
          <w:color w:val="auto"/>
          <w:szCs w:val="24"/>
          <w:highlight w:val="none"/>
          <w:lang w:val="en-US" w:eastAsia="zh-CN"/>
        </w:rPr>
      </w:pPr>
    </w:p>
    <w:bookmarkEnd w:id="92"/>
    <w:bookmarkEnd w:id="93"/>
    <w:bookmarkEnd w:id="94"/>
    <w:bookmarkEnd w:id="95"/>
    <w:bookmarkEnd w:id="96"/>
    <w:p w14:paraId="19ED4970">
      <w:pPr>
        <w:pStyle w:val="3"/>
        <w:shd w:val="clear"/>
        <w:spacing w:before="0" w:after="0" w:line="579" w:lineRule="exact"/>
        <w:ind w:firstLine="0" w:firstLineChars="0"/>
        <w:rPr>
          <w:rFonts w:hint="default" w:ascii="仿宋" w:hAnsi="仿宋" w:eastAsia="仿宋" w:cs="仿宋"/>
          <w:color w:val="auto"/>
          <w:highlight w:val="none"/>
          <w:lang w:eastAsia="zh-CN"/>
        </w:rPr>
      </w:pPr>
      <w:bookmarkStart w:id="97" w:name="_Toc24213"/>
      <w:bookmarkStart w:id="98" w:name="_Toc24536"/>
      <w:bookmarkStart w:id="99" w:name="_Toc25663"/>
      <w:bookmarkStart w:id="100" w:name="_Toc6281"/>
      <w:bookmarkStart w:id="101" w:name="_Toc3554"/>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第二部分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报价文件</w:t>
      </w:r>
      <w:bookmarkEnd w:id="97"/>
      <w:bookmarkEnd w:id="98"/>
      <w:bookmarkEnd w:id="99"/>
      <w:bookmarkEnd w:id="100"/>
      <w:bookmarkEnd w:id="101"/>
    </w:p>
    <w:p w14:paraId="3929A742">
      <w:pPr>
        <w:shd w:val="clea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一、报价一览表</w:t>
      </w:r>
    </w:p>
    <w:tbl>
      <w:tblPr>
        <w:tblStyle w:val="27"/>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14:paraId="7F7F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359D1F8E">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p>
        </w:tc>
        <w:tc>
          <w:tcPr>
            <w:tcW w:w="7298" w:type="dxa"/>
            <w:gridSpan w:val="3"/>
            <w:vAlign w:val="center"/>
          </w:tcPr>
          <w:p w14:paraId="705CF81F">
            <w:pPr>
              <w:shd w:val="clear"/>
              <w:snapToGrid w:val="0"/>
              <w:spacing w:line="360" w:lineRule="auto"/>
              <w:rPr>
                <w:rFonts w:ascii="仿宋" w:hAnsi="仿宋" w:eastAsia="仿宋" w:cs="仿宋"/>
                <w:color w:val="auto"/>
                <w:sz w:val="24"/>
                <w:highlight w:val="none"/>
              </w:rPr>
            </w:pPr>
          </w:p>
        </w:tc>
      </w:tr>
      <w:tr w14:paraId="0FCD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453F7C9B">
            <w:pPr>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lang w:val="en-US" w:eastAsia="zh-CN"/>
              </w:rPr>
              <w:t xml:space="preserve"> </w:t>
            </w:r>
          </w:p>
        </w:tc>
        <w:tc>
          <w:tcPr>
            <w:tcW w:w="7298" w:type="dxa"/>
            <w:gridSpan w:val="3"/>
            <w:vAlign w:val="center"/>
          </w:tcPr>
          <w:p w14:paraId="1EAE8093">
            <w:pPr>
              <w:shd w:val="clear"/>
              <w:snapToGrid w:val="0"/>
              <w:spacing w:line="360" w:lineRule="auto"/>
              <w:rPr>
                <w:rFonts w:ascii="仿宋" w:hAnsi="仿宋" w:eastAsia="仿宋" w:cs="仿宋"/>
                <w:color w:val="auto"/>
                <w:sz w:val="24"/>
                <w:highlight w:val="none"/>
              </w:rPr>
            </w:pPr>
          </w:p>
        </w:tc>
      </w:tr>
      <w:tr w14:paraId="78B6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5620E50E">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7298" w:type="dxa"/>
            <w:gridSpan w:val="3"/>
            <w:vAlign w:val="center"/>
          </w:tcPr>
          <w:p w14:paraId="6E43717F">
            <w:pPr>
              <w:shd w:val="clear"/>
              <w:snapToGrid w:val="0"/>
              <w:spacing w:line="360" w:lineRule="auto"/>
              <w:rPr>
                <w:rFonts w:ascii="仿宋" w:hAnsi="仿宋" w:eastAsia="仿宋" w:cs="仿宋"/>
                <w:color w:val="auto"/>
                <w:sz w:val="24"/>
                <w:highlight w:val="none"/>
              </w:rPr>
            </w:pPr>
          </w:p>
        </w:tc>
      </w:tr>
      <w:tr w14:paraId="08B0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79414A21">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475" w:type="dxa"/>
            <w:vAlign w:val="center"/>
          </w:tcPr>
          <w:p w14:paraId="695CDD0A">
            <w:pPr>
              <w:shd w:val="clear"/>
              <w:snapToGrid w:val="0"/>
              <w:spacing w:line="360" w:lineRule="auto"/>
              <w:rPr>
                <w:rFonts w:ascii="仿宋" w:hAnsi="仿宋" w:eastAsia="仿宋" w:cs="仿宋"/>
                <w:color w:val="auto"/>
                <w:sz w:val="24"/>
                <w:highlight w:val="none"/>
              </w:rPr>
            </w:pPr>
          </w:p>
        </w:tc>
        <w:tc>
          <w:tcPr>
            <w:tcW w:w="1365" w:type="dxa"/>
            <w:vAlign w:val="center"/>
          </w:tcPr>
          <w:p w14:paraId="0EDB5520">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vAlign w:val="center"/>
          </w:tcPr>
          <w:p w14:paraId="41DB376B">
            <w:pPr>
              <w:shd w:val="clear"/>
              <w:snapToGrid w:val="0"/>
              <w:spacing w:line="360" w:lineRule="auto"/>
              <w:rPr>
                <w:rFonts w:ascii="仿宋" w:hAnsi="仿宋" w:eastAsia="仿宋" w:cs="仿宋"/>
                <w:color w:val="auto"/>
                <w:sz w:val="24"/>
                <w:highlight w:val="none"/>
              </w:rPr>
            </w:pPr>
          </w:p>
        </w:tc>
      </w:tr>
      <w:tr w14:paraId="3F13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14:paraId="5B1A4021">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法人授权代表</w:t>
            </w:r>
          </w:p>
        </w:tc>
        <w:tc>
          <w:tcPr>
            <w:tcW w:w="2475" w:type="dxa"/>
            <w:tcBorders>
              <w:bottom w:val="single" w:color="auto" w:sz="4" w:space="0"/>
            </w:tcBorders>
            <w:vAlign w:val="center"/>
          </w:tcPr>
          <w:p w14:paraId="2AFBF43C">
            <w:pPr>
              <w:shd w:val="clear"/>
              <w:snapToGrid w:val="0"/>
              <w:spacing w:line="360" w:lineRule="auto"/>
              <w:rPr>
                <w:rFonts w:ascii="仿宋" w:hAnsi="仿宋" w:eastAsia="仿宋" w:cs="仿宋"/>
                <w:color w:val="auto"/>
                <w:sz w:val="24"/>
                <w:highlight w:val="none"/>
              </w:rPr>
            </w:pPr>
          </w:p>
        </w:tc>
        <w:tc>
          <w:tcPr>
            <w:tcW w:w="1365" w:type="dxa"/>
            <w:tcBorders>
              <w:bottom w:val="single" w:color="auto" w:sz="4" w:space="0"/>
            </w:tcBorders>
            <w:vAlign w:val="center"/>
          </w:tcPr>
          <w:p w14:paraId="1B207D2C">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tcBorders>
              <w:bottom w:val="single" w:color="auto" w:sz="4" w:space="0"/>
            </w:tcBorders>
            <w:vAlign w:val="center"/>
          </w:tcPr>
          <w:p w14:paraId="79766B96">
            <w:pPr>
              <w:shd w:val="clear"/>
              <w:snapToGrid w:val="0"/>
              <w:spacing w:line="360" w:lineRule="auto"/>
              <w:rPr>
                <w:rFonts w:ascii="仿宋" w:hAnsi="仿宋" w:eastAsia="仿宋" w:cs="仿宋"/>
                <w:color w:val="auto"/>
                <w:sz w:val="24"/>
                <w:highlight w:val="none"/>
              </w:rPr>
            </w:pPr>
          </w:p>
        </w:tc>
      </w:tr>
      <w:tr w14:paraId="2E4C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14:paraId="1CF04C7A">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w:t>
            </w:r>
          </w:p>
          <w:p w14:paraId="718DF4D6">
            <w:pPr>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报价</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71383F14">
            <w:pPr>
              <w:shd w:val="clear"/>
              <w:snapToGrid w:val="0"/>
              <w:spacing w:line="360" w:lineRule="auto"/>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￥：（元）</w:t>
            </w:r>
          </w:p>
          <w:p w14:paraId="4A20D708">
            <w:pPr>
              <w:shd w:val="clear"/>
              <w:snapToGrid w:val="0"/>
              <w:spacing w:line="360" w:lineRule="auto"/>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人民币（大写）：</w:t>
            </w:r>
          </w:p>
        </w:tc>
      </w:tr>
      <w:tr w14:paraId="30EE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60CA906A">
            <w:pPr>
              <w:shd w:val="clear"/>
              <w:snapToGrid w:val="0"/>
              <w:spacing w:line="360" w:lineRule="auto"/>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1DE84446">
            <w:pPr>
              <w:shd w:val="clear"/>
              <w:snapToGrid w:val="0"/>
              <w:spacing w:line="360" w:lineRule="auto"/>
              <w:ind w:right="110" w:rightChars="50"/>
              <w:rPr>
                <w:rFonts w:ascii="仿宋" w:hAnsi="仿宋" w:eastAsia="仿宋" w:cs="仿宋"/>
                <w:color w:val="auto"/>
                <w:sz w:val="24"/>
                <w:highlight w:val="none"/>
              </w:rPr>
            </w:pPr>
          </w:p>
        </w:tc>
      </w:tr>
    </w:tbl>
    <w:p w14:paraId="638B1DB0">
      <w:pPr>
        <w:shd w:val="clear"/>
        <w:snapToGrid w:val="0"/>
        <w:spacing w:line="480" w:lineRule="auto"/>
        <w:ind w:right="110" w:rightChars="50"/>
        <w:rPr>
          <w:rFonts w:hint="eastAsia" w:ascii="仿宋" w:hAnsi="仿宋" w:eastAsia="仿宋" w:cs="仿宋"/>
          <w:color w:val="auto"/>
          <w:sz w:val="24"/>
          <w:szCs w:val="24"/>
          <w:highlight w:val="none"/>
          <w:lang w:eastAsia="zh-CN"/>
        </w:rPr>
      </w:pPr>
    </w:p>
    <w:p w14:paraId="19C7A16F">
      <w:pPr>
        <w:shd w:val="clear"/>
        <w:snapToGrid w:val="0"/>
        <w:spacing w:line="480" w:lineRule="auto"/>
        <w:ind w:right="110" w:righ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p>
    <w:p w14:paraId="6164E1F1">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131CFC3C">
      <w:pPr>
        <w:shd w:val="clear"/>
        <w:snapToGrid w:val="0"/>
        <w:spacing w:line="360" w:lineRule="auto"/>
        <w:rPr>
          <w:rFonts w:ascii="仿宋" w:hAnsi="仿宋" w:eastAsia="仿宋" w:cs="仿宋"/>
          <w:b/>
          <w:color w:val="auto"/>
          <w:sz w:val="28"/>
          <w:szCs w:val="28"/>
          <w:highlight w:val="none"/>
          <w:lang w:eastAsia="zh-CN"/>
        </w:rPr>
      </w:pPr>
    </w:p>
    <w:p w14:paraId="2E347191">
      <w:pPr>
        <w:pStyle w:val="11"/>
        <w:shd w:val="clear"/>
        <w:rPr>
          <w:rFonts w:ascii="仿宋" w:hAnsi="仿宋" w:eastAsia="仿宋" w:cs="仿宋"/>
          <w:b/>
          <w:color w:val="auto"/>
          <w:sz w:val="28"/>
          <w:szCs w:val="28"/>
          <w:highlight w:val="none"/>
          <w:lang w:eastAsia="zh-CN"/>
        </w:rPr>
      </w:pPr>
    </w:p>
    <w:p w14:paraId="6E85EB5D">
      <w:pPr>
        <w:shd w:val="clear"/>
        <w:rPr>
          <w:rFonts w:ascii="仿宋" w:hAnsi="仿宋" w:eastAsia="仿宋" w:cs="仿宋"/>
          <w:b/>
          <w:color w:val="auto"/>
          <w:sz w:val="28"/>
          <w:szCs w:val="28"/>
          <w:highlight w:val="none"/>
          <w:lang w:eastAsia="zh-CN"/>
        </w:rPr>
      </w:pPr>
    </w:p>
    <w:p w14:paraId="49F1864F">
      <w:pPr>
        <w:pStyle w:val="11"/>
        <w:shd w:val="clear"/>
        <w:rPr>
          <w:color w:val="auto"/>
          <w:highlight w:val="none"/>
          <w:lang w:eastAsia="zh-CN"/>
        </w:rPr>
      </w:pPr>
    </w:p>
    <w:p w14:paraId="1BE1395A">
      <w:pPr>
        <w:pageBreakBefore w:val="0"/>
        <w:widowControl/>
        <w:shd w:val="clear"/>
        <w:kinsoku/>
        <w:wordWrap/>
        <w:overflowPunct/>
        <w:topLinePunct w:val="0"/>
        <w:autoSpaceDE/>
        <w:autoSpaceDN/>
        <w:bidi w:val="0"/>
        <w:adjustRightInd/>
        <w:snapToGrid/>
        <w:textAlignment w:val="baseline"/>
        <w:outlineLvl w:val="9"/>
        <w:rPr>
          <w:rFonts w:ascii="仿宋" w:hAnsi="仿宋" w:eastAsia="仿宋" w:cs="仿宋"/>
          <w:b/>
          <w:color w:val="auto"/>
          <w:sz w:val="28"/>
          <w:szCs w:val="28"/>
          <w:highlight w:val="none"/>
          <w:lang w:eastAsia="zh-CN"/>
        </w:rPr>
      </w:pPr>
    </w:p>
    <w:p w14:paraId="4891C25D">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66BA1591">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78D765FF">
      <w:pPr>
        <w:pageBreakBefore w:val="0"/>
        <w:widowControl/>
        <w:shd w:val="clear"/>
        <w:kinsoku/>
        <w:wordWrap/>
        <w:overflowPunct/>
        <w:topLinePunct w:val="0"/>
        <w:autoSpaceDE/>
        <w:autoSpaceDN/>
        <w:bidi w:val="0"/>
        <w:adjustRightInd/>
        <w:snapToGrid/>
        <w:textAlignment w:val="baseline"/>
        <w:outlineLvl w:val="9"/>
        <w:rPr>
          <w:rFonts w:ascii="仿宋" w:hAnsi="仿宋" w:eastAsia="仿宋" w:cs="仿宋"/>
          <w:b/>
          <w:color w:val="auto"/>
          <w:sz w:val="28"/>
          <w:szCs w:val="28"/>
          <w:highlight w:val="none"/>
          <w:lang w:eastAsia="zh-CN"/>
        </w:rPr>
      </w:pPr>
    </w:p>
    <w:p w14:paraId="5C3019C8">
      <w:pPr>
        <w:shd w:val="clea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二、报价明细表</w:t>
      </w:r>
    </w:p>
    <w:p w14:paraId="571A0BA2">
      <w:pPr>
        <w:shd w:val="clea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供应商名称：</w:t>
      </w:r>
    </w:p>
    <w:p w14:paraId="04D99A6D">
      <w:pPr>
        <w:shd w:val="clea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单位：元</w:t>
      </w:r>
    </w:p>
    <w:tbl>
      <w:tblPr>
        <w:tblStyle w:val="28"/>
        <w:tblW w:w="92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71"/>
        <w:gridCol w:w="1513"/>
        <w:gridCol w:w="1513"/>
        <w:gridCol w:w="1514"/>
        <w:gridCol w:w="1514"/>
      </w:tblGrid>
      <w:tr w14:paraId="05C9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3843B974">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71" w:type="dxa"/>
            <w:vAlign w:val="bottom"/>
          </w:tcPr>
          <w:p w14:paraId="572D8797">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1513" w:type="dxa"/>
            <w:vAlign w:val="bottom"/>
          </w:tcPr>
          <w:p w14:paraId="31EA2D69">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13" w:type="dxa"/>
            <w:vAlign w:val="bottom"/>
          </w:tcPr>
          <w:p w14:paraId="07C11B89">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综合单价</w:t>
            </w:r>
          </w:p>
        </w:tc>
        <w:tc>
          <w:tcPr>
            <w:tcW w:w="1514" w:type="dxa"/>
            <w:vAlign w:val="bottom"/>
          </w:tcPr>
          <w:p w14:paraId="0958D992">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514" w:type="dxa"/>
            <w:vAlign w:val="bottom"/>
          </w:tcPr>
          <w:p w14:paraId="2DA38089">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4CC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76A30D36">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71" w:type="dxa"/>
            <w:vAlign w:val="bottom"/>
          </w:tcPr>
          <w:p w14:paraId="69E20B55">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5CF426E0">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7C0671E4">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3575177D">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3E7A4744">
            <w:pPr>
              <w:widowControl w:val="0"/>
              <w:shd w:val="clear"/>
              <w:snapToGrid w:val="0"/>
              <w:spacing w:line="360" w:lineRule="auto"/>
              <w:jc w:val="center"/>
              <w:rPr>
                <w:rFonts w:ascii="仿宋" w:hAnsi="仿宋" w:eastAsia="仿宋" w:cs="仿宋"/>
                <w:color w:val="auto"/>
                <w:sz w:val="24"/>
                <w:highlight w:val="none"/>
              </w:rPr>
            </w:pPr>
          </w:p>
        </w:tc>
      </w:tr>
      <w:tr w14:paraId="3271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63D93251">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471" w:type="dxa"/>
            <w:vAlign w:val="bottom"/>
          </w:tcPr>
          <w:p w14:paraId="760FB07D">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21E1E0C0">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56B67322">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2A276ED4">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0F085DAA">
            <w:pPr>
              <w:widowControl w:val="0"/>
              <w:shd w:val="clear"/>
              <w:snapToGrid w:val="0"/>
              <w:spacing w:line="360" w:lineRule="auto"/>
              <w:jc w:val="center"/>
              <w:rPr>
                <w:rFonts w:ascii="仿宋" w:hAnsi="仿宋" w:eastAsia="仿宋" w:cs="仿宋"/>
                <w:color w:val="auto"/>
                <w:sz w:val="24"/>
                <w:highlight w:val="none"/>
              </w:rPr>
            </w:pPr>
          </w:p>
        </w:tc>
      </w:tr>
      <w:tr w14:paraId="20B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0017CA42">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471" w:type="dxa"/>
            <w:vAlign w:val="bottom"/>
          </w:tcPr>
          <w:p w14:paraId="689638AD">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66604956">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0A01C150">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775ECDEF">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B01276D">
            <w:pPr>
              <w:widowControl w:val="0"/>
              <w:shd w:val="clear"/>
              <w:snapToGrid w:val="0"/>
              <w:spacing w:line="360" w:lineRule="auto"/>
              <w:jc w:val="center"/>
              <w:rPr>
                <w:rFonts w:ascii="仿宋" w:hAnsi="仿宋" w:eastAsia="仿宋" w:cs="仿宋"/>
                <w:color w:val="auto"/>
                <w:sz w:val="24"/>
                <w:highlight w:val="none"/>
              </w:rPr>
            </w:pPr>
          </w:p>
        </w:tc>
      </w:tr>
      <w:tr w14:paraId="48BD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742034E2">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471" w:type="dxa"/>
            <w:vAlign w:val="bottom"/>
          </w:tcPr>
          <w:p w14:paraId="1F556D65">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051BAEFC">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2BDEE2A4">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3C693A73">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52FC947C">
            <w:pPr>
              <w:widowControl w:val="0"/>
              <w:shd w:val="clear"/>
              <w:snapToGrid w:val="0"/>
              <w:spacing w:line="360" w:lineRule="auto"/>
              <w:jc w:val="center"/>
              <w:rPr>
                <w:rFonts w:ascii="仿宋" w:hAnsi="仿宋" w:eastAsia="仿宋" w:cs="仿宋"/>
                <w:color w:val="auto"/>
                <w:sz w:val="24"/>
                <w:highlight w:val="none"/>
              </w:rPr>
            </w:pPr>
          </w:p>
        </w:tc>
      </w:tr>
      <w:tr w14:paraId="56B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5F4647B5">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471" w:type="dxa"/>
            <w:vAlign w:val="bottom"/>
          </w:tcPr>
          <w:p w14:paraId="23CCF85D">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税费</w:t>
            </w:r>
          </w:p>
        </w:tc>
        <w:tc>
          <w:tcPr>
            <w:tcW w:w="1513" w:type="dxa"/>
            <w:vAlign w:val="bottom"/>
          </w:tcPr>
          <w:p w14:paraId="22E6447F">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34AF1875">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47494E6D">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6FA4DE9E">
            <w:pPr>
              <w:widowControl w:val="0"/>
              <w:shd w:val="clear"/>
              <w:snapToGrid w:val="0"/>
              <w:spacing w:line="360" w:lineRule="auto"/>
              <w:jc w:val="center"/>
              <w:rPr>
                <w:rFonts w:ascii="仿宋" w:hAnsi="仿宋" w:eastAsia="仿宋" w:cs="仿宋"/>
                <w:color w:val="auto"/>
                <w:sz w:val="24"/>
                <w:highlight w:val="none"/>
              </w:rPr>
            </w:pPr>
          </w:p>
        </w:tc>
      </w:tr>
      <w:tr w14:paraId="3BC7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26C46C9F">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471" w:type="dxa"/>
            <w:vAlign w:val="bottom"/>
          </w:tcPr>
          <w:p w14:paraId="40FFB7EF">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1513" w:type="dxa"/>
            <w:vAlign w:val="bottom"/>
          </w:tcPr>
          <w:p w14:paraId="38C9D8EF">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0D338600">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F75C574">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705EF3D5">
            <w:pPr>
              <w:widowControl w:val="0"/>
              <w:shd w:val="clear"/>
              <w:snapToGrid w:val="0"/>
              <w:spacing w:line="360" w:lineRule="auto"/>
              <w:jc w:val="center"/>
              <w:rPr>
                <w:rFonts w:ascii="仿宋" w:hAnsi="仿宋" w:eastAsia="仿宋" w:cs="仿宋"/>
                <w:color w:val="auto"/>
                <w:sz w:val="24"/>
                <w:highlight w:val="none"/>
              </w:rPr>
            </w:pPr>
          </w:p>
        </w:tc>
      </w:tr>
      <w:tr w14:paraId="44E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17B902B7">
            <w:pPr>
              <w:widowControl w:val="0"/>
              <w:shd w:val="clear"/>
              <w:snapToGrid w:val="0"/>
              <w:spacing w:line="360" w:lineRule="auto"/>
              <w:jc w:val="center"/>
              <w:rPr>
                <w:rFonts w:ascii="仿宋" w:hAnsi="仿宋" w:eastAsia="仿宋" w:cs="仿宋"/>
                <w:color w:val="auto"/>
                <w:sz w:val="24"/>
                <w:highlight w:val="none"/>
              </w:rPr>
            </w:pPr>
          </w:p>
        </w:tc>
        <w:tc>
          <w:tcPr>
            <w:tcW w:w="2471" w:type="dxa"/>
            <w:vAlign w:val="bottom"/>
          </w:tcPr>
          <w:p w14:paraId="05904514">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投标总报价</w:t>
            </w:r>
          </w:p>
        </w:tc>
        <w:tc>
          <w:tcPr>
            <w:tcW w:w="1513" w:type="dxa"/>
            <w:vAlign w:val="bottom"/>
          </w:tcPr>
          <w:p w14:paraId="7A46487F">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028A80DF">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BE9C56A">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7845CBDD">
            <w:pPr>
              <w:widowControl w:val="0"/>
              <w:shd w:val="clear"/>
              <w:snapToGrid w:val="0"/>
              <w:spacing w:line="360" w:lineRule="auto"/>
              <w:jc w:val="center"/>
              <w:rPr>
                <w:rFonts w:ascii="仿宋" w:hAnsi="仿宋" w:eastAsia="仿宋" w:cs="仿宋"/>
                <w:color w:val="auto"/>
                <w:sz w:val="24"/>
                <w:highlight w:val="none"/>
              </w:rPr>
            </w:pPr>
          </w:p>
        </w:tc>
      </w:tr>
    </w:tbl>
    <w:p w14:paraId="17EF5537">
      <w:pPr>
        <w:keepNext w:val="0"/>
        <w:keepLines w:val="0"/>
        <w:pageBreakBefore w:val="0"/>
        <w:widowControl/>
        <w:shd w:val="clear"/>
        <w:kinsoku/>
        <w:wordWrap/>
        <w:overflowPunct/>
        <w:topLinePunct w:val="0"/>
        <w:autoSpaceDE/>
        <w:autoSpaceDN/>
        <w:bidi w:val="0"/>
        <w:adjustRightInd/>
        <w:snapToGrid w:val="0"/>
        <w:spacing w:line="24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注：此表中的投标总报价必须与“报价一览表”中的“投标总报价”一致。</w:t>
      </w:r>
    </w:p>
    <w:p w14:paraId="1C529FBB">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726D2F25">
      <w:pPr>
        <w:shd w:val="clear"/>
        <w:snapToGrid w:val="0"/>
        <w:spacing w:line="720" w:lineRule="auto"/>
        <w:ind w:right="110" w:rightChars="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供应商（盖章）：</w:t>
      </w:r>
    </w:p>
    <w:p w14:paraId="1DABFD55">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5D1569DE">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5D8E95A8">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39335D4A">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182142F3">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7EB5E0D0">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41C59533">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4CE0E951">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402F0371">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37555A1C">
      <w:pPr>
        <w:pStyle w:val="11"/>
        <w:shd w:val="clear"/>
        <w:rPr>
          <w:rFonts w:hint="eastAsia" w:ascii="仿宋" w:hAnsi="仿宋" w:eastAsia="仿宋" w:cs="仿宋"/>
          <w:color w:val="auto"/>
          <w:sz w:val="24"/>
          <w:szCs w:val="24"/>
          <w:highlight w:val="none"/>
          <w:lang w:eastAsia="zh-CN"/>
        </w:rPr>
      </w:pPr>
    </w:p>
    <w:p w14:paraId="0B406345">
      <w:pPr>
        <w:shd w:val="clear"/>
        <w:rPr>
          <w:rFonts w:hint="eastAsia"/>
          <w:color w:val="auto"/>
          <w:highlight w:val="none"/>
          <w:lang w:eastAsia="zh-CN"/>
        </w:rPr>
      </w:pPr>
    </w:p>
    <w:p w14:paraId="18612BDF">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5602F4F7">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1BA34A03">
      <w:pPr>
        <w:pStyle w:val="3"/>
        <w:shd w:val="clear"/>
        <w:spacing w:before="0" w:after="0" w:line="579" w:lineRule="exact"/>
        <w:ind w:firstLine="0" w:firstLineChars="0"/>
        <w:rPr>
          <w:rFonts w:hint="default" w:ascii="仿宋" w:hAnsi="仿宋" w:eastAsia="仿宋" w:cs="仿宋"/>
          <w:color w:val="auto"/>
          <w:highlight w:val="none"/>
          <w:lang w:eastAsia="zh-CN"/>
        </w:rPr>
      </w:pPr>
      <w:bookmarkStart w:id="102" w:name="_Toc27460"/>
      <w:bookmarkStart w:id="103" w:name="_Toc7203"/>
      <w:bookmarkStart w:id="104" w:name="_Toc27396"/>
      <w:bookmarkStart w:id="105" w:name="_Toc8252"/>
      <w:bookmarkStart w:id="106" w:name="_Toc15438"/>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第三部分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商务及技术部分</w:t>
      </w:r>
      <w:bookmarkEnd w:id="102"/>
      <w:bookmarkEnd w:id="103"/>
      <w:bookmarkEnd w:id="104"/>
      <w:bookmarkEnd w:id="105"/>
      <w:bookmarkEnd w:id="106"/>
    </w:p>
    <w:p w14:paraId="19FB4BD2">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磋商响应文件按下列顺序排列和装订磋商响应文件：（未提供格式的内容自拟）</w:t>
      </w:r>
    </w:p>
    <w:p w14:paraId="3DB05E86">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（一）投标函</w:t>
      </w:r>
    </w:p>
    <w:p w14:paraId="60F5D7D2">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（二）法定代表人诚信投标承诺书</w:t>
      </w:r>
    </w:p>
    <w:p w14:paraId="08E020AF">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三</w:t>
      </w:r>
      <w:r>
        <w:rPr>
          <w:rFonts w:hint="eastAsia" w:ascii="仿宋" w:hAnsi="仿宋" w:eastAsia="仿宋" w:cs="仿宋"/>
          <w:b w:val="0"/>
          <w:bCs/>
          <w:color w:val="auto"/>
          <w:sz w:val="24"/>
          <w:szCs w:val="20"/>
          <w:highlight w:val="none"/>
          <w:lang w:eastAsia="zh-CN" w:bidi="ar"/>
        </w:rPr>
        <w:t>）磋商保证金</w:t>
      </w:r>
    </w:p>
    <w:p w14:paraId="6AD6C044">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四</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企业</w:t>
      </w:r>
      <w:r>
        <w:rPr>
          <w:rFonts w:hint="eastAsia" w:ascii="仿宋" w:hAnsi="仿宋" w:eastAsia="仿宋" w:cs="仿宋"/>
          <w:b w:val="0"/>
          <w:bCs/>
          <w:color w:val="auto"/>
          <w:sz w:val="24"/>
          <w:szCs w:val="20"/>
          <w:highlight w:val="none"/>
          <w:lang w:eastAsia="zh-CN" w:bidi="ar"/>
        </w:rPr>
        <w:t>业绩一览表</w:t>
      </w:r>
    </w:p>
    <w:p w14:paraId="34D23B59">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（五）项目团队成员一览表</w:t>
      </w:r>
    </w:p>
    <w:p w14:paraId="22DE0807">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六</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技术部分</w:t>
      </w:r>
    </w:p>
    <w:p w14:paraId="57CF5758">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（七）商务条款偏离表</w:t>
      </w:r>
    </w:p>
    <w:p w14:paraId="5C49DCCF">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（八）商务条款偏离表</w:t>
      </w:r>
    </w:p>
    <w:p w14:paraId="1DE6EBB8">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九</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技术（服务）</w:t>
      </w:r>
      <w:r>
        <w:rPr>
          <w:rFonts w:hint="eastAsia" w:ascii="仿宋" w:hAnsi="仿宋" w:eastAsia="仿宋" w:cs="仿宋"/>
          <w:b w:val="0"/>
          <w:bCs/>
          <w:color w:val="auto"/>
          <w:sz w:val="24"/>
          <w:szCs w:val="20"/>
          <w:highlight w:val="none"/>
          <w:lang w:eastAsia="zh-CN" w:bidi="ar"/>
        </w:rPr>
        <w:t>条款偏离表</w:t>
      </w:r>
    </w:p>
    <w:p w14:paraId="7BB4406C">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十</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供应商企业类型声明函</w:t>
      </w:r>
    </w:p>
    <w:p w14:paraId="4A213D30">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w:t>
      </w:r>
      <w:r>
        <w:rPr>
          <w:rFonts w:hint="eastAsia" w:ascii="仿宋" w:hAnsi="仿宋" w:eastAsia="仿宋" w:cs="仿宋"/>
          <w:b w:val="0"/>
          <w:bCs/>
          <w:color w:val="auto"/>
          <w:sz w:val="24"/>
          <w:szCs w:val="20"/>
          <w:highlight w:val="none"/>
          <w:lang w:val="en-US" w:eastAsia="zh-CN" w:bidi="ar"/>
        </w:rPr>
        <w:t>一</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供应商认为有必要提交的其他材料</w:t>
      </w:r>
    </w:p>
    <w:p w14:paraId="16694536">
      <w:pPr>
        <w:shd w:val="clear"/>
        <w:spacing w:line="500" w:lineRule="exact"/>
        <w:ind w:firstLine="480"/>
        <w:rPr>
          <w:rFonts w:ascii="仿宋" w:hAnsi="仿宋" w:eastAsia="仿宋" w:cs="仿宋"/>
          <w:color w:val="auto"/>
          <w:sz w:val="24"/>
          <w:highlight w:val="none"/>
          <w:lang w:eastAsia="zh-CN"/>
        </w:rPr>
      </w:pPr>
    </w:p>
    <w:p w14:paraId="64E668DB">
      <w:pPr>
        <w:pStyle w:val="13"/>
        <w:shd w:val="clear"/>
        <w:spacing w:line="579" w:lineRule="exact"/>
        <w:ind w:left="0" w:leftChars="0" w:firstLine="552" w:firstLineChars="250"/>
        <w:rPr>
          <w:rFonts w:ascii="仿宋" w:hAnsi="仿宋" w:eastAsia="仿宋" w:cs="仿宋"/>
          <w:b/>
          <w:bCs/>
          <w:color w:val="auto"/>
          <w:highlight w:val="none"/>
          <w:lang w:eastAsia="zh-CN"/>
        </w:rPr>
        <w:sectPr>
          <w:footerReference r:id="rId5" w:type="default"/>
          <w:pgSz w:w="11906" w:h="16838"/>
          <w:pgMar w:top="1418" w:right="1700" w:bottom="1418" w:left="1361" w:header="851" w:footer="992" w:gutter="0"/>
          <w:pgNumType w:fmt="decimal"/>
          <w:cols w:space="425" w:num="1"/>
          <w:docGrid w:type="lines" w:linePitch="332" w:charSpace="0"/>
        </w:sectPr>
      </w:pPr>
      <w:r>
        <w:rPr>
          <w:rFonts w:hint="eastAsia" w:ascii="仿宋" w:hAnsi="仿宋" w:eastAsia="仿宋" w:cs="仿宋"/>
          <w:b/>
          <w:bCs/>
          <w:color w:val="auto"/>
          <w:highlight w:val="none"/>
          <w:lang w:eastAsia="zh-CN"/>
        </w:rPr>
        <w:t>供应商提供的以上材料必须真实有效，需要年检的证书必须有年检记录，所有文件均须加盖单位公章，任何一项的虚假或提交的磋商响应文件资料不全，或未对磋商文件做出实质性响应，将可能导致磋商响应文件被拒绝接受。</w:t>
      </w:r>
    </w:p>
    <w:p w14:paraId="5B1B92E9">
      <w:pPr>
        <w:shd w:val="clear"/>
        <w:spacing w:line="579" w:lineRule="exact"/>
        <w:jc w:val="center"/>
        <w:outlineLvl w:val="2"/>
        <w:rPr>
          <w:rFonts w:ascii="仿宋" w:hAnsi="仿宋" w:eastAsia="仿宋" w:cs="仿宋"/>
          <w:b/>
          <w:color w:val="auto"/>
          <w:sz w:val="24"/>
          <w:szCs w:val="20"/>
          <w:highlight w:val="none"/>
          <w:lang w:eastAsia="zh-CN" w:bidi="ar"/>
        </w:rPr>
      </w:pPr>
      <w:bookmarkStart w:id="107" w:name="_Toc22554402"/>
      <w:bookmarkStart w:id="108" w:name="_Toc3891649"/>
      <w:bookmarkStart w:id="109" w:name="_Toc1719149"/>
      <w:bookmarkStart w:id="110" w:name="_Toc30846"/>
      <w:bookmarkStart w:id="111" w:name="_Toc4882"/>
      <w:bookmarkStart w:id="112" w:name="_Toc8955"/>
      <w:bookmarkStart w:id="113" w:name="_Toc27883"/>
      <w:bookmarkStart w:id="114" w:name="_Toc21594"/>
      <w:r>
        <w:rPr>
          <w:rFonts w:hint="eastAsia" w:ascii="仿宋" w:hAnsi="仿宋" w:eastAsia="仿宋" w:cs="仿宋"/>
          <w:b/>
          <w:color w:val="auto"/>
          <w:sz w:val="24"/>
          <w:szCs w:val="20"/>
          <w:highlight w:val="none"/>
          <w:lang w:eastAsia="zh-CN" w:bidi="ar"/>
        </w:rPr>
        <w:t>（一）</w:t>
      </w:r>
      <w:bookmarkEnd w:id="107"/>
      <w:bookmarkEnd w:id="108"/>
      <w:bookmarkEnd w:id="109"/>
      <w:r>
        <w:rPr>
          <w:rFonts w:hint="eastAsia" w:ascii="仿宋" w:hAnsi="仿宋" w:eastAsia="仿宋" w:cs="仿宋"/>
          <w:b/>
          <w:color w:val="auto"/>
          <w:sz w:val="24"/>
          <w:szCs w:val="20"/>
          <w:highlight w:val="none"/>
          <w:lang w:eastAsia="zh-CN" w:bidi="ar"/>
        </w:rPr>
        <w:t>投标函</w:t>
      </w:r>
      <w:bookmarkEnd w:id="110"/>
      <w:bookmarkEnd w:id="111"/>
      <w:bookmarkEnd w:id="112"/>
      <w:bookmarkEnd w:id="113"/>
      <w:bookmarkEnd w:id="114"/>
    </w:p>
    <w:p w14:paraId="5A4A1C99">
      <w:pPr>
        <w:shd w:val="clear"/>
        <w:spacing w:line="400" w:lineRule="exact"/>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新疆君凯杰工程项目管理有限公司：</w:t>
      </w:r>
    </w:p>
    <w:p w14:paraId="3CC8973C">
      <w:pPr>
        <w:shd w:val="clear"/>
        <w:spacing w:line="400" w:lineRule="exact"/>
        <w:ind w:firstLine="496" w:firstLineChars="200"/>
        <w:rPr>
          <w:rFonts w:ascii="仿宋" w:hAnsi="仿宋" w:eastAsia="仿宋" w:cs="仿宋"/>
          <w:bCs/>
          <w:color w:val="auto"/>
          <w:spacing w:val="4"/>
          <w:sz w:val="24"/>
          <w:highlight w:val="none"/>
          <w:u w:val="single"/>
          <w:lang w:eastAsia="zh-CN"/>
        </w:rPr>
      </w:pPr>
      <w:r>
        <w:rPr>
          <w:rFonts w:hint="eastAsia" w:ascii="仿宋" w:hAnsi="仿宋" w:eastAsia="仿宋" w:cs="仿宋"/>
          <w:color w:val="auto"/>
          <w:spacing w:val="4"/>
          <w:sz w:val="24"/>
          <w:highlight w:val="none"/>
          <w:lang w:eastAsia="zh-CN"/>
        </w:rPr>
        <w:t>我们收到你们</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lang w:eastAsia="zh-CN"/>
        </w:rPr>
        <w:t>号</w:t>
      </w:r>
      <w:r>
        <w:rPr>
          <w:rFonts w:hint="eastAsia" w:ascii="仿宋" w:hAnsi="仿宋" w:eastAsia="仿宋" w:cs="仿宋"/>
          <w:bCs/>
          <w:color w:val="auto"/>
          <w:spacing w:val="4"/>
          <w:sz w:val="24"/>
          <w:highlight w:val="none"/>
          <w:u w:val="single"/>
          <w:lang w:eastAsia="zh-CN"/>
        </w:rPr>
        <w:t>自治区文化和旅游厅态势感知平台升级和漏洞扫描服务项目</w:t>
      </w:r>
    </w:p>
    <w:p w14:paraId="0E675CF9">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第</w:t>
      </w:r>
      <w:r>
        <w:rPr>
          <w:rFonts w:hint="eastAsia" w:ascii="仿宋" w:hAnsi="仿宋" w:eastAsia="仿宋" w:cs="仿宋"/>
          <w:color w:val="auto"/>
          <w:spacing w:val="4"/>
          <w:sz w:val="24"/>
          <w:highlight w:val="none"/>
          <w:u w:val="single"/>
          <w:lang w:eastAsia="zh-CN"/>
        </w:rPr>
        <w:t>/</w:t>
      </w:r>
      <w:r>
        <w:rPr>
          <w:rFonts w:hint="eastAsia" w:ascii="仿宋" w:hAnsi="仿宋" w:eastAsia="仿宋" w:cs="仿宋"/>
          <w:color w:val="auto"/>
          <w:spacing w:val="4"/>
          <w:sz w:val="24"/>
          <w:highlight w:val="none"/>
          <w:lang w:eastAsia="zh-CN"/>
        </w:rPr>
        <w:t>包磋商文件，经仔细阅读和研究，我们决定参加投标。</w:t>
      </w:r>
    </w:p>
    <w:p w14:paraId="625B819B">
      <w:pPr>
        <w:shd w:val="clear"/>
        <w:spacing w:line="400" w:lineRule="exact"/>
        <w:ind w:firstLine="496" w:firstLineChars="200"/>
        <w:rPr>
          <w:rFonts w:ascii="仿宋" w:hAnsi="仿宋" w:eastAsia="仿宋" w:cs="仿宋"/>
          <w:color w:val="auto"/>
          <w:spacing w:val="4"/>
          <w:sz w:val="24"/>
          <w:highlight w:val="none"/>
          <w:lang w:eastAsia="zh-CN"/>
        </w:rPr>
      </w:pPr>
      <w:bookmarkStart w:id="115" w:name="_Toc15871_WPSOffice_Level1"/>
      <w:r>
        <w:rPr>
          <w:rFonts w:hint="eastAsia" w:ascii="仿宋" w:hAnsi="仿宋" w:eastAsia="仿宋" w:cs="仿宋"/>
          <w:color w:val="auto"/>
          <w:spacing w:val="4"/>
          <w:sz w:val="24"/>
          <w:highlight w:val="none"/>
          <w:lang w:eastAsia="zh-CN"/>
        </w:rPr>
        <w:t>l、愿意按照磋商文件的一切要求，提供以上服务。</w:t>
      </w:r>
      <w:bookmarkEnd w:id="115"/>
    </w:p>
    <w:p w14:paraId="6FB9FE17">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2、如果我们的响应文件被接受，我们将严格履行磋商文件中规定的每一项要求，按期、按质、按量履行服务义务。</w:t>
      </w:r>
    </w:p>
    <w:p w14:paraId="2203F564">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3、供应商已详细阅读并理解了磋商文件的全部，包括修改文件(如有的话)。我们完全理解并同意放弃对这方面有不明及误解的权利。</w:t>
      </w:r>
    </w:p>
    <w:p w14:paraId="17BAC035">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4、我们同意按磋商文件中的规定，本响应文件的有效期限为开标后</w:t>
      </w:r>
      <w:r>
        <w:rPr>
          <w:rFonts w:hint="eastAsia" w:ascii="仿宋" w:hAnsi="仿宋" w:eastAsia="仿宋" w:cs="仿宋"/>
          <w:color w:val="auto"/>
          <w:spacing w:val="4"/>
          <w:sz w:val="24"/>
          <w:highlight w:val="none"/>
          <w:u w:val="single"/>
          <w:lang w:eastAsia="zh-CN"/>
        </w:rPr>
        <w:t xml:space="preserve">  90  </w:t>
      </w:r>
      <w:r>
        <w:rPr>
          <w:rFonts w:hint="eastAsia" w:ascii="仿宋" w:hAnsi="仿宋" w:eastAsia="仿宋" w:cs="仿宋"/>
          <w:color w:val="auto"/>
          <w:spacing w:val="4"/>
          <w:sz w:val="24"/>
          <w:highlight w:val="none"/>
          <w:lang w:eastAsia="zh-CN"/>
        </w:rPr>
        <w:t>天。</w:t>
      </w:r>
    </w:p>
    <w:p w14:paraId="617CF200">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5、我们愿意提供采购人在磋商文件中要求的所有资料。</w:t>
      </w:r>
    </w:p>
    <w:p w14:paraId="659B6E0D">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6、我们认为你们有权决定成交供应商，还认为你们有权接受或拒绝所有的供应商成交。</w:t>
      </w:r>
    </w:p>
    <w:p w14:paraId="77DEC629">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7、我方愿意遵守磋商文件中所列的收费标准。</w:t>
      </w:r>
    </w:p>
    <w:p w14:paraId="1EFE92BD">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8、在规定的磋商时间后，如果在磋商有效期内撤回投标，同意磋商保证金将被贵方没收。</w:t>
      </w:r>
    </w:p>
    <w:p w14:paraId="085F21AE">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9、供应商同意提供按照贵方可能要求的与其投标有关的一切数据或资料，完全理解贵方不一定接受最低价的投标或收到的任何投标的约定。</w:t>
      </w:r>
    </w:p>
    <w:p w14:paraId="7C5CE00E">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10、我方在响应文件中所作的承诺在开标后保持有效，不作任何更改和变动。</w:t>
      </w:r>
    </w:p>
    <w:p w14:paraId="55F29D2B">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11、我们愿意按磋商文件的规定交纳</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4000</w:t>
      </w:r>
      <w:r>
        <w:rPr>
          <w:rFonts w:hint="eastAsia" w:ascii="仿宋" w:hAnsi="仿宋" w:eastAsia="仿宋" w:cs="仿宋"/>
          <w:color w:val="auto"/>
          <w:spacing w:val="4"/>
          <w:sz w:val="24"/>
          <w:highlight w:val="none"/>
          <w:u w:val="single"/>
          <w:lang w:eastAsia="zh-CN"/>
        </w:rPr>
        <w:t>元</w:t>
      </w:r>
      <w:r>
        <w:rPr>
          <w:rFonts w:hint="eastAsia" w:ascii="仿宋" w:hAnsi="仿宋" w:eastAsia="仿宋" w:cs="仿宋"/>
          <w:color w:val="auto"/>
          <w:spacing w:val="4"/>
          <w:sz w:val="24"/>
          <w:highlight w:val="none"/>
          <w:lang w:eastAsia="zh-CN"/>
        </w:rPr>
        <w:t>的磋商保证金。</w:t>
      </w:r>
    </w:p>
    <w:p w14:paraId="3AC44123">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12、若我方获得成交，我方保证按有关规定向贵方支付招标服务费。我方承诺接受磋商文件及澄清修改部分（如有）的全部条款（包括响应文件递交截止时间、保证金、资格评审条件、成交标准以及采购需求等其他所有条款）且无任何异议，现向贵公司提出承诺报价。</w:t>
      </w:r>
    </w:p>
    <w:p w14:paraId="642430DC">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所有有关标书的函电，请按下列地址联系：</w:t>
      </w:r>
    </w:p>
    <w:p w14:paraId="3996390B">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单  位：                 邮编：             传真：</w:t>
      </w:r>
    </w:p>
    <w:p w14:paraId="5808BBBC">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联系人：                 地址：             电话：</w:t>
      </w:r>
    </w:p>
    <w:p w14:paraId="09583209">
      <w:pPr>
        <w:shd w:val="clear"/>
        <w:spacing w:line="400" w:lineRule="exact"/>
        <w:ind w:firstLine="440" w:firstLineChars="200"/>
        <w:rPr>
          <w:rFonts w:ascii="仿宋" w:hAnsi="仿宋" w:eastAsia="仿宋" w:cs="仿宋"/>
          <w:color w:val="auto"/>
          <w:highlight w:val="none"/>
          <w:lang w:eastAsia="zh-CN"/>
        </w:rPr>
      </w:pPr>
    </w:p>
    <w:p w14:paraId="0DC2C281">
      <w:pPr>
        <w:shd w:val="clea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267CF38D">
      <w:pPr>
        <w:shd w:val="clea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29D2D931">
      <w:pPr>
        <w:shd w:val="clea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2250B775">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b/>
          <w:color w:val="auto"/>
          <w:sz w:val="24"/>
          <w:szCs w:val="20"/>
          <w:highlight w:val="none"/>
          <w:lang w:eastAsia="zh-CN" w:bidi="ar"/>
        </w:rPr>
      </w:pPr>
      <w:bookmarkStart w:id="116" w:name="_Toc1719152"/>
      <w:bookmarkStart w:id="117" w:name="_Toc3891652"/>
      <w:bookmarkStart w:id="118" w:name="_Toc22554406"/>
    </w:p>
    <w:p w14:paraId="76883E5F">
      <w:pPr>
        <w:pStyle w:val="11"/>
        <w:shd w:val="clear"/>
        <w:rPr>
          <w:rFonts w:hint="eastAsia"/>
          <w:color w:val="auto"/>
          <w:highlight w:val="none"/>
          <w:lang w:eastAsia="zh-CN"/>
        </w:rPr>
      </w:pPr>
    </w:p>
    <w:p w14:paraId="0AFA0A50">
      <w:pPr>
        <w:shd w:val="clear"/>
        <w:spacing w:line="579" w:lineRule="exact"/>
        <w:jc w:val="center"/>
        <w:outlineLvl w:val="2"/>
        <w:rPr>
          <w:rFonts w:ascii="仿宋" w:hAnsi="仿宋" w:eastAsia="仿宋" w:cs="仿宋"/>
          <w:b/>
          <w:color w:val="auto"/>
          <w:sz w:val="24"/>
          <w:szCs w:val="20"/>
          <w:highlight w:val="none"/>
          <w:lang w:eastAsia="zh-CN" w:bidi="ar"/>
        </w:rPr>
      </w:pPr>
      <w:bookmarkStart w:id="119" w:name="_Toc32192"/>
      <w:bookmarkStart w:id="120" w:name="_Toc22987"/>
      <w:bookmarkStart w:id="121" w:name="_Toc23045"/>
      <w:bookmarkStart w:id="122" w:name="_Toc27095"/>
      <w:bookmarkStart w:id="123" w:name="_Toc19343"/>
      <w:r>
        <w:rPr>
          <w:rFonts w:hint="eastAsia" w:ascii="仿宋" w:hAnsi="仿宋" w:eastAsia="仿宋" w:cs="仿宋"/>
          <w:b/>
          <w:color w:val="auto"/>
          <w:sz w:val="24"/>
          <w:szCs w:val="20"/>
          <w:highlight w:val="none"/>
          <w:lang w:eastAsia="zh-CN" w:bidi="ar"/>
        </w:rPr>
        <w:t>（二）法定代表人诚信投标承诺书</w:t>
      </w:r>
      <w:bookmarkEnd w:id="119"/>
      <w:bookmarkEnd w:id="120"/>
      <w:bookmarkEnd w:id="121"/>
      <w:bookmarkEnd w:id="122"/>
      <w:bookmarkEnd w:id="123"/>
    </w:p>
    <w:p w14:paraId="1BEA7986">
      <w:pPr>
        <w:pStyle w:val="60"/>
        <w:shd w:val="clear"/>
        <w:ind w:firstLine="0" w:firstLineChars="0"/>
        <w:rPr>
          <w:rFonts w:hint="default" w:ascii="仿宋" w:hAnsi="仿宋" w:eastAsia="仿宋" w:cs="仿宋"/>
          <w:b/>
          <w:color w:val="auto"/>
          <w:szCs w:val="24"/>
          <w:highlight w:val="none"/>
          <w:lang w:eastAsia="zh-CN"/>
        </w:rPr>
      </w:pPr>
      <w:r>
        <w:rPr>
          <w:rFonts w:ascii="仿宋" w:hAnsi="仿宋" w:eastAsia="仿宋" w:cs="仿宋"/>
          <w:b/>
          <w:color w:val="auto"/>
          <w:szCs w:val="24"/>
          <w:highlight w:val="none"/>
          <w:lang w:eastAsia="zh-CN"/>
        </w:rPr>
        <w:t>本人以企业法定代表人的身份郑重承诺：</w:t>
      </w:r>
    </w:p>
    <w:p w14:paraId="67E743AA">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将遵循公开、公平、公正和诚信信用的原则参加（</w:t>
      </w:r>
      <w:r>
        <w:rPr>
          <w:rFonts w:hint="eastAsia" w:ascii="仿宋" w:hAnsi="仿宋" w:eastAsia="仿宋" w:cs="仿宋"/>
          <w:color w:val="auto"/>
          <w:spacing w:val="4"/>
          <w:sz w:val="24"/>
          <w:highlight w:val="none"/>
          <w:u w:val="single"/>
          <w:lang w:eastAsia="zh-CN"/>
        </w:rPr>
        <w:t xml:space="preserve">  项目、招标编号  </w:t>
      </w:r>
      <w:r>
        <w:rPr>
          <w:rFonts w:hint="eastAsia" w:ascii="仿宋" w:hAnsi="仿宋" w:eastAsia="仿宋" w:cs="仿宋"/>
          <w:color w:val="auto"/>
          <w:spacing w:val="4"/>
          <w:sz w:val="24"/>
          <w:highlight w:val="none"/>
          <w:lang w:eastAsia="zh-CN"/>
        </w:rPr>
        <w:t>）的投标；</w:t>
      </w:r>
    </w:p>
    <w:p w14:paraId="3F468A04">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一、杜绝以收取管理费等形式的一切挂靠、违法转包、分包行为；并选派有丰富经验、无不良行为记录的在项目管理人员、技术人员，严格按磋商文件及合同等要求保证拟派人员的到岗率。</w:t>
      </w:r>
    </w:p>
    <w:p w14:paraId="0A094CB5">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二、磋商文件所提供的一切材料都是真实、有效、合法的。</w:t>
      </w:r>
    </w:p>
    <w:p w14:paraId="2234506F">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三、不与其他供应商相互串通磋商响应报价，不排挤其他供应商的公平竞争，不损害采购人或其他供应商的合法权益。</w:t>
      </w:r>
    </w:p>
    <w:p w14:paraId="4F29E04C">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四、不与采购人或采购机构串通投标，不损害国家利益，社会公共利益或其他人的合法权益。</w:t>
      </w:r>
    </w:p>
    <w:p w14:paraId="0E5F437F">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五、不向采购人或者评标委员会成员行贿以牟取中标。</w:t>
      </w:r>
    </w:p>
    <w:p w14:paraId="25B09883">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六、不以其他人名义投标或者以其他方式弄虚作假，骗取中标。</w:t>
      </w:r>
    </w:p>
    <w:p w14:paraId="15C2EC2E">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七、不在开标后进行虚假恶意投诉。</w:t>
      </w:r>
    </w:p>
    <w:p w14:paraId="71694F88">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八、我单位没有被政府机关列入失信被执行人名单、重大税收违法案件当事人名单、政府采购严重违法失信行为记录名单及其他不符合《中华人民共和国政府采购法》第二十二条规定条件的情形。</w:t>
      </w:r>
    </w:p>
    <w:p w14:paraId="37ECBE10">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九、没有被财政部门限制参加政府采购活动或曾被财政部门限制参加政府采购活动但已不在限制期内。    </w:t>
      </w:r>
    </w:p>
    <w:p w14:paraId="257A32D1">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十、参与本项目政府采购活动3年内没有重大违法记录情况。</w:t>
      </w:r>
    </w:p>
    <w:p w14:paraId="04493CB8">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本公司若有违反本承诺内容的行为，愿意承担法律责任，包括不限于：愿意接受相关行政主管部门作出的处罚；给采购人造成损失的，依法承担相应的赔偿责任。</w:t>
      </w:r>
    </w:p>
    <w:p w14:paraId="3B407895">
      <w:pPr>
        <w:shd w:val="clear"/>
        <w:snapToGrid w:val="0"/>
        <w:spacing w:line="470" w:lineRule="exact"/>
        <w:rPr>
          <w:rFonts w:ascii="仿宋" w:hAnsi="仿宋" w:eastAsia="仿宋" w:cs="仿宋"/>
          <w:b/>
          <w:color w:val="auto"/>
          <w:sz w:val="24"/>
          <w:highlight w:val="none"/>
          <w:lang w:eastAsia="zh-CN"/>
        </w:rPr>
      </w:pPr>
    </w:p>
    <w:p w14:paraId="0494C3F1">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591DD406">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41C9763B">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1023362F">
      <w:pPr>
        <w:shd w:val="clear"/>
        <w:spacing w:line="579" w:lineRule="exact"/>
        <w:outlineLvl w:val="2"/>
        <w:rPr>
          <w:rFonts w:ascii="仿宋" w:hAnsi="仿宋" w:eastAsia="仿宋" w:cs="仿宋"/>
          <w:b/>
          <w:color w:val="auto"/>
          <w:sz w:val="24"/>
          <w:szCs w:val="20"/>
          <w:highlight w:val="none"/>
          <w:lang w:eastAsia="zh-CN" w:bidi="ar"/>
        </w:rPr>
        <w:sectPr>
          <w:pgSz w:w="11906" w:h="16838"/>
          <w:pgMar w:top="1418" w:right="1700" w:bottom="1418" w:left="1361" w:header="851" w:footer="992" w:gutter="0"/>
          <w:pgNumType w:fmt="decimal"/>
          <w:cols w:space="425" w:num="1"/>
          <w:docGrid w:type="lines" w:linePitch="332" w:charSpace="0"/>
        </w:sectPr>
      </w:pPr>
    </w:p>
    <w:bookmarkEnd w:id="116"/>
    <w:bookmarkEnd w:id="117"/>
    <w:bookmarkEnd w:id="118"/>
    <w:p w14:paraId="0ECFCA44">
      <w:pPr>
        <w:shd w:val="clear"/>
        <w:spacing w:line="579" w:lineRule="exact"/>
        <w:jc w:val="center"/>
        <w:outlineLvl w:val="2"/>
        <w:rPr>
          <w:rFonts w:ascii="仿宋" w:hAnsi="仿宋" w:eastAsia="仿宋" w:cs="仿宋"/>
          <w:b/>
          <w:color w:val="auto"/>
          <w:sz w:val="24"/>
          <w:szCs w:val="20"/>
          <w:highlight w:val="none"/>
          <w:lang w:eastAsia="zh-CN" w:bidi="ar"/>
        </w:rPr>
      </w:pPr>
      <w:bookmarkStart w:id="124" w:name="_Toc19256"/>
      <w:bookmarkStart w:id="125" w:name="_Toc3891645"/>
      <w:bookmarkStart w:id="126" w:name="_Toc22554398"/>
      <w:bookmarkStart w:id="127" w:name="_Toc1115"/>
      <w:bookmarkStart w:id="128" w:name="_Toc24967"/>
      <w:bookmarkStart w:id="129" w:name="_Toc27258"/>
      <w:bookmarkStart w:id="130" w:name="_Toc10927"/>
      <w:bookmarkStart w:id="131" w:name="_Toc266868684"/>
      <w:bookmarkStart w:id="132" w:name="_Toc259692754"/>
      <w:bookmarkStart w:id="133" w:name="_Toc266870921"/>
      <w:bookmarkStart w:id="134" w:name="_Toc259520879"/>
      <w:bookmarkStart w:id="135" w:name="_Toc267060220"/>
      <w:bookmarkStart w:id="136" w:name="_Toc255975021"/>
      <w:bookmarkStart w:id="137" w:name="_Toc267060465"/>
      <w:bookmarkStart w:id="138" w:name="_Toc3891662"/>
      <w:bookmarkStart w:id="139" w:name="_Toc258401270"/>
      <w:bookmarkStart w:id="140" w:name="_Toc266870446"/>
      <w:bookmarkStart w:id="141" w:name="_Toc22554425"/>
      <w:bookmarkStart w:id="142" w:name="_Toc254790914"/>
      <w:bookmarkStart w:id="143" w:name="_Toc1719163"/>
      <w:bookmarkStart w:id="144" w:name="_Toc267060080"/>
      <w:bookmarkStart w:id="145" w:name="_Toc259692661"/>
      <w:bookmarkStart w:id="146" w:name="_Toc235438357"/>
      <w:bookmarkStart w:id="147" w:name="_Toc236021462"/>
      <w:bookmarkStart w:id="148" w:name="_Toc160880537"/>
      <w:bookmarkStart w:id="149" w:name="_Toc181436469"/>
      <w:bookmarkStart w:id="150" w:name="_Toc249325725"/>
      <w:bookmarkStart w:id="151" w:name="_Toc180302921"/>
      <w:bookmarkStart w:id="152" w:name="_Toc182372790"/>
      <w:bookmarkStart w:id="153" w:name="_Toc160880168"/>
      <w:bookmarkStart w:id="154" w:name="_Toc235438286"/>
      <w:bookmarkStart w:id="155" w:name="_Toc181436573"/>
      <w:bookmarkStart w:id="156" w:name="_Toc193160456"/>
      <w:bookmarkStart w:id="157" w:name="_Toc251586246"/>
      <w:bookmarkStart w:id="158" w:name="_Toc191803634"/>
      <w:bookmarkStart w:id="159" w:name="_Toc192663843"/>
      <w:bookmarkStart w:id="160" w:name="_Toc192663694"/>
      <w:bookmarkStart w:id="161" w:name="_Toc211917124"/>
      <w:bookmarkStart w:id="162" w:name="_Toc203355741"/>
      <w:bookmarkStart w:id="163" w:name="_Toc177985477"/>
      <w:bookmarkStart w:id="164" w:name="_Toc191783230"/>
      <w:bookmarkStart w:id="165" w:name="_Toc182805225"/>
      <w:bookmarkStart w:id="166" w:name="_Toc191789337"/>
      <w:bookmarkStart w:id="167" w:name="_Toc191802698"/>
      <w:bookmarkStart w:id="168" w:name="_Toc192996346"/>
      <w:bookmarkStart w:id="169" w:name="_Toc170798801"/>
      <w:bookmarkStart w:id="170" w:name="_Toc169332957"/>
      <w:bookmarkStart w:id="171" w:name="_Toc232302127"/>
      <w:bookmarkStart w:id="172" w:name="_Toc235438003"/>
      <w:bookmarkStart w:id="173" w:name="_Toc251613844"/>
      <w:bookmarkStart w:id="174" w:name="_Toc253066629"/>
      <w:bookmarkStart w:id="175" w:name="_Toc193165742"/>
      <w:bookmarkStart w:id="176" w:name="_Toc192996454"/>
      <w:bookmarkStart w:id="177" w:name="_Toc192664161"/>
      <w:bookmarkStart w:id="178" w:name="_Toc169332846"/>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三</w:t>
      </w:r>
      <w:r>
        <w:rPr>
          <w:rFonts w:hint="eastAsia" w:ascii="仿宋" w:hAnsi="仿宋" w:eastAsia="仿宋" w:cs="仿宋"/>
          <w:b/>
          <w:color w:val="auto"/>
          <w:sz w:val="24"/>
          <w:szCs w:val="20"/>
          <w:highlight w:val="none"/>
          <w:lang w:eastAsia="zh-CN" w:bidi="ar"/>
        </w:rPr>
        <w:t>）磋商保证金</w:t>
      </w:r>
      <w:bookmarkEnd w:id="124"/>
      <w:bookmarkEnd w:id="125"/>
      <w:bookmarkEnd w:id="126"/>
      <w:bookmarkEnd w:id="127"/>
      <w:bookmarkEnd w:id="128"/>
      <w:bookmarkEnd w:id="129"/>
      <w:bookmarkEnd w:id="130"/>
    </w:p>
    <w:p w14:paraId="6BC63BB2">
      <w:pPr>
        <w:pStyle w:val="7"/>
        <w:shd w:val="clear"/>
        <w:spacing w:line="579" w:lineRule="exact"/>
        <w:ind w:firstLine="480"/>
        <w:rPr>
          <w:rFonts w:ascii="仿宋" w:hAnsi="仿宋" w:eastAsia="仿宋" w:cs="仿宋"/>
          <w:color w:val="auto"/>
          <w:sz w:val="24"/>
          <w:szCs w:val="18"/>
          <w:highlight w:val="none"/>
          <w:lang w:eastAsia="zh-CN"/>
        </w:rPr>
        <w:sectPr>
          <w:pgSz w:w="11906" w:h="16838"/>
          <w:pgMar w:top="1418" w:right="1826" w:bottom="1418" w:left="1361" w:header="851" w:footer="992" w:gutter="0"/>
          <w:pgNumType w:fmt="decimal"/>
          <w:cols w:space="425" w:num="1"/>
          <w:docGrid w:type="linesAndChars" w:linePitch="332" w:charSpace="0"/>
        </w:sectPr>
      </w:pPr>
      <w:r>
        <w:rPr>
          <w:rFonts w:hint="eastAsia" w:ascii="仿宋" w:hAnsi="仿宋" w:eastAsia="仿宋" w:cs="仿宋"/>
          <w:color w:val="auto"/>
          <w:sz w:val="24"/>
          <w:szCs w:val="18"/>
          <w:highlight w:val="none"/>
          <w:lang w:eastAsia="zh-CN"/>
        </w:rPr>
        <w:t>附：磋商保证金缴纳凭证或收据</w:t>
      </w:r>
      <w:r>
        <w:rPr>
          <w:rFonts w:hint="eastAsia" w:ascii="仿宋" w:hAnsi="仿宋" w:eastAsia="仿宋" w:cs="仿宋"/>
          <w:color w:val="auto"/>
          <w:sz w:val="24"/>
          <w:szCs w:val="18"/>
          <w:highlight w:val="none"/>
          <w:lang w:val="en-US" w:eastAsia="zh-CN"/>
        </w:rPr>
        <w:t>或保函</w:t>
      </w:r>
      <w:r>
        <w:rPr>
          <w:rFonts w:hint="eastAsia" w:ascii="仿宋" w:hAnsi="仿宋" w:eastAsia="仿宋" w:cs="仿宋"/>
          <w:color w:val="auto"/>
          <w:sz w:val="24"/>
          <w:szCs w:val="18"/>
          <w:highlight w:val="none"/>
          <w:lang w:eastAsia="zh-CN"/>
        </w:rPr>
        <w:t>复印件加盖投标单位公章</w:t>
      </w:r>
    </w:p>
    <w:p w14:paraId="07D5C104">
      <w:pPr>
        <w:shd w:val="clear"/>
        <w:spacing w:line="579" w:lineRule="exact"/>
        <w:jc w:val="center"/>
        <w:outlineLvl w:val="2"/>
        <w:rPr>
          <w:rFonts w:ascii="仿宋" w:hAnsi="仿宋" w:eastAsia="仿宋" w:cs="仿宋"/>
          <w:b/>
          <w:color w:val="auto"/>
          <w:sz w:val="24"/>
          <w:szCs w:val="20"/>
          <w:highlight w:val="none"/>
          <w:lang w:eastAsia="zh-CN" w:bidi="ar"/>
        </w:rPr>
      </w:pPr>
      <w:bookmarkStart w:id="179" w:name="_Toc8186"/>
      <w:bookmarkStart w:id="180" w:name="_Toc5775"/>
      <w:bookmarkStart w:id="181" w:name="_Toc18115"/>
      <w:bookmarkStart w:id="182" w:name="_Toc23572"/>
      <w:bookmarkStart w:id="183" w:name="_Toc32384"/>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四</w:t>
      </w:r>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企业</w:t>
      </w:r>
      <w:r>
        <w:rPr>
          <w:rFonts w:hint="eastAsia" w:ascii="仿宋" w:hAnsi="仿宋" w:eastAsia="仿宋" w:cs="仿宋"/>
          <w:b/>
          <w:color w:val="auto"/>
          <w:sz w:val="24"/>
          <w:szCs w:val="20"/>
          <w:highlight w:val="none"/>
          <w:lang w:eastAsia="zh-CN" w:bidi="ar"/>
        </w:rPr>
        <w:t>业绩一览表</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79"/>
      <w:bookmarkEnd w:id="180"/>
      <w:bookmarkEnd w:id="181"/>
      <w:bookmarkEnd w:id="182"/>
      <w:bookmarkEnd w:id="183"/>
    </w:p>
    <w:p w14:paraId="7E8FE475">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3DC35CD6">
      <w:pPr>
        <w:shd w:val="clea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7"/>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18"/>
        <w:gridCol w:w="1401"/>
        <w:gridCol w:w="1303"/>
        <w:gridCol w:w="1374"/>
        <w:gridCol w:w="1054"/>
        <w:gridCol w:w="1054"/>
      </w:tblGrid>
      <w:tr w14:paraId="33B3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3" w:type="dxa"/>
            <w:vAlign w:val="center"/>
          </w:tcPr>
          <w:p w14:paraId="442A6F5E">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2018" w:type="dxa"/>
            <w:vAlign w:val="center"/>
          </w:tcPr>
          <w:p w14:paraId="107DFE9F">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401" w:type="dxa"/>
            <w:vAlign w:val="center"/>
          </w:tcPr>
          <w:p w14:paraId="25C695A1">
            <w:pPr>
              <w:shd w:val="clear"/>
              <w:jc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主要内容</w:t>
            </w:r>
          </w:p>
        </w:tc>
        <w:tc>
          <w:tcPr>
            <w:tcW w:w="1303" w:type="dxa"/>
            <w:vAlign w:val="center"/>
          </w:tcPr>
          <w:p w14:paraId="7640E822">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签订时间</w:t>
            </w:r>
          </w:p>
        </w:tc>
        <w:tc>
          <w:tcPr>
            <w:tcW w:w="1374" w:type="dxa"/>
            <w:vAlign w:val="center"/>
          </w:tcPr>
          <w:p w14:paraId="5C1F1C94">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联系人及联系电话</w:t>
            </w:r>
          </w:p>
        </w:tc>
        <w:tc>
          <w:tcPr>
            <w:tcW w:w="1054" w:type="dxa"/>
            <w:vAlign w:val="center"/>
          </w:tcPr>
          <w:p w14:paraId="6309167C">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完成</w:t>
            </w:r>
          </w:p>
          <w:p w14:paraId="7029D5A9">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情况</w:t>
            </w:r>
          </w:p>
        </w:tc>
        <w:tc>
          <w:tcPr>
            <w:tcW w:w="1054" w:type="dxa"/>
            <w:vAlign w:val="center"/>
          </w:tcPr>
          <w:p w14:paraId="6ED63B3E">
            <w:pPr>
              <w:shd w:val="clear"/>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投标文件对应页码</w:t>
            </w:r>
          </w:p>
        </w:tc>
      </w:tr>
      <w:tr w14:paraId="017C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5EB235A">
            <w:pPr>
              <w:shd w:val="clear"/>
              <w:snapToGrid w:val="0"/>
              <w:spacing w:line="480" w:lineRule="auto"/>
              <w:rPr>
                <w:rFonts w:ascii="仿宋" w:hAnsi="仿宋" w:eastAsia="仿宋" w:cs="仿宋"/>
                <w:color w:val="auto"/>
                <w:highlight w:val="none"/>
              </w:rPr>
            </w:pPr>
          </w:p>
        </w:tc>
        <w:tc>
          <w:tcPr>
            <w:tcW w:w="2018" w:type="dxa"/>
          </w:tcPr>
          <w:p w14:paraId="02EB932D">
            <w:pPr>
              <w:shd w:val="clear"/>
              <w:snapToGrid w:val="0"/>
              <w:spacing w:line="480" w:lineRule="auto"/>
              <w:rPr>
                <w:rFonts w:ascii="仿宋" w:hAnsi="仿宋" w:eastAsia="仿宋" w:cs="仿宋"/>
                <w:color w:val="auto"/>
                <w:highlight w:val="none"/>
              </w:rPr>
            </w:pPr>
          </w:p>
        </w:tc>
        <w:tc>
          <w:tcPr>
            <w:tcW w:w="1401" w:type="dxa"/>
          </w:tcPr>
          <w:p w14:paraId="0B1B3EE4">
            <w:pPr>
              <w:shd w:val="clear"/>
              <w:snapToGrid w:val="0"/>
              <w:spacing w:line="480" w:lineRule="auto"/>
              <w:rPr>
                <w:rFonts w:ascii="仿宋" w:hAnsi="仿宋" w:eastAsia="仿宋" w:cs="仿宋"/>
                <w:color w:val="auto"/>
                <w:highlight w:val="none"/>
              </w:rPr>
            </w:pPr>
          </w:p>
        </w:tc>
        <w:tc>
          <w:tcPr>
            <w:tcW w:w="1303" w:type="dxa"/>
          </w:tcPr>
          <w:p w14:paraId="33DC20A7">
            <w:pPr>
              <w:shd w:val="clear"/>
              <w:snapToGrid w:val="0"/>
              <w:spacing w:line="480" w:lineRule="auto"/>
              <w:rPr>
                <w:rFonts w:ascii="仿宋" w:hAnsi="仿宋" w:eastAsia="仿宋" w:cs="仿宋"/>
                <w:color w:val="auto"/>
                <w:highlight w:val="none"/>
              </w:rPr>
            </w:pPr>
          </w:p>
        </w:tc>
        <w:tc>
          <w:tcPr>
            <w:tcW w:w="1374" w:type="dxa"/>
          </w:tcPr>
          <w:p w14:paraId="72BA8D54">
            <w:pPr>
              <w:shd w:val="clear"/>
              <w:snapToGrid w:val="0"/>
              <w:spacing w:line="480" w:lineRule="auto"/>
              <w:rPr>
                <w:rFonts w:ascii="仿宋" w:hAnsi="仿宋" w:eastAsia="仿宋" w:cs="仿宋"/>
                <w:color w:val="auto"/>
                <w:highlight w:val="none"/>
              </w:rPr>
            </w:pPr>
          </w:p>
        </w:tc>
        <w:tc>
          <w:tcPr>
            <w:tcW w:w="1054" w:type="dxa"/>
          </w:tcPr>
          <w:p w14:paraId="349D823A">
            <w:pPr>
              <w:shd w:val="clear"/>
              <w:snapToGrid w:val="0"/>
              <w:spacing w:line="480" w:lineRule="auto"/>
              <w:rPr>
                <w:rFonts w:ascii="仿宋" w:hAnsi="仿宋" w:eastAsia="仿宋" w:cs="仿宋"/>
                <w:color w:val="auto"/>
                <w:highlight w:val="none"/>
              </w:rPr>
            </w:pPr>
          </w:p>
        </w:tc>
        <w:tc>
          <w:tcPr>
            <w:tcW w:w="1054" w:type="dxa"/>
          </w:tcPr>
          <w:p w14:paraId="08C78F1B">
            <w:pPr>
              <w:shd w:val="clear"/>
              <w:snapToGrid w:val="0"/>
              <w:spacing w:line="480" w:lineRule="auto"/>
              <w:rPr>
                <w:rFonts w:ascii="仿宋" w:hAnsi="仿宋" w:eastAsia="仿宋" w:cs="仿宋"/>
                <w:color w:val="auto"/>
                <w:highlight w:val="none"/>
              </w:rPr>
            </w:pPr>
          </w:p>
        </w:tc>
      </w:tr>
      <w:tr w14:paraId="5795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5BA03F3">
            <w:pPr>
              <w:shd w:val="clear"/>
              <w:snapToGrid w:val="0"/>
              <w:spacing w:line="480" w:lineRule="auto"/>
              <w:rPr>
                <w:rFonts w:ascii="仿宋" w:hAnsi="仿宋" w:eastAsia="仿宋" w:cs="仿宋"/>
                <w:color w:val="auto"/>
                <w:highlight w:val="none"/>
              </w:rPr>
            </w:pPr>
          </w:p>
        </w:tc>
        <w:tc>
          <w:tcPr>
            <w:tcW w:w="2018" w:type="dxa"/>
          </w:tcPr>
          <w:p w14:paraId="493ABB64">
            <w:pPr>
              <w:shd w:val="clear"/>
              <w:snapToGrid w:val="0"/>
              <w:spacing w:line="480" w:lineRule="auto"/>
              <w:rPr>
                <w:rFonts w:ascii="仿宋" w:hAnsi="仿宋" w:eastAsia="仿宋" w:cs="仿宋"/>
                <w:color w:val="auto"/>
                <w:highlight w:val="none"/>
              </w:rPr>
            </w:pPr>
          </w:p>
        </w:tc>
        <w:tc>
          <w:tcPr>
            <w:tcW w:w="1401" w:type="dxa"/>
          </w:tcPr>
          <w:p w14:paraId="092DA1AD">
            <w:pPr>
              <w:shd w:val="clear"/>
              <w:snapToGrid w:val="0"/>
              <w:spacing w:line="480" w:lineRule="auto"/>
              <w:rPr>
                <w:rFonts w:ascii="仿宋" w:hAnsi="仿宋" w:eastAsia="仿宋" w:cs="仿宋"/>
                <w:color w:val="auto"/>
                <w:highlight w:val="none"/>
              </w:rPr>
            </w:pPr>
          </w:p>
        </w:tc>
        <w:tc>
          <w:tcPr>
            <w:tcW w:w="1303" w:type="dxa"/>
          </w:tcPr>
          <w:p w14:paraId="609179FE">
            <w:pPr>
              <w:shd w:val="clear"/>
              <w:snapToGrid w:val="0"/>
              <w:spacing w:line="480" w:lineRule="auto"/>
              <w:rPr>
                <w:rFonts w:ascii="仿宋" w:hAnsi="仿宋" w:eastAsia="仿宋" w:cs="仿宋"/>
                <w:color w:val="auto"/>
                <w:highlight w:val="none"/>
              </w:rPr>
            </w:pPr>
          </w:p>
        </w:tc>
        <w:tc>
          <w:tcPr>
            <w:tcW w:w="1374" w:type="dxa"/>
          </w:tcPr>
          <w:p w14:paraId="0D8F4F8F">
            <w:pPr>
              <w:shd w:val="clear"/>
              <w:snapToGrid w:val="0"/>
              <w:spacing w:line="480" w:lineRule="auto"/>
              <w:rPr>
                <w:rFonts w:ascii="仿宋" w:hAnsi="仿宋" w:eastAsia="仿宋" w:cs="仿宋"/>
                <w:color w:val="auto"/>
                <w:highlight w:val="none"/>
              </w:rPr>
            </w:pPr>
          </w:p>
        </w:tc>
        <w:tc>
          <w:tcPr>
            <w:tcW w:w="1054" w:type="dxa"/>
          </w:tcPr>
          <w:p w14:paraId="76ECFC0F">
            <w:pPr>
              <w:shd w:val="clear"/>
              <w:snapToGrid w:val="0"/>
              <w:spacing w:line="480" w:lineRule="auto"/>
              <w:rPr>
                <w:rFonts w:ascii="仿宋" w:hAnsi="仿宋" w:eastAsia="仿宋" w:cs="仿宋"/>
                <w:color w:val="auto"/>
                <w:highlight w:val="none"/>
              </w:rPr>
            </w:pPr>
          </w:p>
        </w:tc>
        <w:tc>
          <w:tcPr>
            <w:tcW w:w="1054" w:type="dxa"/>
          </w:tcPr>
          <w:p w14:paraId="7C306F89">
            <w:pPr>
              <w:shd w:val="clear"/>
              <w:snapToGrid w:val="0"/>
              <w:spacing w:line="480" w:lineRule="auto"/>
              <w:rPr>
                <w:rFonts w:ascii="仿宋" w:hAnsi="仿宋" w:eastAsia="仿宋" w:cs="仿宋"/>
                <w:color w:val="auto"/>
                <w:highlight w:val="none"/>
              </w:rPr>
            </w:pPr>
          </w:p>
        </w:tc>
      </w:tr>
      <w:tr w14:paraId="2971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32AF4AD6">
            <w:pPr>
              <w:shd w:val="clear"/>
              <w:snapToGrid w:val="0"/>
              <w:spacing w:line="480" w:lineRule="auto"/>
              <w:rPr>
                <w:rFonts w:ascii="仿宋" w:hAnsi="仿宋" w:eastAsia="仿宋" w:cs="仿宋"/>
                <w:color w:val="auto"/>
                <w:highlight w:val="none"/>
              </w:rPr>
            </w:pPr>
          </w:p>
        </w:tc>
        <w:tc>
          <w:tcPr>
            <w:tcW w:w="2018" w:type="dxa"/>
          </w:tcPr>
          <w:p w14:paraId="7D8C1FF3">
            <w:pPr>
              <w:shd w:val="clear"/>
              <w:snapToGrid w:val="0"/>
              <w:spacing w:line="480" w:lineRule="auto"/>
              <w:rPr>
                <w:rFonts w:ascii="仿宋" w:hAnsi="仿宋" w:eastAsia="仿宋" w:cs="仿宋"/>
                <w:color w:val="auto"/>
                <w:highlight w:val="none"/>
              </w:rPr>
            </w:pPr>
          </w:p>
        </w:tc>
        <w:tc>
          <w:tcPr>
            <w:tcW w:w="1401" w:type="dxa"/>
          </w:tcPr>
          <w:p w14:paraId="72FB0D03">
            <w:pPr>
              <w:shd w:val="clear"/>
              <w:snapToGrid w:val="0"/>
              <w:spacing w:line="480" w:lineRule="auto"/>
              <w:rPr>
                <w:rFonts w:ascii="仿宋" w:hAnsi="仿宋" w:eastAsia="仿宋" w:cs="仿宋"/>
                <w:color w:val="auto"/>
                <w:highlight w:val="none"/>
              </w:rPr>
            </w:pPr>
          </w:p>
        </w:tc>
        <w:tc>
          <w:tcPr>
            <w:tcW w:w="1303" w:type="dxa"/>
          </w:tcPr>
          <w:p w14:paraId="48F78B67">
            <w:pPr>
              <w:shd w:val="clear"/>
              <w:snapToGrid w:val="0"/>
              <w:spacing w:line="480" w:lineRule="auto"/>
              <w:rPr>
                <w:rFonts w:ascii="仿宋" w:hAnsi="仿宋" w:eastAsia="仿宋" w:cs="仿宋"/>
                <w:color w:val="auto"/>
                <w:highlight w:val="none"/>
              </w:rPr>
            </w:pPr>
          </w:p>
        </w:tc>
        <w:tc>
          <w:tcPr>
            <w:tcW w:w="1374" w:type="dxa"/>
          </w:tcPr>
          <w:p w14:paraId="47755DA9">
            <w:pPr>
              <w:shd w:val="clear"/>
              <w:snapToGrid w:val="0"/>
              <w:spacing w:line="480" w:lineRule="auto"/>
              <w:rPr>
                <w:rFonts w:ascii="仿宋" w:hAnsi="仿宋" w:eastAsia="仿宋" w:cs="仿宋"/>
                <w:color w:val="auto"/>
                <w:highlight w:val="none"/>
              </w:rPr>
            </w:pPr>
          </w:p>
        </w:tc>
        <w:tc>
          <w:tcPr>
            <w:tcW w:w="1054" w:type="dxa"/>
          </w:tcPr>
          <w:p w14:paraId="7BA9A5E2">
            <w:pPr>
              <w:shd w:val="clear"/>
              <w:snapToGrid w:val="0"/>
              <w:spacing w:line="480" w:lineRule="auto"/>
              <w:rPr>
                <w:rFonts w:ascii="仿宋" w:hAnsi="仿宋" w:eastAsia="仿宋" w:cs="仿宋"/>
                <w:color w:val="auto"/>
                <w:highlight w:val="none"/>
              </w:rPr>
            </w:pPr>
          </w:p>
        </w:tc>
        <w:tc>
          <w:tcPr>
            <w:tcW w:w="1054" w:type="dxa"/>
          </w:tcPr>
          <w:p w14:paraId="7F2B04DE">
            <w:pPr>
              <w:shd w:val="clear"/>
              <w:snapToGrid w:val="0"/>
              <w:spacing w:line="480" w:lineRule="auto"/>
              <w:rPr>
                <w:rFonts w:ascii="仿宋" w:hAnsi="仿宋" w:eastAsia="仿宋" w:cs="仿宋"/>
                <w:color w:val="auto"/>
                <w:highlight w:val="none"/>
              </w:rPr>
            </w:pPr>
          </w:p>
        </w:tc>
      </w:tr>
      <w:tr w14:paraId="7C2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32FEA9E3">
            <w:pPr>
              <w:shd w:val="clear"/>
              <w:snapToGrid w:val="0"/>
              <w:spacing w:line="480" w:lineRule="auto"/>
              <w:rPr>
                <w:rFonts w:ascii="仿宋" w:hAnsi="仿宋" w:eastAsia="仿宋" w:cs="仿宋"/>
                <w:color w:val="auto"/>
                <w:highlight w:val="none"/>
              </w:rPr>
            </w:pPr>
          </w:p>
        </w:tc>
        <w:tc>
          <w:tcPr>
            <w:tcW w:w="2018" w:type="dxa"/>
          </w:tcPr>
          <w:p w14:paraId="1B8B46B5">
            <w:pPr>
              <w:shd w:val="clear"/>
              <w:snapToGrid w:val="0"/>
              <w:spacing w:line="480" w:lineRule="auto"/>
              <w:rPr>
                <w:rFonts w:ascii="仿宋" w:hAnsi="仿宋" w:eastAsia="仿宋" w:cs="仿宋"/>
                <w:color w:val="auto"/>
                <w:highlight w:val="none"/>
              </w:rPr>
            </w:pPr>
          </w:p>
        </w:tc>
        <w:tc>
          <w:tcPr>
            <w:tcW w:w="1401" w:type="dxa"/>
          </w:tcPr>
          <w:p w14:paraId="2C2F3B15">
            <w:pPr>
              <w:shd w:val="clear"/>
              <w:snapToGrid w:val="0"/>
              <w:spacing w:line="480" w:lineRule="auto"/>
              <w:rPr>
                <w:rFonts w:ascii="仿宋" w:hAnsi="仿宋" w:eastAsia="仿宋" w:cs="仿宋"/>
                <w:color w:val="auto"/>
                <w:highlight w:val="none"/>
              </w:rPr>
            </w:pPr>
          </w:p>
        </w:tc>
        <w:tc>
          <w:tcPr>
            <w:tcW w:w="1303" w:type="dxa"/>
          </w:tcPr>
          <w:p w14:paraId="38D1F64E">
            <w:pPr>
              <w:shd w:val="clear"/>
              <w:snapToGrid w:val="0"/>
              <w:spacing w:line="480" w:lineRule="auto"/>
              <w:rPr>
                <w:rFonts w:ascii="仿宋" w:hAnsi="仿宋" w:eastAsia="仿宋" w:cs="仿宋"/>
                <w:color w:val="auto"/>
                <w:highlight w:val="none"/>
              </w:rPr>
            </w:pPr>
          </w:p>
        </w:tc>
        <w:tc>
          <w:tcPr>
            <w:tcW w:w="1374" w:type="dxa"/>
          </w:tcPr>
          <w:p w14:paraId="1B7E974F">
            <w:pPr>
              <w:shd w:val="clear"/>
              <w:snapToGrid w:val="0"/>
              <w:spacing w:line="480" w:lineRule="auto"/>
              <w:rPr>
                <w:rFonts w:ascii="仿宋" w:hAnsi="仿宋" w:eastAsia="仿宋" w:cs="仿宋"/>
                <w:color w:val="auto"/>
                <w:highlight w:val="none"/>
              </w:rPr>
            </w:pPr>
          </w:p>
        </w:tc>
        <w:tc>
          <w:tcPr>
            <w:tcW w:w="1054" w:type="dxa"/>
          </w:tcPr>
          <w:p w14:paraId="585BFA48">
            <w:pPr>
              <w:shd w:val="clear"/>
              <w:snapToGrid w:val="0"/>
              <w:spacing w:line="480" w:lineRule="auto"/>
              <w:rPr>
                <w:rFonts w:ascii="仿宋" w:hAnsi="仿宋" w:eastAsia="仿宋" w:cs="仿宋"/>
                <w:color w:val="auto"/>
                <w:highlight w:val="none"/>
              </w:rPr>
            </w:pPr>
          </w:p>
        </w:tc>
        <w:tc>
          <w:tcPr>
            <w:tcW w:w="1054" w:type="dxa"/>
          </w:tcPr>
          <w:p w14:paraId="204C1624">
            <w:pPr>
              <w:shd w:val="clear"/>
              <w:snapToGrid w:val="0"/>
              <w:spacing w:line="480" w:lineRule="auto"/>
              <w:rPr>
                <w:rFonts w:ascii="仿宋" w:hAnsi="仿宋" w:eastAsia="仿宋" w:cs="仿宋"/>
                <w:color w:val="auto"/>
                <w:highlight w:val="none"/>
              </w:rPr>
            </w:pPr>
          </w:p>
        </w:tc>
      </w:tr>
      <w:tr w14:paraId="0822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8CD3CFA">
            <w:pPr>
              <w:shd w:val="clear"/>
              <w:snapToGrid w:val="0"/>
              <w:spacing w:line="480" w:lineRule="auto"/>
              <w:rPr>
                <w:rFonts w:ascii="仿宋" w:hAnsi="仿宋" w:eastAsia="仿宋" w:cs="仿宋"/>
                <w:color w:val="auto"/>
                <w:highlight w:val="none"/>
              </w:rPr>
            </w:pPr>
          </w:p>
        </w:tc>
        <w:tc>
          <w:tcPr>
            <w:tcW w:w="2018" w:type="dxa"/>
          </w:tcPr>
          <w:p w14:paraId="701B2B06">
            <w:pPr>
              <w:shd w:val="clear"/>
              <w:snapToGrid w:val="0"/>
              <w:spacing w:line="480" w:lineRule="auto"/>
              <w:rPr>
                <w:rFonts w:ascii="仿宋" w:hAnsi="仿宋" w:eastAsia="仿宋" w:cs="仿宋"/>
                <w:color w:val="auto"/>
                <w:highlight w:val="none"/>
              </w:rPr>
            </w:pPr>
          </w:p>
        </w:tc>
        <w:tc>
          <w:tcPr>
            <w:tcW w:w="1401" w:type="dxa"/>
          </w:tcPr>
          <w:p w14:paraId="7B08488B">
            <w:pPr>
              <w:shd w:val="clear"/>
              <w:snapToGrid w:val="0"/>
              <w:spacing w:line="480" w:lineRule="auto"/>
              <w:rPr>
                <w:rFonts w:ascii="仿宋" w:hAnsi="仿宋" w:eastAsia="仿宋" w:cs="仿宋"/>
                <w:color w:val="auto"/>
                <w:highlight w:val="none"/>
              </w:rPr>
            </w:pPr>
          </w:p>
        </w:tc>
        <w:tc>
          <w:tcPr>
            <w:tcW w:w="1303" w:type="dxa"/>
          </w:tcPr>
          <w:p w14:paraId="42925B46">
            <w:pPr>
              <w:shd w:val="clear"/>
              <w:snapToGrid w:val="0"/>
              <w:spacing w:line="480" w:lineRule="auto"/>
              <w:rPr>
                <w:rFonts w:ascii="仿宋" w:hAnsi="仿宋" w:eastAsia="仿宋" w:cs="仿宋"/>
                <w:color w:val="auto"/>
                <w:highlight w:val="none"/>
              </w:rPr>
            </w:pPr>
          </w:p>
        </w:tc>
        <w:tc>
          <w:tcPr>
            <w:tcW w:w="1374" w:type="dxa"/>
          </w:tcPr>
          <w:p w14:paraId="3111C2C6">
            <w:pPr>
              <w:shd w:val="clear"/>
              <w:snapToGrid w:val="0"/>
              <w:spacing w:line="480" w:lineRule="auto"/>
              <w:rPr>
                <w:rFonts w:ascii="仿宋" w:hAnsi="仿宋" w:eastAsia="仿宋" w:cs="仿宋"/>
                <w:color w:val="auto"/>
                <w:highlight w:val="none"/>
              </w:rPr>
            </w:pPr>
          </w:p>
        </w:tc>
        <w:tc>
          <w:tcPr>
            <w:tcW w:w="1054" w:type="dxa"/>
          </w:tcPr>
          <w:p w14:paraId="41AE51D3">
            <w:pPr>
              <w:shd w:val="clear"/>
              <w:snapToGrid w:val="0"/>
              <w:spacing w:line="480" w:lineRule="auto"/>
              <w:rPr>
                <w:rFonts w:ascii="仿宋" w:hAnsi="仿宋" w:eastAsia="仿宋" w:cs="仿宋"/>
                <w:color w:val="auto"/>
                <w:highlight w:val="none"/>
              </w:rPr>
            </w:pPr>
          </w:p>
        </w:tc>
        <w:tc>
          <w:tcPr>
            <w:tcW w:w="1054" w:type="dxa"/>
          </w:tcPr>
          <w:p w14:paraId="08142248">
            <w:pPr>
              <w:shd w:val="clear"/>
              <w:snapToGrid w:val="0"/>
              <w:spacing w:line="480" w:lineRule="auto"/>
              <w:rPr>
                <w:rFonts w:ascii="仿宋" w:hAnsi="仿宋" w:eastAsia="仿宋" w:cs="仿宋"/>
                <w:color w:val="auto"/>
                <w:highlight w:val="none"/>
              </w:rPr>
            </w:pPr>
          </w:p>
        </w:tc>
      </w:tr>
      <w:tr w14:paraId="413C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48EE3C5E">
            <w:pPr>
              <w:shd w:val="clear"/>
              <w:snapToGrid w:val="0"/>
              <w:spacing w:line="480" w:lineRule="auto"/>
              <w:rPr>
                <w:rFonts w:ascii="仿宋" w:hAnsi="仿宋" w:eastAsia="仿宋" w:cs="仿宋"/>
                <w:color w:val="auto"/>
                <w:highlight w:val="none"/>
              </w:rPr>
            </w:pPr>
          </w:p>
        </w:tc>
        <w:tc>
          <w:tcPr>
            <w:tcW w:w="2018" w:type="dxa"/>
          </w:tcPr>
          <w:p w14:paraId="7364F3E8">
            <w:pPr>
              <w:shd w:val="clear"/>
              <w:snapToGrid w:val="0"/>
              <w:spacing w:line="480" w:lineRule="auto"/>
              <w:rPr>
                <w:rFonts w:ascii="仿宋" w:hAnsi="仿宋" w:eastAsia="仿宋" w:cs="仿宋"/>
                <w:color w:val="auto"/>
                <w:highlight w:val="none"/>
              </w:rPr>
            </w:pPr>
          </w:p>
        </w:tc>
        <w:tc>
          <w:tcPr>
            <w:tcW w:w="1401" w:type="dxa"/>
          </w:tcPr>
          <w:p w14:paraId="4699B65B">
            <w:pPr>
              <w:shd w:val="clear"/>
              <w:snapToGrid w:val="0"/>
              <w:spacing w:line="480" w:lineRule="auto"/>
              <w:rPr>
                <w:rFonts w:ascii="仿宋" w:hAnsi="仿宋" w:eastAsia="仿宋" w:cs="仿宋"/>
                <w:color w:val="auto"/>
                <w:highlight w:val="none"/>
              </w:rPr>
            </w:pPr>
          </w:p>
        </w:tc>
        <w:tc>
          <w:tcPr>
            <w:tcW w:w="1303" w:type="dxa"/>
          </w:tcPr>
          <w:p w14:paraId="02416BCC">
            <w:pPr>
              <w:shd w:val="clear"/>
              <w:snapToGrid w:val="0"/>
              <w:spacing w:line="480" w:lineRule="auto"/>
              <w:rPr>
                <w:rFonts w:ascii="仿宋" w:hAnsi="仿宋" w:eastAsia="仿宋" w:cs="仿宋"/>
                <w:color w:val="auto"/>
                <w:highlight w:val="none"/>
              </w:rPr>
            </w:pPr>
          </w:p>
        </w:tc>
        <w:tc>
          <w:tcPr>
            <w:tcW w:w="1374" w:type="dxa"/>
          </w:tcPr>
          <w:p w14:paraId="7ECD9B18">
            <w:pPr>
              <w:shd w:val="clear"/>
              <w:snapToGrid w:val="0"/>
              <w:spacing w:line="480" w:lineRule="auto"/>
              <w:rPr>
                <w:rFonts w:ascii="仿宋" w:hAnsi="仿宋" w:eastAsia="仿宋" w:cs="仿宋"/>
                <w:color w:val="auto"/>
                <w:highlight w:val="none"/>
              </w:rPr>
            </w:pPr>
          </w:p>
        </w:tc>
        <w:tc>
          <w:tcPr>
            <w:tcW w:w="1054" w:type="dxa"/>
          </w:tcPr>
          <w:p w14:paraId="6E86809F">
            <w:pPr>
              <w:shd w:val="clear"/>
              <w:snapToGrid w:val="0"/>
              <w:spacing w:line="480" w:lineRule="auto"/>
              <w:rPr>
                <w:rFonts w:ascii="仿宋" w:hAnsi="仿宋" w:eastAsia="仿宋" w:cs="仿宋"/>
                <w:color w:val="auto"/>
                <w:highlight w:val="none"/>
              </w:rPr>
            </w:pPr>
          </w:p>
        </w:tc>
        <w:tc>
          <w:tcPr>
            <w:tcW w:w="1054" w:type="dxa"/>
          </w:tcPr>
          <w:p w14:paraId="78781025">
            <w:pPr>
              <w:shd w:val="clear"/>
              <w:snapToGrid w:val="0"/>
              <w:spacing w:line="480" w:lineRule="auto"/>
              <w:rPr>
                <w:rFonts w:ascii="仿宋" w:hAnsi="仿宋" w:eastAsia="仿宋" w:cs="仿宋"/>
                <w:color w:val="auto"/>
                <w:highlight w:val="none"/>
              </w:rPr>
            </w:pPr>
          </w:p>
        </w:tc>
      </w:tr>
      <w:tr w14:paraId="4C49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90639BF">
            <w:pPr>
              <w:shd w:val="clear"/>
              <w:snapToGrid w:val="0"/>
              <w:spacing w:line="480" w:lineRule="auto"/>
              <w:rPr>
                <w:rFonts w:ascii="仿宋" w:hAnsi="仿宋" w:eastAsia="仿宋" w:cs="仿宋"/>
                <w:color w:val="auto"/>
                <w:highlight w:val="none"/>
              </w:rPr>
            </w:pPr>
          </w:p>
        </w:tc>
        <w:tc>
          <w:tcPr>
            <w:tcW w:w="2018" w:type="dxa"/>
          </w:tcPr>
          <w:p w14:paraId="0C7F7E2E">
            <w:pPr>
              <w:shd w:val="clear"/>
              <w:snapToGrid w:val="0"/>
              <w:spacing w:line="480" w:lineRule="auto"/>
              <w:rPr>
                <w:rFonts w:ascii="仿宋" w:hAnsi="仿宋" w:eastAsia="仿宋" w:cs="仿宋"/>
                <w:color w:val="auto"/>
                <w:highlight w:val="none"/>
              </w:rPr>
            </w:pPr>
          </w:p>
        </w:tc>
        <w:tc>
          <w:tcPr>
            <w:tcW w:w="1401" w:type="dxa"/>
          </w:tcPr>
          <w:p w14:paraId="24AFD787">
            <w:pPr>
              <w:shd w:val="clear"/>
              <w:snapToGrid w:val="0"/>
              <w:spacing w:line="480" w:lineRule="auto"/>
              <w:rPr>
                <w:rFonts w:ascii="仿宋" w:hAnsi="仿宋" w:eastAsia="仿宋" w:cs="仿宋"/>
                <w:color w:val="auto"/>
                <w:highlight w:val="none"/>
              </w:rPr>
            </w:pPr>
          </w:p>
        </w:tc>
        <w:tc>
          <w:tcPr>
            <w:tcW w:w="1303" w:type="dxa"/>
          </w:tcPr>
          <w:p w14:paraId="7AEF95BD">
            <w:pPr>
              <w:shd w:val="clear"/>
              <w:snapToGrid w:val="0"/>
              <w:spacing w:line="480" w:lineRule="auto"/>
              <w:rPr>
                <w:rFonts w:ascii="仿宋" w:hAnsi="仿宋" w:eastAsia="仿宋" w:cs="仿宋"/>
                <w:color w:val="auto"/>
                <w:highlight w:val="none"/>
              </w:rPr>
            </w:pPr>
          </w:p>
        </w:tc>
        <w:tc>
          <w:tcPr>
            <w:tcW w:w="1374" w:type="dxa"/>
          </w:tcPr>
          <w:p w14:paraId="4EB82C13">
            <w:pPr>
              <w:shd w:val="clear"/>
              <w:snapToGrid w:val="0"/>
              <w:spacing w:line="480" w:lineRule="auto"/>
              <w:rPr>
                <w:rFonts w:ascii="仿宋" w:hAnsi="仿宋" w:eastAsia="仿宋" w:cs="仿宋"/>
                <w:color w:val="auto"/>
                <w:highlight w:val="none"/>
              </w:rPr>
            </w:pPr>
          </w:p>
        </w:tc>
        <w:tc>
          <w:tcPr>
            <w:tcW w:w="1054" w:type="dxa"/>
          </w:tcPr>
          <w:p w14:paraId="47C48EB1">
            <w:pPr>
              <w:shd w:val="clear"/>
              <w:snapToGrid w:val="0"/>
              <w:spacing w:line="480" w:lineRule="auto"/>
              <w:rPr>
                <w:rFonts w:ascii="仿宋" w:hAnsi="仿宋" w:eastAsia="仿宋" w:cs="仿宋"/>
                <w:color w:val="auto"/>
                <w:highlight w:val="none"/>
              </w:rPr>
            </w:pPr>
          </w:p>
        </w:tc>
        <w:tc>
          <w:tcPr>
            <w:tcW w:w="1054" w:type="dxa"/>
          </w:tcPr>
          <w:p w14:paraId="6FE21197">
            <w:pPr>
              <w:shd w:val="clear"/>
              <w:snapToGrid w:val="0"/>
              <w:spacing w:line="480" w:lineRule="auto"/>
              <w:rPr>
                <w:rFonts w:ascii="仿宋" w:hAnsi="仿宋" w:eastAsia="仿宋" w:cs="仿宋"/>
                <w:color w:val="auto"/>
                <w:highlight w:val="none"/>
              </w:rPr>
            </w:pPr>
          </w:p>
        </w:tc>
      </w:tr>
    </w:tbl>
    <w:p w14:paraId="290E36A9">
      <w:pPr>
        <w:shd w:val="clea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zh-CN" w:eastAsia="zh-CN" w:bidi="ar"/>
        </w:rPr>
        <w:t>注：</w:t>
      </w:r>
      <w:r>
        <w:rPr>
          <w:rFonts w:hint="eastAsia" w:ascii="仿宋" w:hAnsi="仿宋" w:eastAsia="仿宋" w:cs="仿宋"/>
          <w:color w:val="auto"/>
          <w:szCs w:val="21"/>
          <w:highlight w:val="none"/>
          <w:lang w:eastAsia="zh-CN" w:bidi="ar"/>
        </w:rPr>
        <w:t>1.</w:t>
      </w:r>
      <w:r>
        <w:rPr>
          <w:rFonts w:hint="eastAsia" w:ascii="仿宋" w:hAnsi="仿宋" w:eastAsia="仿宋" w:cs="仿宋"/>
          <w:color w:val="auto"/>
          <w:szCs w:val="21"/>
          <w:highlight w:val="none"/>
          <w:lang w:val="zh-CN" w:eastAsia="zh-CN" w:bidi="ar"/>
        </w:rPr>
        <w:t>请按照上述表格</w:t>
      </w:r>
      <w:r>
        <w:rPr>
          <w:rFonts w:hint="eastAsia" w:ascii="仿宋" w:hAnsi="仿宋" w:eastAsia="仿宋" w:cs="仿宋"/>
          <w:color w:val="auto"/>
          <w:szCs w:val="21"/>
          <w:highlight w:val="none"/>
          <w:lang w:eastAsia="zh-CN" w:bidi="ar"/>
        </w:rPr>
        <w:t>顺</w:t>
      </w:r>
      <w:r>
        <w:rPr>
          <w:rFonts w:hint="eastAsia" w:ascii="仿宋" w:hAnsi="仿宋" w:eastAsia="仿宋" w:cs="仿宋"/>
          <w:color w:val="auto"/>
          <w:szCs w:val="21"/>
          <w:highlight w:val="none"/>
          <w:lang w:val="zh-CN" w:eastAsia="zh-CN" w:bidi="ar"/>
        </w:rPr>
        <w:t>序提供相关证明材料，提供</w:t>
      </w:r>
      <w:r>
        <w:rPr>
          <w:rFonts w:hint="eastAsia" w:ascii="仿宋" w:hAnsi="仿宋" w:eastAsia="仿宋" w:cs="仿宋"/>
          <w:color w:val="auto"/>
          <w:szCs w:val="21"/>
          <w:highlight w:val="none"/>
          <w:lang w:val="en-US" w:eastAsia="zh-CN" w:bidi="ar"/>
        </w:rPr>
        <w:t>中标通知书或</w:t>
      </w:r>
      <w:r>
        <w:rPr>
          <w:rFonts w:hint="eastAsia" w:ascii="仿宋" w:hAnsi="仿宋" w:eastAsia="仿宋" w:cs="仿宋"/>
          <w:color w:val="auto"/>
          <w:szCs w:val="21"/>
          <w:highlight w:val="none"/>
          <w:lang w:eastAsia="zh-CN" w:bidi="ar"/>
        </w:rPr>
        <w:t>合同复印件（须能够体现服务内容：提供合同首页、服务内容页、双方签字盖章页、日期页等）并加盖投标单位公章</w:t>
      </w:r>
      <w:r>
        <w:rPr>
          <w:rFonts w:hint="eastAsia" w:ascii="仿宋" w:hAnsi="仿宋" w:eastAsia="仿宋" w:cs="仿宋"/>
          <w:color w:val="auto"/>
          <w:szCs w:val="21"/>
          <w:highlight w:val="none"/>
          <w:lang w:val="zh-CN" w:eastAsia="zh-CN" w:bidi="ar"/>
        </w:rPr>
        <w:t>）。案例具体要求详见评分表要求。按照上述表格序号按序提供相关材料。</w:t>
      </w:r>
    </w:p>
    <w:p w14:paraId="42E4D070">
      <w:pPr>
        <w:shd w:val="clea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b/>
          <w:bCs/>
          <w:color w:val="auto"/>
          <w:sz w:val="18"/>
          <w:szCs w:val="18"/>
          <w:highlight w:val="none"/>
          <w:lang w:eastAsia="zh-CN"/>
        </w:rPr>
        <w:t>合同复印件要求清晰可见，能够体现上述内容，不满足要求的视同为无效业绩。</w:t>
      </w:r>
    </w:p>
    <w:p w14:paraId="6E6BD3C7">
      <w:pPr>
        <w:shd w:val="clear"/>
        <w:spacing w:before="120" w:line="360" w:lineRule="exact"/>
        <w:ind w:firstLine="440" w:firstLineChars="200"/>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eastAsia="zh-CN" w:bidi="ar"/>
        </w:rPr>
        <w:t>2.</w:t>
      </w:r>
      <w:r>
        <w:rPr>
          <w:rFonts w:hint="eastAsia" w:ascii="仿宋" w:hAnsi="仿宋" w:eastAsia="仿宋" w:cs="仿宋"/>
          <w:color w:val="auto"/>
          <w:szCs w:val="21"/>
          <w:highlight w:val="none"/>
          <w:lang w:val="zh-CN" w:eastAsia="zh-CN" w:bidi="ar"/>
        </w:rPr>
        <w:t>中标后，</w:t>
      </w:r>
      <w:r>
        <w:rPr>
          <w:rFonts w:hint="eastAsia" w:ascii="仿宋" w:hAnsi="仿宋" w:eastAsia="仿宋" w:cs="仿宋"/>
          <w:color w:val="auto"/>
          <w:szCs w:val="21"/>
          <w:highlight w:val="none"/>
          <w:lang w:eastAsia="zh-CN" w:bidi="ar"/>
        </w:rPr>
        <w:t>采购人</w:t>
      </w:r>
      <w:r>
        <w:rPr>
          <w:rFonts w:hint="eastAsia" w:ascii="仿宋" w:hAnsi="仿宋" w:eastAsia="仿宋" w:cs="仿宋"/>
          <w:color w:val="auto"/>
          <w:szCs w:val="21"/>
          <w:highlight w:val="none"/>
          <w:lang w:val="zh-CN" w:eastAsia="zh-CN" w:bidi="ar"/>
        </w:rPr>
        <w:t>将根据提供的联系人及联系方式进行尽职调查，如有需要投标单位需提供原件备查。</w:t>
      </w:r>
    </w:p>
    <w:p w14:paraId="3ACA7A33">
      <w:pPr>
        <w:shd w:val="clear"/>
        <w:spacing w:line="579" w:lineRule="exact"/>
        <w:ind w:firstLine="482" w:firstLineChars="200"/>
        <w:rPr>
          <w:rFonts w:ascii="仿宋" w:hAnsi="仿宋" w:eastAsia="仿宋" w:cs="仿宋"/>
          <w:b/>
          <w:color w:val="auto"/>
          <w:highlight w:val="none"/>
          <w:lang w:val="zh-CN" w:eastAsia="zh-CN"/>
        </w:rPr>
      </w:pPr>
      <w:r>
        <w:rPr>
          <w:rFonts w:hint="eastAsia" w:ascii="仿宋" w:hAnsi="仿宋" w:eastAsia="仿宋" w:cs="仿宋"/>
          <w:b/>
          <w:color w:val="auto"/>
          <w:sz w:val="24"/>
          <w:szCs w:val="20"/>
          <w:highlight w:val="none"/>
          <w:lang w:val="zh-CN" w:eastAsia="zh-CN" w:bidi="ar"/>
        </w:rPr>
        <w:t>我公司承诺：以上业绩均真实有效。若有虚假，同意按无效标处理。</w:t>
      </w:r>
    </w:p>
    <w:p w14:paraId="0885A407">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3A229741">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654687EB">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256E618A">
      <w:pPr>
        <w:shd w:val="clear"/>
        <w:spacing w:line="579" w:lineRule="exact"/>
        <w:ind w:firstLine="560"/>
        <w:rPr>
          <w:rFonts w:hint="eastAsia" w:ascii="仿宋" w:hAnsi="仿宋" w:eastAsia="仿宋" w:cs="仿宋"/>
          <w:b/>
          <w:color w:val="auto"/>
          <w:sz w:val="24"/>
          <w:szCs w:val="20"/>
          <w:highlight w:val="none"/>
          <w:lang w:eastAsia="zh-CN" w:bidi="ar"/>
        </w:rPr>
      </w:pPr>
    </w:p>
    <w:p w14:paraId="4E4B1828">
      <w:pPr>
        <w:shd w:val="clear"/>
        <w:spacing w:line="579" w:lineRule="exact"/>
        <w:ind w:firstLine="560"/>
        <w:rPr>
          <w:rFonts w:hint="eastAsia" w:ascii="仿宋" w:hAnsi="仿宋" w:eastAsia="仿宋" w:cs="仿宋"/>
          <w:b/>
          <w:color w:val="auto"/>
          <w:sz w:val="24"/>
          <w:szCs w:val="20"/>
          <w:highlight w:val="none"/>
          <w:lang w:eastAsia="zh-CN" w:bidi="ar"/>
        </w:rPr>
      </w:pPr>
    </w:p>
    <w:p w14:paraId="19D05C12">
      <w:pPr>
        <w:shd w:val="clear"/>
        <w:spacing w:line="579" w:lineRule="exact"/>
        <w:ind w:firstLine="560"/>
        <w:rPr>
          <w:rFonts w:ascii="仿宋" w:hAnsi="仿宋" w:eastAsia="仿宋" w:cs="仿宋"/>
          <w:b/>
          <w:color w:val="auto"/>
          <w:highlight w:val="none"/>
          <w:lang w:eastAsia="zh-CN"/>
        </w:rPr>
      </w:pPr>
      <w:r>
        <w:rPr>
          <w:rFonts w:hint="eastAsia" w:ascii="仿宋" w:hAnsi="仿宋" w:eastAsia="仿宋" w:cs="仿宋"/>
          <w:b/>
          <w:color w:val="auto"/>
          <w:sz w:val="24"/>
          <w:szCs w:val="20"/>
          <w:highlight w:val="none"/>
          <w:lang w:eastAsia="zh-CN" w:bidi="ar"/>
        </w:rPr>
        <w:t>合同提供内容示例（所有合同复印件须清晰、否则按无效资料处理，其风险及结果由供应商自行承担）：</w:t>
      </w:r>
    </w:p>
    <w:p w14:paraId="4AF91100">
      <w:pPr>
        <w:pStyle w:val="25"/>
        <w:shd w:val="clear"/>
        <w:spacing w:after="0" w:line="579" w:lineRule="exact"/>
        <w:ind w:firstLine="240"/>
        <w:rPr>
          <w:rFonts w:hint="default" w:ascii="仿宋" w:hAnsi="仿宋" w:eastAsia="仿宋" w:cs="仿宋"/>
          <w:color w:val="auto"/>
          <w:highlight w:val="none"/>
          <w:lang w:eastAsia="zh-CN"/>
        </w:rPr>
      </w:pPr>
    </w:p>
    <w:p w14:paraId="169697EC">
      <w:pPr>
        <w:numPr>
          <w:ilvl w:val="0"/>
          <w:numId w:val="2"/>
        </w:numPr>
        <w:shd w:val="clear"/>
        <w:spacing w:line="579" w:lineRule="exact"/>
        <w:rPr>
          <w:rFonts w:ascii="仿宋" w:hAnsi="仿宋" w:eastAsia="仿宋" w:cs="仿宋"/>
          <w:color w:val="auto"/>
          <w:highlight w:val="none"/>
        </w:rPr>
      </w:pPr>
      <w:r>
        <w:rPr>
          <w:rFonts w:hint="eastAsia" w:ascii="仿宋" w:hAnsi="仿宋" w:eastAsia="仿宋" w:cs="仿宋"/>
          <w:color w:val="auto"/>
          <w:sz w:val="24"/>
          <w:szCs w:val="20"/>
          <w:highlight w:val="none"/>
          <w:lang w:bidi="ar"/>
        </w:rPr>
        <w:t>1.XXXXXXX合同</w:t>
      </w:r>
    </w:p>
    <w:p w14:paraId="01B4F78D">
      <w:pPr>
        <w:pStyle w:val="25"/>
        <w:shd w:val="clear"/>
        <w:spacing w:after="0" w:line="579" w:lineRule="exact"/>
        <w:ind w:firstLine="240"/>
        <w:rPr>
          <w:rFonts w:hint="default" w:ascii="仿宋" w:hAnsi="仿宋" w:eastAsia="仿宋" w:cs="仿宋"/>
          <w:color w:val="auto"/>
          <w:highlight w:val="none"/>
        </w:rPr>
      </w:pPr>
    </w:p>
    <w:p w14:paraId="23773A4D">
      <w:pPr>
        <w:shd w:val="clea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2.合同首页</w:t>
      </w:r>
    </w:p>
    <w:p w14:paraId="15B610A0">
      <w:pPr>
        <w:shd w:val="clear"/>
        <w:spacing w:line="579" w:lineRule="exact"/>
        <w:rPr>
          <w:rFonts w:ascii="仿宋" w:hAnsi="仿宋" w:eastAsia="仿宋" w:cs="仿宋"/>
          <w:i/>
          <w:color w:val="auto"/>
          <w:highlight w:val="none"/>
        </w:rPr>
      </w:pPr>
    </w:p>
    <w:p w14:paraId="3B1FCF17">
      <w:pPr>
        <w:shd w:val="clea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3.内容页</w:t>
      </w:r>
    </w:p>
    <w:p w14:paraId="2C5CE2AE">
      <w:pPr>
        <w:shd w:val="clear"/>
        <w:spacing w:line="579" w:lineRule="exact"/>
        <w:ind w:left="1415"/>
        <w:rPr>
          <w:rFonts w:ascii="仿宋" w:hAnsi="仿宋" w:eastAsia="仿宋" w:cs="仿宋"/>
          <w:i/>
          <w:color w:val="auto"/>
          <w:highlight w:val="none"/>
          <w:lang w:eastAsia="zh-CN"/>
        </w:rPr>
      </w:pPr>
      <w:r>
        <w:rPr>
          <w:rFonts w:hint="eastAsia" w:ascii="仿宋" w:hAnsi="仿宋" w:eastAsia="仿宋" w:cs="仿宋"/>
          <w:i/>
          <w:color w:val="auto"/>
          <w:highlight w:val="none"/>
          <w:lang w:eastAsia="zh-CN"/>
        </w:rPr>
        <w:t>建议将合同主要内容进行标记，方便专家评审。</w:t>
      </w:r>
    </w:p>
    <w:p w14:paraId="3C0FF03A">
      <w:pPr>
        <w:shd w:val="clea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4.双方签字盖章页</w:t>
      </w:r>
    </w:p>
    <w:p w14:paraId="7C16CAAF">
      <w:pPr>
        <w:pStyle w:val="25"/>
        <w:shd w:val="clear"/>
        <w:spacing w:after="0" w:line="579" w:lineRule="exact"/>
        <w:ind w:firstLine="240"/>
        <w:rPr>
          <w:rFonts w:hint="default" w:ascii="仿宋" w:hAnsi="仿宋" w:eastAsia="仿宋" w:cs="仿宋"/>
          <w:color w:val="auto"/>
          <w:highlight w:val="none"/>
          <w:lang w:eastAsia="zh-CN"/>
        </w:rPr>
      </w:pPr>
    </w:p>
    <w:p w14:paraId="091FD791">
      <w:pPr>
        <w:shd w:val="clea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5.日期页等  </w:t>
      </w:r>
    </w:p>
    <w:p w14:paraId="4DAE7E5C">
      <w:pPr>
        <w:shd w:val="clear"/>
        <w:spacing w:line="579" w:lineRule="exact"/>
        <w:ind w:left="1415"/>
        <w:rPr>
          <w:rFonts w:ascii="仿宋" w:hAnsi="仿宋" w:eastAsia="仿宋" w:cs="仿宋"/>
          <w:color w:val="auto"/>
          <w:highlight w:val="none"/>
          <w:lang w:eastAsia="zh-CN"/>
        </w:rPr>
      </w:pPr>
    </w:p>
    <w:p w14:paraId="573C4339">
      <w:pPr>
        <w:shd w:val="clear"/>
        <w:spacing w:line="579" w:lineRule="exact"/>
        <w:ind w:left="1415"/>
        <w:rPr>
          <w:rFonts w:ascii="仿宋" w:hAnsi="仿宋" w:eastAsia="仿宋" w:cs="仿宋"/>
          <w:color w:val="auto"/>
          <w:highlight w:val="none"/>
          <w:lang w:eastAsia="zh-CN"/>
        </w:rPr>
      </w:pPr>
    </w:p>
    <w:p w14:paraId="5D227CE3">
      <w:pPr>
        <w:shd w:val="clear"/>
        <w:spacing w:line="579" w:lineRule="exact"/>
        <w:ind w:left="1415"/>
        <w:rPr>
          <w:rFonts w:ascii="仿宋" w:hAnsi="仿宋" w:eastAsia="仿宋" w:cs="仿宋"/>
          <w:color w:val="auto"/>
          <w:highlight w:val="none"/>
          <w:lang w:eastAsia="zh-CN"/>
        </w:rPr>
      </w:pPr>
    </w:p>
    <w:p w14:paraId="766BD4FF">
      <w:pPr>
        <w:shd w:val="clear"/>
        <w:spacing w:line="579" w:lineRule="exact"/>
        <w:ind w:left="1415"/>
        <w:rPr>
          <w:rFonts w:ascii="仿宋" w:hAnsi="仿宋" w:eastAsia="仿宋" w:cs="仿宋"/>
          <w:color w:val="auto"/>
          <w:highlight w:val="none"/>
          <w:lang w:eastAsia="zh-CN"/>
        </w:rPr>
      </w:pPr>
    </w:p>
    <w:p w14:paraId="1D512554">
      <w:pPr>
        <w:shd w:val="clear"/>
        <w:spacing w:line="579" w:lineRule="exact"/>
        <w:ind w:left="1415"/>
        <w:rPr>
          <w:rFonts w:ascii="仿宋" w:hAnsi="仿宋" w:eastAsia="仿宋" w:cs="仿宋"/>
          <w:color w:val="auto"/>
          <w:highlight w:val="none"/>
          <w:lang w:eastAsia="zh-CN"/>
        </w:rPr>
      </w:pPr>
    </w:p>
    <w:p w14:paraId="6901E644">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color w:val="auto"/>
          <w:highlight w:val="none"/>
          <w:lang w:eastAsia="zh-CN" w:bidi="ar"/>
        </w:rPr>
      </w:pPr>
      <w:r>
        <w:rPr>
          <w:rFonts w:hint="eastAsia" w:ascii="仿宋" w:hAnsi="仿宋" w:eastAsia="仿宋" w:cs="仿宋"/>
          <w:color w:val="auto"/>
          <w:highlight w:val="none"/>
          <w:lang w:eastAsia="zh-CN" w:bidi="ar"/>
        </w:rPr>
        <w:br w:type="page"/>
      </w:r>
      <w:bookmarkStart w:id="184" w:name="_Toc3891663"/>
      <w:bookmarkStart w:id="185" w:name="_Toc22554427"/>
    </w:p>
    <w:bookmarkEnd w:id="184"/>
    <w:bookmarkEnd w:id="185"/>
    <w:p w14:paraId="53FFFC32">
      <w:pPr>
        <w:shd w:val="clear"/>
        <w:spacing w:line="579" w:lineRule="exact"/>
        <w:jc w:val="center"/>
        <w:outlineLvl w:val="2"/>
        <w:rPr>
          <w:rFonts w:ascii="仿宋" w:hAnsi="仿宋" w:eastAsia="仿宋" w:cs="仿宋"/>
          <w:b/>
          <w:bCs/>
          <w:color w:val="auto"/>
          <w:szCs w:val="21"/>
          <w:highlight w:val="none"/>
          <w:lang w:eastAsia="zh-CN"/>
        </w:rPr>
      </w:pPr>
      <w:bookmarkStart w:id="186" w:name="_Toc19056"/>
      <w:bookmarkStart w:id="187" w:name="_Toc9850"/>
      <w:bookmarkStart w:id="188" w:name="_Toc11993"/>
      <w:bookmarkStart w:id="189" w:name="_Toc28054"/>
      <w:bookmarkStart w:id="190" w:name="_Toc15416"/>
      <w:bookmarkStart w:id="191" w:name="_Toc3992"/>
      <w:bookmarkStart w:id="192" w:name="_Toc259692663"/>
      <w:bookmarkStart w:id="193" w:name="_Toc259520881"/>
      <w:bookmarkStart w:id="194" w:name="_Toc1719164"/>
      <w:bookmarkStart w:id="195" w:name="_Toc3891664"/>
      <w:bookmarkStart w:id="196" w:name="_Toc266870922"/>
      <w:bookmarkStart w:id="197" w:name="_Toc255975023"/>
      <w:bookmarkStart w:id="198" w:name="_Toc254790916"/>
      <w:bookmarkStart w:id="199" w:name="_Toc266870447"/>
      <w:bookmarkStart w:id="200" w:name="_Toc259692756"/>
      <w:bookmarkStart w:id="201" w:name="_Toc267060466"/>
      <w:bookmarkStart w:id="202" w:name="_Toc267060221"/>
      <w:bookmarkStart w:id="203" w:name="_Toc258401272"/>
      <w:bookmarkStart w:id="204" w:name="_Toc266868686"/>
      <w:bookmarkStart w:id="205" w:name="_Toc267060081"/>
      <w:bookmarkStart w:id="206" w:name="_Toc22554428"/>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五</w:t>
      </w:r>
      <w:r>
        <w:rPr>
          <w:rFonts w:hint="eastAsia" w:ascii="仿宋" w:hAnsi="仿宋" w:eastAsia="仿宋" w:cs="仿宋"/>
          <w:b/>
          <w:color w:val="auto"/>
          <w:sz w:val="24"/>
          <w:szCs w:val="20"/>
          <w:highlight w:val="none"/>
          <w:lang w:eastAsia="zh-CN" w:bidi="ar"/>
        </w:rPr>
        <w:t>）项目团队成员一览表</w:t>
      </w:r>
      <w:bookmarkEnd w:id="186"/>
      <w:bookmarkEnd w:id="187"/>
      <w:bookmarkEnd w:id="188"/>
      <w:bookmarkEnd w:id="189"/>
      <w:bookmarkEnd w:id="190"/>
      <w:bookmarkEnd w:id="191"/>
    </w:p>
    <w:p w14:paraId="0262C649">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61B1008D">
      <w:pPr>
        <w:shd w:val="clear"/>
        <w:spacing w:line="579" w:lineRule="exact"/>
        <w:ind w:firstLine="480" w:firstLineChars="200"/>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项目编号：</w:t>
      </w:r>
    </w:p>
    <w:tbl>
      <w:tblPr>
        <w:tblStyle w:val="2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811"/>
        <w:gridCol w:w="991"/>
        <w:gridCol w:w="736"/>
        <w:gridCol w:w="961"/>
        <w:gridCol w:w="1232"/>
        <w:gridCol w:w="744"/>
        <w:gridCol w:w="1000"/>
        <w:gridCol w:w="899"/>
      </w:tblGrid>
      <w:tr w14:paraId="514B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1381" w:type="dxa"/>
            <w:tcBorders>
              <w:bottom w:val="nil"/>
            </w:tcBorders>
            <w:shd w:val="clear" w:color="auto" w:fill="F3F3F3"/>
            <w:vAlign w:val="center"/>
          </w:tcPr>
          <w:p w14:paraId="259A095A">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职责分工</w:t>
            </w:r>
          </w:p>
        </w:tc>
        <w:tc>
          <w:tcPr>
            <w:tcW w:w="811" w:type="dxa"/>
            <w:tcBorders>
              <w:bottom w:val="nil"/>
            </w:tcBorders>
            <w:shd w:val="clear" w:color="auto" w:fill="F3F3F3"/>
            <w:vAlign w:val="center"/>
          </w:tcPr>
          <w:p w14:paraId="2191CF94">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991" w:type="dxa"/>
            <w:tcBorders>
              <w:bottom w:val="nil"/>
            </w:tcBorders>
            <w:shd w:val="clear" w:color="auto" w:fill="F3F3F3"/>
            <w:vAlign w:val="center"/>
          </w:tcPr>
          <w:p w14:paraId="75B8EE52">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现职务</w:t>
            </w:r>
          </w:p>
        </w:tc>
        <w:tc>
          <w:tcPr>
            <w:tcW w:w="736" w:type="dxa"/>
            <w:tcBorders>
              <w:bottom w:val="nil"/>
            </w:tcBorders>
            <w:shd w:val="clear" w:color="auto" w:fill="F3F3F3"/>
            <w:vAlign w:val="center"/>
          </w:tcPr>
          <w:p w14:paraId="2149693E">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年龄</w:t>
            </w:r>
          </w:p>
        </w:tc>
        <w:tc>
          <w:tcPr>
            <w:tcW w:w="961" w:type="dxa"/>
            <w:tcBorders>
              <w:bottom w:val="nil"/>
            </w:tcBorders>
            <w:shd w:val="clear" w:color="auto" w:fill="F3F3F3"/>
            <w:vAlign w:val="center"/>
          </w:tcPr>
          <w:p w14:paraId="21CD4E64">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 xml:space="preserve">学历 </w:t>
            </w:r>
          </w:p>
        </w:tc>
        <w:tc>
          <w:tcPr>
            <w:tcW w:w="1232" w:type="dxa"/>
            <w:tcBorders>
              <w:bottom w:val="nil"/>
            </w:tcBorders>
            <w:shd w:val="clear" w:color="auto" w:fill="F3F3F3"/>
            <w:vAlign w:val="center"/>
          </w:tcPr>
          <w:p w14:paraId="77CFF9A8">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744" w:type="dxa"/>
            <w:tcBorders>
              <w:bottom w:val="nil"/>
            </w:tcBorders>
            <w:shd w:val="clear" w:color="auto" w:fill="F3F3F3"/>
            <w:vAlign w:val="center"/>
          </w:tcPr>
          <w:p w14:paraId="7916CE39">
            <w:pPr>
              <w:shd w:val="clear"/>
              <w:jc w:val="center"/>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val="en-US" w:eastAsia="zh-CN" w:bidi="ar"/>
              </w:rPr>
              <w:t>职称</w:t>
            </w:r>
          </w:p>
        </w:tc>
        <w:tc>
          <w:tcPr>
            <w:tcW w:w="1000" w:type="dxa"/>
            <w:tcBorders>
              <w:bottom w:val="nil"/>
            </w:tcBorders>
            <w:shd w:val="clear" w:color="auto" w:fill="F3F3F3"/>
            <w:vAlign w:val="center"/>
          </w:tcPr>
          <w:p w14:paraId="66942736">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拟担任职位</w:t>
            </w:r>
          </w:p>
        </w:tc>
        <w:tc>
          <w:tcPr>
            <w:tcW w:w="899" w:type="dxa"/>
            <w:tcBorders>
              <w:bottom w:val="nil"/>
            </w:tcBorders>
            <w:shd w:val="clear" w:color="auto" w:fill="F3F3F3"/>
            <w:vAlign w:val="center"/>
          </w:tcPr>
          <w:p w14:paraId="538B4E88">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r>
      <w:tr w14:paraId="1765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381" w:type="dxa"/>
            <w:tcBorders>
              <w:bottom w:val="nil"/>
            </w:tcBorders>
            <w:vAlign w:val="center"/>
          </w:tcPr>
          <w:p w14:paraId="18004AD1">
            <w:pPr>
              <w:shd w:val="clear"/>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bidi="ar"/>
              </w:rPr>
              <w:t>项目</w:t>
            </w:r>
            <w:r>
              <w:rPr>
                <w:rFonts w:hint="eastAsia" w:ascii="仿宋" w:hAnsi="仿宋" w:eastAsia="仿宋" w:cs="仿宋"/>
                <w:color w:val="auto"/>
                <w:sz w:val="24"/>
                <w:szCs w:val="20"/>
                <w:highlight w:val="none"/>
                <w:lang w:eastAsia="zh-CN" w:bidi="ar"/>
              </w:rPr>
              <w:t>负责人</w:t>
            </w:r>
          </w:p>
        </w:tc>
        <w:tc>
          <w:tcPr>
            <w:tcW w:w="811" w:type="dxa"/>
            <w:tcBorders>
              <w:bottom w:val="nil"/>
            </w:tcBorders>
            <w:vAlign w:val="center"/>
          </w:tcPr>
          <w:p w14:paraId="759A7D27">
            <w:pPr>
              <w:shd w:val="clear"/>
              <w:jc w:val="center"/>
              <w:rPr>
                <w:rFonts w:ascii="仿宋" w:hAnsi="仿宋" w:eastAsia="仿宋" w:cs="仿宋"/>
                <w:color w:val="auto"/>
                <w:sz w:val="24"/>
                <w:szCs w:val="20"/>
                <w:highlight w:val="none"/>
                <w:lang w:bidi="ar"/>
              </w:rPr>
            </w:pPr>
          </w:p>
        </w:tc>
        <w:tc>
          <w:tcPr>
            <w:tcW w:w="991" w:type="dxa"/>
            <w:tcBorders>
              <w:bottom w:val="nil"/>
            </w:tcBorders>
            <w:vAlign w:val="center"/>
          </w:tcPr>
          <w:p w14:paraId="527A66CE">
            <w:pPr>
              <w:shd w:val="clear"/>
              <w:jc w:val="center"/>
              <w:rPr>
                <w:rFonts w:ascii="仿宋" w:hAnsi="仿宋" w:eastAsia="仿宋" w:cs="仿宋"/>
                <w:color w:val="auto"/>
                <w:sz w:val="24"/>
                <w:szCs w:val="20"/>
                <w:highlight w:val="none"/>
                <w:lang w:bidi="ar"/>
              </w:rPr>
            </w:pPr>
          </w:p>
        </w:tc>
        <w:tc>
          <w:tcPr>
            <w:tcW w:w="736" w:type="dxa"/>
            <w:tcBorders>
              <w:bottom w:val="nil"/>
            </w:tcBorders>
            <w:vAlign w:val="center"/>
          </w:tcPr>
          <w:p w14:paraId="4545AA96">
            <w:pPr>
              <w:pStyle w:val="61"/>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961" w:type="dxa"/>
            <w:tcBorders>
              <w:bottom w:val="nil"/>
            </w:tcBorders>
            <w:vAlign w:val="center"/>
          </w:tcPr>
          <w:p w14:paraId="67395914">
            <w:pPr>
              <w:pStyle w:val="61"/>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1232" w:type="dxa"/>
            <w:tcBorders>
              <w:bottom w:val="nil"/>
            </w:tcBorders>
          </w:tcPr>
          <w:p w14:paraId="6858C47F">
            <w:pPr>
              <w:shd w:val="clear"/>
              <w:jc w:val="center"/>
              <w:rPr>
                <w:rFonts w:ascii="仿宋" w:hAnsi="仿宋" w:eastAsia="仿宋" w:cs="仿宋"/>
                <w:color w:val="auto"/>
                <w:sz w:val="24"/>
                <w:szCs w:val="20"/>
                <w:highlight w:val="none"/>
                <w:lang w:bidi="ar"/>
              </w:rPr>
            </w:pPr>
          </w:p>
        </w:tc>
        <w:tc>
          <w:tcPr>
            <w:tcW w:w="744" w:type="dxa"/>
            <w:tcBorders>
              <w:bottom w:val="nil"/>
            </w:tcBorders>
            <w:vAlign w:val="center"/>
          </w:tcPr>
          <w:p w14:paraId="0B5D5FE6">
            <w:pPr>
              <w:shd w:val="clear"/>
              <w:jc w:val="center"/>
              <w:rPr>
                <w:rFonts w:ascii="仿宋" w:hAnsi="仿宋" w:eastAsia="仿宋" w:cs="仿宋"/>
                <w:color w:val="auto"/>
                <w:sz w:val="24"/>
                <w:szCs w:val="20"/>
                <w:highlight w:val="none"/>
                <w:lang w:bidi="ar"/>
              </w:rPr>
            </w:pPr>
          </w:p>
        </w:tc>
        <w:tc>
          <w:tcPr>
            <w:tcW w:w="1000" w:type="dxa"/>
            <w:tcBorders>
              <w:bottom w:val="nil"/>
            </w:tcBorders>
            <w:vAlign w:val="center"/>
          </w:tcPr>
          <w:p w14:paraId="05BAA23C">
            <w:pPr>
              <w:shd w:val="clear"/>
              <w:ind w:firstLine="12"/>
              <w:jc w:val="center"/>
              <w:rPr>
                <w:rFonts w:ascii="仿宋" w:hAnsi="仿宋" w:eastAsia="仿宋" w:cs="仿宋"/>
                <w:color w:val="auto"/>
                <w:sz w:val="24"/>
                <w:szCs w:val="20"/>
                <w:highlight w:val="none"/>
                <w:lang w:bidi="ar"/>
              </w:rPr>
            </w:pPr>
          </w:p>
        </w:tc>
        <w:tc>
          <w:tcPr>
            <w:tcW w:w="899" w:type="dxa"/>
            <w:tcBorders>
              <w:bottom w:val="nil"/>
            </w:tcBorders>
            <w:vAlign w:val="center"/>
          </w:tcPr>
          <w:p w14:paraId="31CD7A95">
            <w:pPr>
              <w:shd w:val="clear"/>
              <w:ind w:firstLine="12"/>
              <w:jc w:val="center"/>
              <w:rPr>
                <w:rFonts w:ascii="仿宋" w:hAnsi="仿宋" w:eastAsia="仿宋" w:cs="仿宋"/>
                <w:color w:val="auto"/>
                <w:sz w:val="24"/>
                <w:szCs w:val="20"/>
                <w:highlight w:val="none"/>
                <w:lang w:bidi="ar"/>
              </w:rPr>
            </w:pPr>
          </w:p>
        </w:tc>
      </w:tr>
      <w:tr w14:paraId="5348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restart"/>
            <w:vAlign w:val="center"/>
          </w:tcPr>
          <w:p w14:paraId="45C6DEE2">
            <w:pPr>
              <w:shd w:val="clea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其他成员</w:t>
            </w:r>
          </w:p>
        </w:tc>
        <w:tc>
          <w:tcPr>
            <w:tcW w:w="811" w:type="dxa"/>
            <w:vAlign w:val="center"/>
          </w:tcPr>
          <w:p w14:paraId="6F7F9458">
            <w:pPr>
              <w:shd w:val="clear"/>
              <w:jc w:val="center"/>
              <w:rPr>
                <w:rFonts w:ascii="仿宋" w:hAnsi="仿宋" w:eastAsia="仿宋" w:cs="仿宋"/>
                <w:color w:val="auto"/>
                <w:sz w:val="24"/>
                <w:szCs w:val="20"/>
                <w:highlight w:val="none"/>
                <w:lang w:bidi="ar"/>
              </w:rPr>
            </w:pPr>
          </w:p>
        </w:tc>
        <w:tc>
          <w:tcPr>
            <w:tcW w:w="991" w:type="dxa"/>
            <w:vAlign w:val="center"/>
          </w:tcPr>
          <w:p w14:paraId="027493BC">
            <w:pPr>
              <w:shd w:val="clear"/>
              <w:jc w:val="center"/>
              <w:rPr>
                <w:rFonts w:ascii="仿宋" w:hAnsi="仿宋" w:eastAsia="仿宋" w:cs="仿宋"/>
                <w:color w:val="auto"/>
                <w:sz w:val="24"/>
                <w:szCs w:val="20"/>
                <w:highlight w:val="none"/>
                <w:lang w:bidi="ar"/>
              </w:rPr>
            </w:pPr>
          </w:p>
        </w:tc>
        <w:tc>
          <w:tcPr>
            <w:tcW w:w="736" w:type="dxa"/>
            <w:vAlign w:val="center"/>
          </w:tcPr>
          <w:p w14:paraId="7F0BD9D2">
            <w:pPr>
              <w:shd w:val="clear"/>
              <w:jc w:val="center"/>
              <w:rPr>
                <w:rFonts w:ascii="仿宋" w:hAnsi="仿宋" w:eastAsia="仿宋" w:cs="仿宋"/>
                <w:color w:val="auto"/>
                <w:sz w:val="24"/>
                <w:szCs w:val="20"/>
                <w:highlight w:val="none"/>
                <w:lang w:bidi="ar"/>
              </w:rPr>
            </w:pPr>
          </w:p>
        </w:tc>
        <w:tc>
          <w:tcPr>
            <w:tcW w:w="961" w:type="dxa"/>
            <w:vAlign w:val="center"/>
          </w:tcPr>
          <w:p w14:paraId="1B6E217E">
            <w:pPr>
              <w:shd w:val="clear"/>
              <w:jc w:val="center"/>
              <w:rPr>
                <w:rFonts w:ascii="仿宋" w:hAnsi="仿宋" w:eastAsia="仿宋" w:cs="仿宋"/>
                <w:color w:val="auto"/>
                <w:sz w:val="24"/>
                <w:szCs w:val="20"/>
                <w:highlight w:val="none"/>
                <w:lang w:bidi="ar"/>
              </w:rPr>
            </w:pPr>
          </w:p>
        </w:tc>
        <w:tc>
          <w:tcPr>
            <w:tcW w:w="1232" w:type="dxa"/>
          </w:tcPr>
          <w:p w14:paraId="1D62B42E">
            <w:pPr>
              <w:shd w:val="clear"/>
              <w:jc w:val="center"/>
              <w:rPr>
                <w:rFonts w:ascii="仿宋" w:hAnsi="仿宋" w:eastAsia="仿宋" w:cs="仿宋"/>
                <w:color w:val="auto"/>
                <w:sz w:val="24"/>
                <w:szCs w:val="20"/>
                <w:highlight w:val="none"/>
                <w:lang w:bidi="ar"/>
              </w:rPr>
            </w:pPr>
          </w:p>
        </w:tc>
        <w:tc>
          <w:tcPr>
            <w:tcW w:w="744" w:type="dxa"/>
            <w:vAlign w:val="center"/>
          </w:tcPr>
          <w:p w14:paraId="2106B2EF">
            <w:pPr>
              <w:shd w:val="clear"/>
              <w:jc w:val="center"/>
              <w:rPr>
                <w:rFonts w:ascii="仿宋" w:hAnsi="仿宋" w:eastAsia="仿宋" w:cs="仿宋"/>
                <w:color w:val="auto"/>
                <w:sz w:val="24"/>
                <w:szCs w:val="20"/>
                <w:highlight w:val="none"/>
                <w:lang w:bidi="ar"/>
              </w:rPr>
            </w:pPr>
          </w:p>
        </w:tc>
        <w:tc>
          <w:tcPr>
            <w:tcW w:w="1000" w:type="dxa"/>
            <w:vAlign w:val="center"/>
          </w:tcPr>
          <w:p w14:paraId="5F5D6AC7">
            <w:pPr>
              <w:shd w:val="clear"/>
              <w:jc w:val="center"/>
              <w:rPr>
                <w:rFonts w:ascii="仿宋" w:hAnsi="仿宋" w:eastAsia="仿宋" w:cs="仿宋"/>
                <w:color w:val="auto"/>
                <w:sz w:val="24"/>
                <w:szCs w:val="20"/>
                <w:highlight w:val="none"/>
                <w:lang w:bidi="ar"/>
              </w:rPr>
            </w:pPr>
          </w:p>
        </w:tc>
        <w:tc>
          <w:tcPr>
            <w:tcW w:w="899" w:type="dxa"/>
            <w:vAlign w:val="center"/>
          </w:tcPr>
          <w:p w14:paraId="3B45994D">
            <w:pPr>
              <w:shd w:val="clear"/>
              <w:jc w:val="center"/>
              <w:rPr>
                <w:rFonts w:ascii="仿宋" w:hAnsi="仿宋" w:eastAsia="仿宋" w:cs="仿宋"/>
                <w:color w:val="auto"/>
                <w:sz w:val="24"/>
                <w:szCs w:val="20"/>
                <w:highlight w:val="none"/>
                <w:lang w:bidi="ar"/>
              </w:rPr>
            </w:pPr>
          </w:p>
        </w:tc>
      </w:tr>
      <w:tr w14:paraId="26C2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476CE196">
            <w:pPr>
              <w:shd w:val="clear"/>
              <w:rPr>
                <w:rFonts w:ascii="仿宋" w:hAnsi="仿宋" w:eastAsia="仿宋" w:cs="仿宋"/>
                <w:color w:val="auto"/>
                <w:sz w:val="24"/>
                <w:szCs w:val="20"/>
                <w:highlight w:val="none"/>
                <w:lang w:bidi="ar"/>
              </w:rPr>
            </w:pPr>
          </w:p>
        </w:tc>
        <w:tc>
          <w:tcPr>
            <w:tcW w:w="811" w:type="dxa"/>
            <w:vAlign w:val="center"/>
          </w:tcPr>
          <w:p w14:paraId="63AFC045">
            <w:pPr>
              <w:shd w:val="clear"/>
              <w:jc w:val="center"/>
              <w:rPr>
                <w:rFonts w:ascii="仿宋" w:hAnsi="仿宋" w:eastAsia="仿宋" w:cs="仿宋"/>
                <w:color w:val="auto"/>
                <w:sz w:val="24"/>
                <w:szCs w:val="20"/>
                <w:highlight w:val="none"/>
                <w:lang w:bidi="ar"/>
              </w:rPr>
            </w:pPr>
          </w:p>
        </w:tc>
        <w:tc>
          <w:tcPr>
            <w:tcW w:w="991" w:type="dxa"/>
            <w:vAlign w:val="center"/>
          </w:tcPr>
          <w:p w14:paraId="1A9B82AF">
            <w:pPr>
              <w:shd w:val="clear"/>
              <w:jc w:val="center"/>
              <w:rPr>
                <w:rFonts w:ascii="仿宋" w:hAnsi="仿宋" w:eastAsia="仿宋" w:cs="仿宋"/>
                <w:color w:val="auto"/>
                <w:sz w:val="24"/>
                <w:szCs w:val="20"/>
                <w:highlight w:val="none"/>
                <w:lang w:bidi="ar"/>
              </w:rPr>
            </w:pPr>
          </w:p>
        </w:tc>
        <w:tc>
          <w:tcPr>
            <w:tcW w:w="736" w:type="dxa"/>
            <w:vAlign w:val="center"/>
          </w:tcPr>
          <w:p w14:paraId="56E68870">
            <w:pPr>
              <w:shd w:val="clear"/>
              <w:jc w:val="center"/>
              <w:rPr>
                <w:rFonts w:ascii="仿宋" w:hAnsi="仿宋" w:eastAsia="仿宋" w:cs="仿宋"/>
                <w:color w:val="auto"/>
                <w:sz w:val="24"/>
                <w:szCs w:val="20"/>
                <w:highlight w:val="none"/>
                <w:lang w:bidi="ar"/>
              </w:rPr>
            </w:pPr>
          </w:p>
        </w:tc>
        <w:tc>
          <w:tcPr>
            <w:tcW w:w="961" w:type="dxa"/>
            <w:vAlign w:val="center"/>
          </w:tcPr>
          <w:p w14:paraId="6E3B515C">
            <w:pPr>
              <w:shd w:val="clear"/>
              <w:jc w:val="center"/>
              <w:rPr>
                <w:rFonts w:ascii="仿宋" w:hAnsi="仿宋" w:eastAsia="仿宋" w:cs="仿宋"/>
                <w:color w:val="auto"/>
                <w:sz w:val="24"/>
                <w:szCs w:val="20"/>
                <w:highlight w:val="none"/>
                <w:lang w:bidi="ar"/>
              </w:rPr>
            </w:pPr>
          </w:p>
        </w:tc>
        <w:tc>
          <w:tcPr>
            <w:tcW w:w="1232" w:type="dxa"/>
          </w:tcPr>
          <w:p w14:paraId="22B9ED0D">
            <w:pPr>
              <w:shd w:val="clear"/>
              <w:jc w:val="center"/>
              <w:rPr>
                <w:rFonts w:ascii="仿宋" w:hAnsi="仿宋" w:eastAsia="仿宋" w:cs="仿宋"/>
                <w:color w:val="auto"/>
                <w:sz w:val="24"/>
                <w:szCs w:val="20"/>
                <w:highlight w:val="none"/>
                <w:lang w:bidi="ar"/>
              </w:rPr>
            </w:pPr>
          </w:p>
        </w:tc>
        <w:tc>
          <w:tcPr>
            <w:tcW w:w="744" w:type="dxa"/>
            <w:vAlign w:val="center"/>
          </w:tcPr>
          <w:p w14:paraId="1FD38BF0">
            <w:pPr>
              <w:shd w:val="clear"/>
              <w:jc w:val="center"/>
              <w:rPr>
                <w:rFonts w:ascii="仿宋" w:hAnsi="仿宋" w:eastAsia="仿宋" w:cs="仿宋"/>
                <w:color w:val="auto"/>
                <w:sz w:val="24"/>
                <w:szCs w:val="20"/>
                <w:highlight w:val="none"/>
                <w:lang w:bidi="ar"/>
              </w:rPr>
            </w:pPr>
          </w:p>
        </w:tc>
        <w:tc>
          <w:tcPr>
            <w:tcW w:w="1000" w:type="dxa"/>
            <w:vAlign w:val="center"/>
          </w:tcPr>
          <w:p w14:paraId="13BDD247">
            <w:pPr>
              <w:shd w:val="clear"/>
              <w:jc w:val="center"/>
              <w:rPr>
                <w:rFonts w:ascii="仿宋" w:hAnsi="仿宋" w:eastAsia="仿宋" w:cs="仿宋"/>
                <w:color w:val="auto"/>
                <w:sz w:val="24"/>
                <w:szCs w:val="20"/>
                <w:highlight w:val="none"/>
                <w:lang w:bidi="ar"/>
              </w:rPr>
            </w:pPr>
          </w:p>
        </w:tc>
        <w:tc>
          <w:tcPr>
            <w:tcW w:w="899" w:type="dxa"/>
            <w:vAlign w:val="center"/>
          </w:tcPr>
          <w:p w14:paraId="5662325E">
            <w:pPr>
              <w:shd w:val="clear"/>
              <w:jc w:val="center"/>
              <w:rPr>
                <w:rFonts w:ascii="仿宋" w:hAnsi="仿宋" w:eastAsia="仿宋" w:cs="仿宋"/>
                <w:color w:val="auto"/>
                <w:sz w:val="24"/>
                <w:szCs w:val="20"/>
                <w:highlight w:val="none"/>
                <w:lang w:bidi="ar"/>
              </w:rPr>
            </w:pPr>
          </w:p>
        </w:tc>
      </w:tr>
      <w:tr w14:paraId="52B7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69A653B2">
            <w:pPr>
              <w:shd w:val="clear"/>
              <w:jc w:val="center"/>
              <w:rPr>
                <w:rFonts w:ascii="仿宋" w:hAnsi="仿宋" w:eastAsia="仿宋" w:cs="仿宋"/>
                <w:color w:val="auto"/>
                <w:sz w:val="24"/>
                <w:szCs w:val="20"/>
                <w:highlight w:val="none"/>
                <w:lang w:bidi="ar"/>
              </w:rPr>
            </w:pPr>
          </w:p>
        </w:tc>
        <w:tc>
          <w:tcPr>
            <w:tcW w:w="811" w:type="dxa"/>
            <w:vAlign w:val="center"/>
          </w:tcPr>
          <w:p w14:paraId="77EA419B">
            <w:pPr>
              <w:shd w:val="clear"/>
              <w:jc w:val="center"/>
              <w:rPr>
                <w:rFonts w:ascii="仿宋" w:hAnsi="仿宋" w:eastAsia="仿宋" w:cs="仿宋"/>
                <w:color w:val="auto"/>
                <w:sz w:val="24"/>
                <w:szCs w:val="20"/>
                <w:highlight w:val="none"/>
                <w:lang w:bidi="ar"/>
              </w:rPr>
            </w:pPr>
          </w:p>
        </w:tc>
        <w:tc>
          <w:tcPr>
            <w:tcW w:w="991" w:type="dxa"/>
            <w:vAlign w:val="center"/>
          </w:tcPr>
          <w:p w14:paraId="0636667B">
            <w:pPr>
              <w:shd w:val="clear"/>
              <w:jc w:val="center"/>
              <w:rPr>
                <w:rFonts w:ascii="仿宋" w:hAnsi="仿宋" w:eastAsia="仿宋" w:cs="仿宋"/>
                <w:color w:val="auto"/>
                <w:sz w:val="24"/>
                <w:szCs w:val="20"/>
                <w:highlight w:val="none"/>
                <w:lang w:bidi="ar"/>
              </w:rPr>
            </w:pPr>
          </w:p>
        </w:tc>
        <w:tc>
          <w:tcPr>
            <w:tcW w:w="736" w:type="dxa"/>
            <w:vAlign w:val="center"/>
          </w:tcPr>
          <w:p w14:paraId="4F93EE9B">
            <w:pPr>
              <w:shd w:val="clear"/>
              <w:jc w:val="center"/>
              <w:rPr>
                <w:rFonts w:ascii="仿宋" w:hAnsi="仿宋" w:eastAsia="仿宋" w:cs="仿宋"/>
                <w:color w:val="auto"/>
                <w:sz w:val="24"/>
                <w:szCs w:val="20"/>
                <w:highlight w:val="none"/>
                <w:lang w:bidi="ar"/>
              </w:rPr>
            </w:pPr>
          </w:p>
        </w:tc>
        <w:tc>
          <w:tcPr>
            <w:tcW w:w="961" w:type="dxa"/>
            <w:vAlign w:val="center"/>
          </w:tcPr>
          <w:p w14:paraId="03DEC2FF">
            <w:pPr>
              <w:shd w:val="clear"/>
              <w:jc w:val="center"/>
              <w:rPr>
                <w:rFonts w:ascii="仿宋" w:hAnsi="仿宋" w:eastAsia="仿宋" w:cs="仿宋"/>
                <w:color w:val="auto"/>
                <w:sz w:val="24"/>
                <w:szCs w:val="20"/>
                <w:highlight w:val="none"/>
                <w:lang w:bidi="ar"/>
              </w:rPr>
            </w:pPr>
          </w:p>
        </w:tc>
        <w:tc>
          <w:tcPr>
            <w:tcW w:w="1232" w:type="dxa"/>
          </w:tcPr>
          <w:p w14:paraId="64C41A71">
            <w:pPr>
              <w:shd w:val="clear"/>
              <w:jc w:val="center"/>
              <w:rPr>
                <w:rFonts w:ascii="仿宋" w:hAnsi="仿宋" w:eastAsia="仿宋" w:cs="仿宋"/>
                <w:color w:val="auto"/>
                <w:sz w:val="24"/>
                <w:szCs w:val="20"/>
                <w:highlight w:val="none"/>
                <w:lang w:bidi="ar"/>
              </w:rPr>
            </w:pPr>
          </w:p>
        </w:tc>
        <w:tc>
          <w:tcPr>
            <w:tcW w:w="744" w:type="dxa"/>
            <w:vAlign w:val="center"/>
          </w:tcPr>
          <w:p w14:paraId="4C7B7933">
            <w:pPr>
              <w:shd w:val="clear"/>
              <w:jc w:val="center"/>
              <w:rPr>
                <w:rFonts w:ascii="仿宋" w:hAnsi="仿宋" w:eastAsia="仿宋" w:cs="仿宋"/>
                <w:color w:val="auto"/>
                <w:sz w:val="24"/>
                <w:szCs w:val="20"/>
                <w:highlight w:val="none"/>
                <w:lang w:bidi="ar"/>
              </w:rPr>
            </w:pPr>
          </w:p>
        </w:tc>
        <w:tc>
          <w:tcPr>
            <w:tcW w:w="1000" w:type="dxa"/>
            <w:vAlign w:val="center"/>
          </w:tcPr>
          <w:p w14:paraId="2C87C5FD">
            <w:pPr>
              <w:shd w:val="clear"/>
              <w:jc w:val="center"/>
              <w:rPr>
                <w:rFonts w:ascii="仿宋" w:hAnsi="仿宋" w:eastAsia="仿宋" w:cs="仿宋"/>
                <w:color w:val="auto"/>
                <w:sz w:val="24"/>
                <w:szCs w:val="20"/>
                <w:highlight w:val="none"/>
                <w:lang w:bidi="ar"/>
              </w:rPr>
            </w:pPr>
          </w:p>
        </w:tc>
        <w:tc>
          <w:tcPr>
            <w:tcW w:w="899" w:type="dxa"/>
            <w:vAlign w:val="center"/>
          </w:tcPr>
          <w:p w14:paraId="0A0012A0">
            <w:pPr>
              <w:shd w:val="clear"/>
              <w:jc w:val="center"/>
              <w:rPr>
                <w:rFonts w:ascii="仿宋" w:hAnsi="仿宋" w:eastAsia="仿宋" w:cs="仿宋"/>
                <w:color w:val="auto"/>
                <w:sz w:val="24"/>
                <w:szCs w:val="20"/>
                <w:highlight w:val="none"/>
                <w:lang w:bidi="ar"/>
              </w:rPr>
            </w:pPr>
          </w:p>
        </w:tc>
      </w:tr>
      <w:tr w14:paraId="475D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65257778">
            <w:pPr>
              <w:shd w:val="clear"/>
              <w:jc w:val="center"/>
              <w:rPr>
                <w:rFonts w:ascii="仿宋" w:hAnsi="仿宋" w:eastAsia="仿宋" w:cs="仿宋"/>
                <w:color w:val="auto"/>
                <w:sz w:val="24"/>
                <w:szCs w:val="20"/>
                <w:highlight w:val="none"/>
                <w:lang w:bidi="ar"/>
              </w:rPr>
            </w:pPr>
          </w:p>
        </w:tc>
        <w:tc>
          <w:tcPr>
            <w:tcW w:w="811" w:type="dxa"/>
            <w:vAlign w:val="center"/>
          </w:tcPr>
          <w:p w14:paraId="57BBF096">
            <w:pPr>
              <w:shd w:val="clear"/>
              <w:jc w:val="center"/>
              <w:rPr>
                <w:rFonts w:ascii="仿宋" w:hAnsi="仿宋" w:eastAsia="仿宋" w:cs="仿宋"/>
                <w:color w:val="auto"/>
                <w:sz w:val="24"/>
                <w:szCs w:val="20"/>
                <w:highlight w:val="none"/>
                <w:lang w:bidi="ar"/>
              </w:rPr>
            </w:pPr>
          </w:p>
        </w:tc>
        <w:tc>
          <w:tcPr>
            <w:tcW w:w="991" w:type="dxa"/>
            <w:vAlign w:val="center"/>
          </w:tcPr>
          <w:p w14:paraId="64E5C48A">
            <w:pPr>
              <w:shd w:val="clear"/>
              <w:jc w:val="center"/>
              <w:rPr>
                <w:rFonts w:ascii="仿宋" w:hAnsi="仿宋" w:eastAsia="仿宋" w:cs="仿宋"/>
                <w:color w:val="auto"/>
                <w:sz w:val="24"/>
                <w:szCs w:val="20"/>
                <w:highlight w:val="none"/>
                <w:lang w:bidi="ar"/>
              </w:rPr>
            </w:pPr>
          </w:p>
        </w:tc>
        <w:tc>
          <w:tcPr>
            <w:tcW w:w="736" w:type="dxa"/>
            <w:vAlign w:val="center"/>
          </w:tcPr>
          <w:p w14:paraId="3DDBACD8">
            <w:pPr>
              <w:shd w:val="clear"/>
              <w:jc w:val="center"/>
              <w:rPr>
                <w:rFonts w:ascii="仿宋" w:hAnsi="仿宋" w:eastAsia="仿宋" w:cs="仿宋"/>
                <w:color w:val="auto"/>
                <w:sz w:val="24"/>
                <w:szCs w:val="20"/>
                <w:highlight w:val="none"/>
                <w:lang w:bidi="ar"/>
              </w:rPr>
            </w:pPr>
          </w:p>
        </w:tc>
        <w:tc>
          <w:tcPr>
            <w:tcW w:w="961" w:type="dxa"/>
            <w:vAlign w:val="center"/>
          </w:tcPr>
          <w:p w14:paraId="0DA4CBB5">
            <w:pPr>
              <w:shd w:val="clear"/>
              <w:jc w:val="center"/>
              <w:rPr>
                <w:rFonts w:ascii="仿宋" w:hAnsi="仿宋" w:eastAsia="仿宋" w:cs="仿宋"/>
                <w:color w:val="auto"/>
                <w:sz w:val="24"/>
                <w:szCs w:val="20"/>
                <w:highlight w:val="none"/>
                <w:lang w:bidi="ar"/>
              </w:rPr>
            </w:pPr>
          </w:p>
        </w:tc>
        <w:tc>
          <w:tcPr>
            <w:tcW w:w="1232" w:type="dxa"/>
          </w:tcPr>
          <w:p w14:paraId="54E4DAF0">
            <w:pPr>
              <w:shd w:val="clear"/>
              <w:jc w:val="center"/>
              <w:rPr>
                <w:rFonts w:ascii="仿宋" w:hAnsi="仿宋" w:eastAsia="仿宋" w:cs="仿宋"/>
                <w:color w:val="auto"/>
                <w:sz w:val="24"/>
                <w:szCs w:val="20"/>
                <w:highlight w:val="none"/>
                <w:lang w:bidi="ar"/>
              </w:rPr>
            </w:pPr>
          </w:p>
        </w:tc>
        <w:tc>
          <w:tcPr>
            <w:tcW w:w="744" w:type="dxa"/>
            <w:vAlign w:val="center"/>
          </w:tcPr>
          <w:p w14:paraId="20DF7E55">
            <w:pPr>
              <w:shd w:val="clear"/>
              <w:jc w:val="center"/>
              <w:rPr>
                <w:rFonts w:ascii="仿宋" w:hAnsi="仿宋" w:eastAsia="仿宋" w:cs="仿宋"/>
                <w:color w:val="auto"/>
                <w:sz w:val="24"/>
                <w:szCs w:val="20"/>
                <w:highlight w:val="none"/>
                <w:lang w:bidi="ar"/>
              </w:rPr>
            </w:pPr>
          </w:p>
        </w:tc>
        <w:tc>
          <w:tcPr>
            <w:tcW w:w="1000" w:type="dxa"/>
            <w:vAlign w:val="center"/>
          </w:tcPr>
          <w:p w14:paraId="093D0B6C">
            <w:pPr>
              <w:shd w:val="clear"/>
              <w:jc w:val="center"/>
              <w:rPr>
                <w:rFonts w:ascii="仿宋" w:hAnsi="仿宋" w:eastAsia="仿宋" w:cs="仿宋"/>
                <w:color w:val="auto"/>
                <w:sz w:val="24"/>
                <w:szCs w:val="20"/>
                <w:highlight w:val="none"/>
                <w:lang w:bidi="ar"/>
              </w:rPr>
            </w:pPr>
          </w:p>
        </w:tc>
        <w:tc>
          <w:tcPr>
            <w:tcW w:w="899" w:type="dxa"/>
            <w:vAlign w:val="center"/>
          </w:tcPr>
          <w:p w14:paraId="28170604">
            <w:pPr>
              <w:shd w:val="clear"/>
              <w:jc w:val="center"/>
              <w:rPr>
                <w:rFonts w:ascii="仿宋" w:hAnsi="仿宋" w:eastAsia="仿宋" w:cs="仿宋"/>
                <w:color w:val="auto"/>
                <w:sz w:val="24"/>
                <w:szCs w:val="20"/>
                <w:highlight w:val="none"/>
                <w:lang w:bidi="ar"/>
              </w:rPr>
            </w:pPr>
          </w:p>
        </w:tc>
      </w:tr>
      <w:tr w14:paraId="3D3E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1381" w:type="dxa"/>
            <w:vMerge w:val="continue"/>
            <w:vAlign w:val="center"/>
          </w:tcPr>
          <w:p w14:paraId="27F1D100">
            <w:pPr>
              <w:shd w:val="clear"/>
              <w:jc w:val="center"/>
              <w:rPr>
                <w:rFonts w:ascii="仿宋" w:hAnsi="仿宋" w:eastAsia="仿宋" w:cs="仿宋"/>
                <w:color w:val="auto"/>
                <w:sz w:val="24"/>
                <w:szCs w:val="20"/>
                <w:highlight w:val="none"/>
                <w:lang w:bidi="ar"/>
              </w:rPr>
            </w:pPr>
          </w:p>
        </w:tc>
        <w:tc>
          <w:tcPr>
            <w:tcW w:w="811" w:type="dxa"/>
            <w:vAlign w:val="center"/>
          </w:tcPr>
          <w:p w14:paraId="4B8045F5">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w:t>
            </w:r>
          </w:p>
        </w:tc>
        <w:tc>
          <w:tcPr>
            <w:tcW w:w="991" w:type="dxa"/>
            <w:vAlign w:val="center"/>
          </w:tcPr>
          <w:p w14:paraId="2868C51F">
            <w:pPr>
              <w:shd w:val="clear"/>
              <w:jc w:val="center"/>
              <w:rPr>
                <w:rFonts w:ascii="仿宋" w:hAnsi="仿宋" w:eastAsia="仿宋" w:cs="仿宋"/>
                <w:color w:val="auto"/>
                <w:sz w:val="24"/>
                <w:szCs w:val="20"/>
                <w:highlight w:val="none"/>
                <w:lang w:bidi="ar"/>
              </w:rPr>
            </w:pPr>
          </w:p>
        </w:tc>
        <w:tc>
          <w:tcPr>
            <w:tcW w:w="736" w:type="dxa"/>
            <w:vAlign w:val="center"/>
          </w:tcPr>
          <w:p w14:paraId="730F52FA">
            <w:pPr>
              <w:shd w:val="clear"/>
              <w:jc w:val="center"/>
              <w:rPr>
                <w:rFonts w:ascii="仿宋" w:hAnsi="仿宋" w:eastAsia="仿宋" w:cs="仿宋"/>
                <w:color w:val="auto"/>
                <w:sz w:val="24"/>
                <w:szCs w:val="20"/>
                <w:highlight w:val="none"/>
                <w:lang w:bidi="ar"/>
              </w:rPr>
            </w:pPr>
          </w:p>
        </w:tc>
        <w:tc>
          <w:tcPr>
            <w:tcW w:w="961" w:type="dxa"/>
            <w:vAlign w:val="center"/>
          </w:tcPr>
          <w:p w14:paraId="23CAB80F">
            <w:pPr>
              <w:shd w:val="clear"/>
              <w:jc w:val="center"/>
              <w:rPr>
                <w:rFonts w:ascii="仿宋" w:hAnsi="仿宋" w:eastAsia="仿宋" w:cs="仿宋"/>
                <w:color w:val="auto"/>
                <w:sz w:val="24"/>
                <w:szCs w:val="20"/>
                <w:highlight w:val="none"/>
                <w:lang w:bidi="ar"/>
              </w:rPr>
            </w:pPr>
          </w:p>
        </w:tc>
        <w:tc>
          <w:tcPr>
            <w:tcW w:w="1232" w:type="dxa"/>
          </w:tcPr>
          <w:p w14:paraId="1C25CAE0">
            <w:pPr>
              <w:shd w:val="clear"/>
              <w:jc w:val="center"/>
              <w:rPr>
                <w:rFonts w:ascii="仿宋" w:hAnsi="仿宋" w:eastAsia="仿宋" w:cs="仿宋"/>
                <w:color w:val="auto"/>
                <w:sz w:val="24"/>
                <w:szCs w:val="20"/>
                <w:highlight w:val="none"/>
                <w:lang w:bidi="ar"/>
              </w:rPr>
            </w:pPr>
          </w:p>
        </w:tc>
        <w:tc>
          <w:tcPr>
            <w:tcW w:w="744" w:type="dxa"/>
            <w:vAlign w:val="center"/>
          </w:tcPr>
          <w:p w14:paraId="3C9ABFF5">
            <w:pPr>
              <w:shd w:val="clear"/>
              <w:jc w:val="center"/>
              <w:rPr>
                <w:rFonts w:ascii="仿宋" w:hAnsi="仿宋" w:eastAsia="仿宋" w:cs="仿宋"/>
                <w:color w:val="auto"/>
                <w:sz w:val="24"/>
                <w:szCs w:val="20"/>
                <w:highlight w:val="none"/>
                <w:lang w:bidi="ar"/>
              </w:rPr>
            </w:pPr>
          </w:p>
        </w:tc>
        <w:tc>
          <w:tcPr>
            <w:tcW w:w="1000" w:type="dxa"/>
            <w:vAlign w:val="center"/>
          </w:tcPr>
          <w:p w14:paraId="05A32C02">
            <w:pPr>
              <w:shd w:val="clear"/>
              <w:jc w:val="center"/>
              <w:rPr>
                <w:rFonts w:ascii="仿宋" w:hAnsi="仿宋" w:eastAsia="仿宋" w:cs="仿宋"/>
                <w:color w:val="auto"/>
                <w:sz w:val="24"/>
                <w:szCs w:val="20"/>
                <w:highlight w:val="none"/>
                <w:lang w:bidi="ar"/>
              </w:rPr>
            </w:pPr>
          </w:p>
        </w:tc>
        <w:tc>
          <w:tcPr>
            <w:tcW w:w="899" w:type="dxa"/>
            <w:vAlign w:val="center"/>
          </w:tcPr>
          <w:p w14:paraId="5555937C">
            <w:pPr>
              <w:shd w:val="clear"/>
              <w:jc w:val="center"/>
              <w:rPr>
                <w:rFonts w:ascii="仿宋" w:hAnsi="仿宋" w:eastAsia="仿宋" w:cs="仿宋"/>
                <w:color w:val="auto"/>
                <w:sz w:val="24"/>
                <w:szCs w:val="20"/>
                <w:highlight w:val="none"/>
                <w:lang w:bidi="ar"/>
              </w:rPr>
            </w:pPr>
          </w:p>
        </w:tc>
      </w:tr>
    </w:tbl>
    <w:p w14:paraId="75E83418">
      <w:pPr>
        <w:shd w:val="clear"/>
        <w:spacing w:line="579" w:lineRule="exact"/>
        <w:ind w:firstLine="241" w:firstLineChars="100"/>
        <w:rPr>
          <w:rFonts w:ascii="仿宋" w:hAnsi="仿宋" w:eastAsia="仿宋" w:cs="仿宋"/>
          <w:color w:val="auto"/>
          <w:szCs w:val="21"/>
          <w:highlight w:val="none"/>
          <w:lang w:eastAsia="zh-CN"/>
        </w:rPr>
      </w:pPr>
      <w:r>
        <w:rPr>
          <w:rFonts w:hint="eastAsia" w:ascii="仿宋" w:hAnsi="仿宋" w:eastAsia="仿宋" w:cs="仿宋"/>
          <w:b/>
          <w:color w:val="auto"/>
          <w:sz w:val="24"/>
          <w:szCs w:val="20"/>
          <w:highlight w:val="none"/>
          <w:lang w:val="zh-CN" w:eastAsia="zh-CN" w:bidi="ar"/>
        </w:rPr>
        <w:t>我公司承诺：以上人员均为现场实际团队成员，项目团队人员的所有材料均为真实有效的，贵单位有权对人员服务经验情况进行尽职调查，如发现存在虚假或内容不实情况的，贵单位有权将取消我单位中标资格。</w:t>
      </w:r>
    </w:p>
    <w:p w14:paraId="529F380D">
      <w:pPr>
        <w:shd w:val="clear"/>
        <w:spacing w:line="579" w:lineRule="exact"/>
        <w:ind w:firstLine="480" w:firstLineChars="200"/>
        <w:rPr>
          <w:rFonts w:ascii="仿宋" w:hAnsi="仿宋" w:eastAsia="仿宋" w:cs="仿宋"/>
          <w:color w:val="auto"/>
          <w:sz w:val="24"/>
          <w:szCs w:val="32"/>
          <w:highlight w:val="none"/>
          <w:lang w:eastAsia="zh-CN"/>
        </w:rPr>
      </w:pPr>
    </w:p>
    <w:p w14:paraId="138D1129">
      <w:pPr>
        <w:shd w:val="clear"/>
        <w:spacing w:line="579" w:lineRule="exact"/>
        <w:ind w:firstLine="480" w:firstLineChars="200"/>
        <w:rPr>
          <w:rFonts w:ascii="仿宋" w:hAnsi="仿宋" w:eastAsia="仿宋" w:cs="仿宋"/>
          <w:color w:val="auto"/>
          <w:sz w:val="24"/>
          <w:szCs w:val="32"/>
          <w:highlight w:val="none"/>
          <w:lang w:eastAsia="zh-CN"/>
        </w:rPr>
      </w:pPr>
    </w:p>
    <w:p w14:paraId="244DAA92">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14CE21C9">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26B8FBF0">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5D0E2140">
      <w:pPr>
        <w:shd w:val="clear"/>
        <w:spacing w:line="579" w:lineRule="exact"/>
        <w:ind w:firstLine="480" w:firstLineChars="200"/>
        <w:rPr>
          <w:rFonts w:hint="eastAsia" w:ascii="仿宋" w:hAnsi="仿宋" w:eastAsia="仿宋" w:cs="仿宋"/>
          <w:color w:val="auto"/>
          <w:sz w:val="24"/>
          <w:szCs w:val="32"/>
          <w:highlight w:val="none"/>
          <w:lang w:eastAsia="zh-CN"/>
        </w:rPr>
      </w:pPr>
    </w:p>
    <w:p w14:paraId="66F4684E">
      <w:pPr>
        <w:shd w:val="clear"/>
        <w:spacing w:line="579" w:lineRule="exact"/>
        <w:ind w:firstLine="480" w:firstLineChars="200"/>
        <w:rPr>
          <w:rFonts w:hint="eastAsia" w:ascii="仿宋" w:hAnsi="仿宋" w:eastAsia="仿宋" w:cs="仿宋"/>
          <w:color w:val="auto"/>
          <w:sz w:val="24"/>
          <w:szCs w:val="32"/>
          <w:highlight w:val="none"/>
          <w:lang w:eastAsia="zh-CN"/>
        </w:rPr>
      </w:pPr>
    </w:p>
    <w:p w14:paraId="3B553C21">
      <w:pPr>
        <w:shd w:val="clear"/>
        <w:spacing w:line="579" w:lineRule="exact"/>
        <w:ind w:firstLine="480" w:firstLineChars="200"/>
        <w:rPr>
          <w:rFonts w:hint="eastAsia" w:ascii="仿宋" w:hAnsi="仿宋" w:eastAsia="仿宋" w:cs="仿宋"/>
          <w:color w:val="auto"/>
          <w:sz w:val="24"/>
          <w:szCs w:val="32"/>
          <w:highlight w:val="none"/>
          <w:lang w:eastAsia="zh-CN"/>
        </w:rPr>
      </w:pPr>
    </w:p>
    <w:p w14:paraId="171C9674">
      <w:pPr>
        <w:shd w:val="clear"/>
        <w:rPr>
          <w:rFonts w:hint="eastAsia"/>
          <w:color w:val="auto"/>
          <w:highlight w:val="none"/>
          <w:lang w:eastAsia="zh-CN"/>
        </w:rPr>
      </w:pPr>
    </w:p>
    <w:p w14:paraId="4C6B3C40">
      <w:pPr>
        <w:shd w:val="clear"/>
        <w:jc w:val="center"/>
        <w:rPr>
          <w:rFonts w:ascii="仿宋" w:hAnsi="仿宋" w:eastAsia="仿宋" w:cs="仿宋"/>
          <w:color w:val="auto"/>
          <w:sz w:val="28"/>
          <w:szCs w:val="28"/>
          <w:highlight w:val="none"/>
          <w:lang w:eastAsia="zh-CN"/>
        </w:rPr>
      </w:pPr>
      <w:r>
        <w:rPr>
          <w:rFonts w:hint="eastAsia" w:ascii="仿宋" w:hAnsi="仿宋" w:eastAsia="仿宋" w:cs="仿宋"/>
          <w:b/>
          <w:color w:val="auto"/>
          <w:sz w:val="24"/>
          <w:highlight w:val="none"/>
          <w:lang w:eastAsia="zh-CN"/>
        </w:rPr>
        <w:t>项目负责人简历表</w:t>
      </w:r>
    </w:p>
    <w:p w14:paraId="517F4FA0">
      <w:pPr>
        <w:shd w:val="clear"/>
        <w:spacing w:line="480" w:lineRule="exact"/>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 xml:space="preserve">项目负责人介绍应包括：姓名、性别、年龄、职称、学历、参加工作时间、从事项目年限和能反映该负责人情况的其他内容。 </w:t>
      </w:r>
    </w:p>
    <w:tbl>
      <w:tblPr>
        <w:tblStyle w:val="2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53"/>
        <w:gridCol w:w="2304"/>
        <w:gridCol w:w="1845"/>
      </w:tblGrid>
      <w:tr w14:paraId="521A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76" w:type="dxa"/>
            <w:vAlign w:val="center"/>
          </w:tcPr>
          <w:p w14:paraId="32032CCC">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3" w:type="dxa"/>
            <w:vAlign w:val="center"/>
          </w:tcPr>
          <w:p w14:paraId="066B4FC4">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301AA2D3">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45" w:type="dxa"/>
            <w:vAlign w:val="center"/>
          </w:tcPr>
          <w:p w14:paraId="535E902A">
            <w:pPr>
              <w:shd w:val="clear"/>
              <w:snapToGrid w:val="0"/>
              <w:spacing w:line="480" w:lineRule="exact"/>
              <w:jc w:val="center"/>
              <w:rPr>
                <w:rFonts w:ascii="仿宋" w:hAnsi="仿宋" w:eastAsia="仿宋" w:cs="仿宋"/>
                <w:color w:val="auto"/>
                <w:sz w:val="24"/>
                <w:szCs w:val="20"/>
                <w:highlight w:val="none"/>
                <w:lang w:bidi="ar"/>
              </w:rPr>
            </w:pPr>
          </w:p>
        </w:tc>
      </w:tr>
      <w:tr w14:paraId="55A3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6" w:type="dxa"/>
            <w:vAlign w:val="center"/>
          </w:tcPr>
          <w:p w14:paraId="3FE43F37">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3" w:type="dxa"/>
            <w:vAlign w:val="center"/>
          </w:tcPr>
          <w:p w14:paraId="4BD27688">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24073699">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45" w:type="dxa"/>
            <w:vAlign w:val="center"/>
          </w:tcPr>
          <w:p w14:paraId="43012CBA">
            <w:pPr>
              <w:shd w:val="clear"/>
              <w:snapToGrid w:val="0"/>
              <w:spacing w:line="480" w:lineRule="exact"/>
              <w:jc w:val="center"/>
              <w:rPr>
                <w:rFonts w:ascii="仿宋" w:hAnsi="仿宋" w:eastAsia="仿宋" w:cs="仿宋"/>
                <w:color w:val="auto"/>
                <w:sz w:val="24"/>
                <w:szCs w:val="20"/>
                <w:highlight w:val="none"/>
                <w:lang w:bidi="ar"/>
              </w:rPr>
            </w:pPr>
          </w:p>
        </w:tc>
      </w:tr>
      <w:tr w14:paraId="27F7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76" w:type="dxa"/>
            <w:vAlign w:val="center"/>
          </w:tcPr>
          <w:p w14:paraId="3553669D">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3" w:type="dxa"/>
            <w:vAlign w:val="center"/>
          </w:tcPr>
          <w:p w14:paraId="4154B0F5">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6814B7D3">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45" w:type="dxa"/>
            <w:vAlign w:val="center"/>
          </w:tcPr>
          <w:p w14:paraId="2F20926E">
            <w:pPr>
              <w:shd w:val="clear"/>
              <w:spacing w:line="480" w:lineRule="exact"/>
              <w:jc w:val="center"/>
              <w:rPr>
                <w:rFonts w:ascii="仿宋" w:hAnsi="仿宋" w:eastAsia="仿宋" w:cs="仿宋"/>
                <w:color w:val="auto"/>
                <w:sz w:val="24"/>
                <w:szCs w:val="20"/>
                <w:highlight w:val="none"/>
                <w:lang w:bidi="ar"/>
              </w:rPr>
            </w:pPr>
          </w:p>
        </w:tc>
      </w:tr>
      <w:tr w14:paraId="4D7B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14:paraId="47B120A1">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3" w:type="dxa"/>
            <w:vAlign w:val="center"/>
          </w:tcPr>
          <w:p w14:paraId="16F5A033">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7E77EA9A">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45" w:type="dxa"/>
            <w:vAlign w:val="center"/>
          </w:tcPr>
          <w:p w14:paraId="10628273">
            <w:pPr>
              <w:shd w:val="clear"/>
              <w:spacing w:line="480" w:lineRule="exact"/>
              <w:jc w:val="center"/>
              <w:rPr>
                <w:rFonts w:ascii="仿宋" w:hAnsi="仿宋" w:eastAsia="仿宋" w:cs="仿宋"/>
                <w:color w:val="auto"/>
                <w:sz w:val="24"/>
                <w:szCs w:val="20"/>
                <w:highlight w:val="none"/>
                <w:lang w:bidi="ar"/>
              </w:rPr>
            </w:pPr>
          </w:p>
        </w:tc>
      </w:tr>
      <w:tr w14:paraId="7C52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76" w:type="dxa"/>
            <w:vAlign w:val="center"/>
          </w:tcPr>
          <w:p w14:paraId="4B675A3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3" w:type="dxa"/>
            <w:vAlign w:val="center"/>
          </w:tcPr>
          <w:p w14:paraId="228F721E">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5FE16DC0">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45" w:type="dxa"/>
            <w:vAlign w:val="center"/>
          </w:tcPr>
          <w:p w14:paraId="470E49E0">
            <w:pPr>
              <w:shd w:val="clear"/>
              <w:spacing w:line="480" w:lineRule="exact"/>
              <w:jc w:val="center"/>
              <w:rPr>
                <w:rFonts w:ascii="仿宋" w:hAnsi="仿宋" w:eastAsia="仿宋" w:cs="仿宋"/>
                <w:color w:val="auto"/>
                <w:sz w:val="24"/>
                <w:szCs w:val="20"/>
                <w:highlight w:val="none"/>
                <w:lang w:bidi="ar"/>
              </w:rPr>
            </w:pPr>
          </w:p>
        </w:tc>
      </w:tr>
      <w:tr w14:paraId="3C1A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6" w:type="dxa"/>
            <w:vAlign w:val="center"/>
          </w:tcPr>
          <w:p w14:paraId="36767EE3">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2853" w:type="dxa"/>
            <w:vAlign w:val="center"/>
          </w:tcPr>
          <w:p w14:paraId="0280D26B">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63DE269D">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1845" w:type="dxa"/>
            <w:vAlign w:val="center"/>
          </w:tcPr>
          <w:p w14:paraId="59CD6329">
            <w:pPr>
              <w:shd w:val="clear"/>
              <w:spacing w:line="480" w:lineRule="exact"/>
              <w:jc w:val="center"/>
              <w:rPr>
                <w:rFonts w:ascii="仿宋" w:hAnsi="仿宋" w:eastAsia="仿宋" w:cs="仿宋"/>
                <w:color w:val="auto"/>
                <w:sz w:val="24"/>
                <w:szCs w:val="20"/>
                <w:highlight w:val="none"/>
                <w:lang w:bidi="ar"/>
              </w:rPr>
            </w:pPr>
          </w:p>
        </w:tc>
      </w:tr>
      <w:tr w14:paraId="72CC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8" w:type="dxa"/>
            <w:gridSpan w:val="4"/>
            <w:vAlign w:val="center"/>
          </w:tcPr>
          <w:p w14:paraId="0919EA9C">
            <w:pPr>
              <w:shd w:val="clear"/>
              <w:spacing w:line="48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项目负责人等从业经历概述：</w:t>
            </w:r>
          </w:p>
          <w:p w14:paraId="0B22456E">
            <w:pPr>
              <w:pStyle w:val="25"/>
              <w:shd w:val="clear"/>
              <w:ind w:firstLine="0" w:firstLineChars="0"/>
              <w:rPr>
                <w:rFonts w:hint="eastAsia" w:ascii="仿宋" w:hAnsi="仿宋" w:eastAsia="仿宋" w:cs="仿宋"/>
                <w:color w:val="auto"/>
                <w:highlight w:val="none"/>
                <w:lang w:eastAsia="zh-CN"/>
              </w:rPr>
            </w:pPr>
          </w:p>
        </w:tc>
      </w:tr>
    </w:tbl>
    <w:p w14:paraId="44CE832C">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身份证、职称证等相关证明文件并加盖供应商公章</w:t>
      </w:r>
      <w:r>
        <w:rPr>
          <w:rFonts w:hint="eastAsia" w:ascii="仿宋" w:hAnsi="仿宋" w:eastAsia="仿宋" w:cs="仿宋"/>
          <w:bCs/>
          <w:color w:val="auto"/>
          <w:szCs w:val="21"/>
          <w:highlight w:val="none"/>
          <w:lang w:eastAsia="zh-CN" w:bidi="ar"/>
        </w:rPr>
        <w:t>；</w:t>
      </w:r>
    </w:p>
    <w:p w14:paraId="0BF94CE6">
      <w:pPr>
        <w:shd w:val="clear"/>
        <w:spacing w:line="579" w:lineRule="exact"/>
        <w:ind w:firstLine="480" w:firstLineChars="200"/>
        <w:rPr>
          <w:rFonts w:ascii="仿宋" w:hAnsi="仿宋" w:eastAsia="仿宋" w:cs="仿宋"/>
          <w:color w:val="auto"/>
          <w:sz w:val="24"/>
          <w:szCs w:val="32"/>
          <w:highlight w:val="none"/>
          <w:lang w:eastAsia="zh-CN"/>
        </w:rPr>
      </w:pPr>
    </w:p>
    <w:p w14:paraId="18E20E63">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2C3B5870">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7844E0E8">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54D1CA40">
      <w:pPr>
        <w:shd w:val="clear"/>
        <w:ind w:firstLine="3132" w:firstLineChars="1300"/>
        <w:rPr>
          <w:rFonts w:ascii="仿宋" w:hAnsi="仿宋" w:eastAsia="仿宋" w:cs="仿宋"/>
          <w:b/>
          <w:color w:val="auto"/>
          <w:sz w:val="24"/>
          <w:highlight w:val="none"/>
          <w:lang w:eastAsia="zh-CN"/>
        </w:rPr>
      </w:pPr>
    </w:p>
    <w:p w14:paraId="18EE6D79">
      <w:pPr>
        <w:shd w:val="clear"/>
        <w:ind w:firstLine="3132" w:firstLineChars="1300"/>
        <w:rPr>
          <w:rFonts w:ascii="仿宋" w:hAnsi="仿宋" w:eastAsia="仿宋" w:cs="仿宋"/>
          <w:b/>
          <w:color w:val="auto"/>
          <w:sz w:val="24"/>
          <w:highlight w:val="none"/>
          <w:lang w:eastAsia="zh-CN"/>
        </w:rPr>
      </w:pPr>
    </w:p>
    <w:p w14:paraId="6CD705F1">
      <w:pPr>
        <w:pStyle w:val="25"/>
        <w:shd w:val="clear"/>
        <w:rPr>
          <w:rFonts w:ascii="仿宋" w:hAnsi="仿宋" w:eastAsia="仿宋" w:cs="仿宋"/>
          <w:b/>
          <w:color w:val="auto"/>
          <w:sz w:val="24"/>
          <w:highlight w:val="none"/>
          <w:lang w:eastAsia="zh-CN"/>
        </w:rPr>
      </w:pPr>
    </w:p>
    <w:p w14:paraId="5442E21F">
      <w:pPr>
        <w:shd w:val="clear"/>
        <w:rPr>
          <w:color w:val="auto"/>
          <w:highlight w:val="none"/>
          <w:lang w:eastAsia="zh-CN"/>
        </w:rPr>
      </w:pPr>
    </w:p>
    <w:p w14:paraId="018B28BC">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60757108">
      <w:pPr>
        <w:shd w:val="clear"/>
        <w:rPr>
          <w:color w:val="auto"/>
          <w:highlight w:val="none"/>
          <w:lang w:eastAsia="zh-CN"/>
        </w:rPr>
      </w:pPr>
    </w:p>
    <w:p w14:paraId="439CF392">
      <w:pPr>
        <w:shd w:val="clear"/>
        <w:rPr>
          <w:color w:val="auto"/>
          <w:highlight w:val="none"/>
          <w:lang w:eastAsia="zh-CN"/>
        </w:rPr>
      </w:pPr>
    </w:p>
    <w:p w14:paraId="44D9C0DA">
      <w:pPr>
        <w:shd w:val="clear"/>
        <w:ind w:firstLine="3132" w:firstLineChars="1300"/>
        <w:rPr>
          <w:rFonts w:hint="eastAsia" w:ascii="仿宋" w:hAnsi="仿宋" w:eastAsia="仿宋" w:cs="仿宋"/>
          <w:b/>
          <w:color w:val="auto"/>
          <w:sz w:val="24"/>
          <w:highlight w:val="none"/>
          <w:lang w:eastAsia="zh-CN"/>
        </w:rPr>
      </w:pPr>
    </w:p>
    <w:p w14:paraId="05CAFC3E">
      <w:pPr>
        <w:shd w:val="clear"/>
        <w:ind w:firstLine="3132" w:firstLineChars="1300"/>
        <w:rPr>
          <w:rFonts w:ascii="仿宋" w:hAnsi="仿宋" w:eastAsia="仿宋" w:cs="仿宋"/>
          <w:color w:val="auto"/>
          <w:highlight w:val="none"/>
          <w:lang w:eastAsia="zh-CN"/>
        </w:rPr>
      </w:pPr>
      <w:r>
        <w:rPr>
          <w:rFonts w:hint="eastAsia" w:ascii="仿宋" w:hAnsi="仿宋" w:eastAsia="仿宋" w:cs="仿宋"/>
          <w:b/>
          <w:color w:val="auto"/>
          <w:sz w:val="24"/>
          <w:highlight w:val="none"/>
          <w:lang w:eastAsia="zh-CN"/>
        </w:rPr>
        <w:t>项目成员简历表</w:t>
      </w:r>
    </w:p>
    <w:p w14:paraId="00EEC7F9">
      <w:pPr>
        <w:shd w:val="clear"/>
        <w:spacing w:line="500" w:lineRule="exact"/>
        <w:jc w:val="center"/>
        <w:rPr>
          <w:rFonts w:ascii="仿宋" w:hAnsi="仿宋" w:eastAsia="仿宋" w:cs="仿宋"/>
          <w:b/>
          <w:bCs/>
          <w:color w:val="auto"/>
          <w:sz w:val="32"/>
          <w:szCs w:val="32"/>
          <w:highlight w:val="none"/>
          <w:lang w:eastAsia="zh-CN"/>
        </w:rPr>
      </w:pPr>
    </w:p>
    <w:tbl>
      <w:tblPr>
        <w:tblStyle w:val="2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854"/>
        <w:gridCol w:w="2327"/>
        <w:gridCol w:w="1854"/>
      </w:tblGrid>
      <w:tr w14:paraId="793D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684" w:type="dxa"/>
            <w:vAlign w:val="center"/>
          </w:tcPr>
          <w:p w14:paraId="3E29D8D3">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4" w:type="dxa"/>
            <w:vAlign w:val="center"/>
          </w:tcPr>
          <w:p w14:paraId="228939F0">
            <w:pPr>
              <w:shd w:val="clear"/>
              <w:snapToGrid w:val="0"/>
              <w:spacing w:line="500" w:lineRule="exact"/>
              <w:jc w:val="center"/>
              <w:rPr>
                <w:rFonts w:ascii="仿宋" w:hAnsi="仿宋" w:eastAsia="仿宋" w:cs="仿宋"/>
                <w:color w:val="auto"/>
                <w:sz w:val="24"/>
                <w:szCs w:val="20"/>
                <w:highlight w:val="none"/>
                <w:lang w:bidi="ar"/>
              </w:rPr>
            </w:pPr>
          </w:p>
        </w:tc>
        <w:tc>
          <w:tcPr>
            <w:tcW w:w="2327" w:type="dxa"/>
            <w:vAlign w:val="center"/>
          </w:tcPr>
          <w:p w14:paraId="3C87FC58">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54" w:type="dxa"/>
            <w:vAlign w:val="center"/>
          </w:tcPr>
          <w:p w14:paraId="3F980BC2">
            <w:pPr>
              <w:shd w:val="clear"/>
              <w:snapToGrid w:val="0"/>
              <w:spacing w:line="500" w:lineRule="exact"/>
              <w:jc w:val="center"/>
              <w:rPr>
                <w:rFonts w:ascii="仿宋" w:hAnsi="仿宋" w:eastAsia="仿宋" w:cs="仿宋"/>
                <w:color w:val="auto"/>
                <w:sz w:val="24"/>
                <w:szCs w:val="20"/>
                <w:highlight w:val="none"/>
                <w:lang w:bidi="ar"/>
              </w:rPr>
            </w:pPr>
          </w:p>
        </w:tc>
      </w:tr>
      <w:tr w14:paraId="3812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4" w:type="dxa"/>
            <w:vAlign w:val="center"/>
          </w:tcPr>
          <w:p w14:paraId="7C648FCC">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4" w:type="dxa"/>
            <w:vAlign w:val="center"/>
          </w:tcPr>
          <w:p w14:paraId="1B6C2CF1">
            <w:pPr>
              <w:shd w:val="clear"/>
              <w:snapToGrid w:val="0"/>
              <w:spacing w:line="500" w:lineRule="exact"/>
              <w:jc w:val="center"/>
              <w:rPr>
                <w:rFonts w:ascii="仿宋" w:hAnsi="仿宋" w:eastAsia="仿宋" w:cs="仿宋"/>
                <w:color w:val="auto"/>
                <w:sz w:val="24"/>
                <w:szCs w:val="20"/>
                <w:highlight w:val="none"/>
                <w:lang w:bidi="ar"/>
              </w:rPr>
            </w:pPr>
          </w:p>
        </w:tc>
        <w:tc>
          <w:tcPr>
            <w:tcW w:w="2327" w:type="dxa"/>
            <w:vAlign w:val="center"/>
          </w:tcPr>
          <w:p w14:paraId="799A05FC">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54" w:type="dxa"/>
            <w:vAlign w:val="center"/>
          </w:tcPr>
          <w:p w14:paraId="7416D531">
            <w:pPr>
              <w:shd w:val="clear"/>
              <w:snapToGrid w:val="0"/>
              <w:spacing w:line="500" w:lineRule="exact"/>
              <w:jc w:val="center"/>
              <w:rPr>
                <w:rFonts w:ascii="仿宋" w:hAnsi="仿宋" w:eastAsia="仿宋" w:cs="仿宋"/>
                <w:color w:val="auto"/>
                <w:sz w:val="24"/>
                <w:szCs w:val="20"/>
                <w:highlight w:val="none"/>
                <w:lang w:bidi="ar"/>
              </w:rPr>
            </w:pPr>
          </w:p>
        </w:tc>
      </w:tr>
      <w:tr w14:paraId="6960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84" w:type="dxa"/>
            <w:vAlign w:val="center"/>
          </w:tcPr>
          <w:p w14:paraId="317C7ACD">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4" w:type="dxa"/>
            <w:vAlign w:val="center"/>
          </w:tcPr>
          <w:p w14:paraId="7D8F0880">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17B22EB7">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54" w:type="dxa"/>
            <w:vAlign w:val="center"/>
          </w:tcPr>
          <w:p w14:paraId="6BCBADDB">
            <w:pPr>
              <w:shd w:val="clear"/>
              <w:spacing w:line="500" w:lineRule="exact"/>
              <w:jc w:val="center"/>
              <w:rPr>
                <w:rFonts w:ascii="仿宋" w:hAnsi="仿宋" w:eastAsia="仿宋" w:cs="仿宋"/>
                <w:color w:val="auto"/>
                <w:sz w:val="24"/>
                <w:szCs w:val="20"/>
                <w:highlight w:val="none"/>
                <w:lang w:bidi="ar"/>
              </w:rPr>
            </w:pPr>
          </w:p>
        </w:tc>
      </w:tr>
      <w:tr w14:paraId="2EA1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84" w:type="dxa"/>
            <w:vAlign w:val="center"/>
          </w:tcPr>
          <w:p w14:paraId="21EB85E2">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4" w:type="dxa"/>
            <w:vAlign w:val="center"/>
          </w:tcPr>
          <w:p w14:paraId="126B3DBF">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5A6A8A7A">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54" w:type="dxa"/>
            <w:vAlign w:val="center"/>
          </w:tcPr>
          <w:p w14:paraId="38B3F4D7">
            <w:pPr>
              <w:shd w:val="clear"/>
              <w:spacing w:line="500" w:lineRule="exact"/>
              <w:jc w:val="center"/>
              <w:rPr>
                <w:rFonts w:ascii="仿宋" w:hAnsi="仿宋" w:eastAsia="仿宋" w:cs="仿宋"/>
                <w:color w:val="auto"/>
                <w:sz w:val="24"/>
                <w:szCs w:val="20"/>
                <w:highlight w:val="none"/>
                <w:lang w:bidi="ar"/>
              </w:rPr>
            </w:pPr>
          </w:p>
        </w:tc>
      </w:tr>
      <w:tr w14:paraId="1A0B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84" w:type="dxa"/>
            <w:vAlign w:val="center"/>
          </w:tcPr>
          <w:p w14:paraId="02B8B4DE">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4" w:type="dxa"/>
            <w:vAlign w:val="center"/>
          </w:tcPr>
          <w:p w14:paraId="59B240D4">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459974F4">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54" w:type="dxa"/>
            <w:vAlign w:val="center"/>
          </w:tcPr>
          <w:p w14:paraId="21921335">
            <w:pPr>
              <w:shd w:val="clear"/>
              <w:spacing w:line="500" w:lineRule="exact"/>
              <w:jc w:val="center"/>
              <w:rPr>
                <w:rFonts w:ascii="仿宋" w:hAnsi="仿宋" w:eastAsia="仿宋" w:cs="仿宋"/>
                <w:color w:val="auto"/>
                <w:sz w:val="24"/>
                <w:szCs w:val="20"/>
                <w:highlight w:val="none"/>
                <w:lang w:bidi="ar"/>
              </w:rPr>
            </w:pPr>
          </w:p>
        </w:tc>
      </w:tr>
      <w:tr w14:paraId="3988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538" w:type="dxa"/>
            <w:gridSpan w:val="2"/>
            <w:vAlign w:val="center"/>
          </w:tcPr>
          <w:p w14:paraId="357F5049">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4181" w:type="dxa"/>
            <w:gridSpan w:val="2"/>
            <w:vAlign w:val="center"/>
          </w:tcPr>
          <w:p w14:paraId="32F9782B">
            <w:pPr>
              <w:shd w:val="clear"/>
              <w:spacing w:line="500" w:lineRule="exact"/>
              <w:jc w:val="center"/>
              <w:rPr>
                <w:rFonts w:ascii="仿宋" w:hAnsi="仿宋" w:eastAsia="仿宋" w:cs="仿宋"/>
                <w:color w:val="auto"/>
                <w:sz w:val="24"/>
                <w:szCs w:val="20"/>
                <w:highlight w:val="none"/>
                <w:lang w:bidi="ar"/>
              </w:rPr>
            </w:pPr>
          </w:p>
        </w:tc>
      </w:tr>
      <w:tr w14:paraId="65F2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719" w:type="dxa"/>
            <w:gridSpan w:val="4"/>
            <w:vAlign w:val="center"/>
          </w:tcPr>
          <w:p w14:paraId="372C9CC4">
            <w:pPr>
              <w:shd w:val="clear"/>
              <w:spacing w:line="5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本人从业经历概述：</w:t>
            </w:r>
          </w:p>
          <w:p w14:paraId="4A95D77F">
            <w:pPr>
              <w:pStyle w:val="25"/>
              <w:shd w:val="clear"/>
              <w:ind w:firstLine="0" w:firstLineChars="0"/>
              <w:rPr>
                <w:rFonts w:hint="eastAsia" w:ascii="仿宋" w:hAnsi="仿宋" w:eastAsia="仿宋" w:cs="仿宋"/>
                <w:color w:val="auto"/>
                <w:highlight w:val="none"/>
                <w:lang w:val="en-US" w:eastAsia="zh-CN"/>
              </w:rPr>
            </w:pPr>
          </w:p>
        </w:tc>
      </w:tr>
    </w:tbl>
    <w:p w14:paraId="4C67C029">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身份证复印件、学历证书复印件及其他证明材料并加盖供应商公章</w:t>
      </w:r>
      <w:r>
        <w:rPr>
          <w:rFonts w:hint="eastAsia" w:ascii="仿宋" w:hAnsi="仿宋" w:eastAsia="仿宋" w:cs="仿宋"/>
          <w:bCs/>
          <w:color w:val="auto"/>
          <w:szCs w:val="21"/>
          <w:highlight w:val="none"/>
          <w:lang w:eastAsia="zh-CN" w:bidi="ar"/>
        </w:rPr>
        <w:t>；</w:t>
      </w:r>
    </w:p>
    <w:p w14:paraId="7287AF1A">
      <w:pPr>
        <w:shd w:val="clear"/>
        <w:spacing w:line="579" w:lineRule="exact"/>
        <w:ind w:firstLine="480" w:firstLineChars="200"/>
        <w:rPr>
          <w:rFonts w:ascii="仿宋" w:hAnsi="仿宋" w:eastAsia="仿宋" w:cs="仿宋"/>
          <w:color w:val="auto"/>
          <w:sz w:val="24"/>
          <w:szCs w:val="32"/>
          <w:highlight w:val="none"/>
          <w:lang w:eastAsia="zh-CN"/>
        </w:rPr>
      </w:pPr>
    </w:p>
    <w:p w14:paraId="06D53132">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218ABFEB">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852F32C">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25CEAA53">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05DACDF8">
      <w:pPr>
        <w:keepNext/>
        <w:keepLines/>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lang w:eastAsia="zh-CN"/>
        </w:rPr>
      </w:pPr>
    </w:p>
    <w:p w14:paraId="2A3DAAB6">
      <w:pPr>
        <w:keepNext/>
        <w:keepLines/>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lang w:eastAsia="zh-CN"/>
        </w:rPr>
      </w:pPr>
    </w:p>
    <w:p w14:paraId="7FBD4C2D">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2E66897D">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381F639C">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0704EBF1">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b/>
          <w:color w:val="auto"/>
          <w:sz w:val="24"/>
          <w:highlight w:val="none"/>
          <w:lang w:val="en-US" w:eastAsia="zh-CN"/>
        </w:rPr>
      </w:pPr>
    </w:p>
    <w:p w14:paraId="34B8CE83">
      <w:pPr>
        <w:shd w:val="clear"/>
        <w:spacing w:line="579" w:lineRule="exact"/>
        <w:jc w:val="center"/>
        <w:outlineLvl w:val="2"/>
        <w:rPr>
          <w:rFonts w:hint="default" w:ascii="仿宋" w:hAnsi="仿宋" w:eastAsia="仿宋" w:cs="仿宋"/>
          <w:b/>
          <w:color w:val="auto"/>
          <w:sz w:val="24"/>
          <w:highlight w:val="none"/>
          <w:lang w:val="en-US" w:eastAsia="zh-CN"/>
        </w:rPr>
      </w:pPr>
      <w:bookmarkStart w:id="207" w:name="_Toc13645"/>
      <w:r>
        <w:rPr>
          <w:rFonts w:hint="eastAsia" w:ascii="仿宋" w:hAnsi="仿宋" w:eastAsia="仿宋" w:cs="仿宋"/>
          <w:b/>
          <w:color w:val="auto"/>
          <w:sz w:val="24"/>
          <w:highlight w:val="none"/>
          <w:lang w:val="en-US" w:eastAsia="zh-CN"/>
        </w:rPr>
        <w:t>（六）技术部分</w:t>
      </w:r>
      <w:bookmarkEnd w:id="207"/>
    </w:p>
    <w:p w14:paraId="4902728E">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供应商根据本项目情况及评分细则</w:t>
      </w:r>
      <w:r>
        <w:rPr>
          <w:rFonts w:hint="eastAsia" w:ascii="仿宋" w:hAnsi="仿宋" w:eastAsia="仿宋" w:cs="仿宋"/>
          <w:color w:val="auto"/>
          <w:sz w:val="24"/>
          <w:szCs w:val="24"/>
          <w:highlight w:val="none"/>
          <w:lang w:val="en-US" w:eastAsia="zh-CN"/>
        </w:rPr>
        <w:t>提供技术部分评审资料，包括但不限于对本项目的理解与认识、组织架构方案、漏洞管理服务方案、渗透测试服务方案、安全服务工具先进性说明、质量保证措施、培训方案、应急预备方案等。</w:t>
      </w:r>
    </w:p>
    <w:p w14:paraId="6D205342">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default" w:ascii="仿宋" w:hAnsi="仿宋" w:eastAsia="仿宋" w:cs="仿宋"/>
          <w:b/>
          <w:color w:val="auto"/>
          <w:sz w:val="24"/>
          <w:highlight w:val="none"/>
          <w:lang w:val="en-US" w:eastAsia="zh-CN"/>
        </w:rPr>
      </w:pPr>
    </w:p>
    <w:p w14:paraId="14157FF6">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b/>
          <w:color w:val="auto"/>
          <w:sz w:val="24"/>
          <w:highlight w:val="none"/>
          <w:lang w:val="en-US" w:eastAsia="zh-CN"/>
        </w:rPr>
      </w:pPr>
    </w:p>
    <w:p w14:paraId="3A27986A">
      <w:pPr>
        <w:pStyle w:val="7"/>
        <w:shd w:val="clear"/>
        <w:ind w:firstLine="480"/>
        <w:rPr>
          <w:rFonts w:ascii="仿宋" w:hAnsi="仿宋" w:eastAsia="仿宋" w:cs="仿宋"/>
          <w:color w:val="auto"/>
          <w:sz w:val="24"/>
          <w:highlight w:val="none"/>
          <w:lang w:eastAsia="zh-CN" w:bidi="ar"/>
        </w:rPr>
      </w:pPr>
    </w:p>
    <w:p w14:paraId="1809B432">
      <w:pPr>
        <w:shd w:val="clear"/>
        <w:rPr>
          <w:color w:val="auto"/>
          <w:highlight w:val="none"/>
          <w:lang w:eastAsia="zh-CN"/>
        </w:rPr>
      </w:pPr>
    </w:p>
    <w:p w14:paraId="3C4F3324">
      <w:pPr>
        <w:pageBreakBefore w:val="0"/>
        <w:widowControl/>
        <w:shd w:val="clear"/>
        <w:kinsoku/>
        <w:wordWrap/>
        <w:overflowPunct/>
        <w:topLinePunct w:val="0"/>
        <w:autoSpaceDE/>
        <w:autoSpaceDN/>
        <w:bidi w:val="0"/>
        <w:adjustRightInd/>
        <w:snapToGrid/>
        <w:ind w:firstLine="480" w:firstLineChars="200"/>
        <w:textAlignment w:val="baseline"/>
        <w:outlineLvl w:val="9"/>
        <w:rPr>
          <w:rFonts w:hint="eastAsia" w:ascii="仿宋" w:hAnsi="仿宋" w:eastAsia="仿宋" w:cs="仿宋"/>
          <w:b w:val="0"/>
          <w:bCs w:val="0"/>
          <w:color w:val="auto"/>
          <w:sz w:val="24"/>
          <w:szCs w:val="24"/>
          <w:highlight w:val="none"/>
          <w:lang w:val="en-US" w:eastAsia="zh-CN"/>
        </w:rPr>
      </w:pPr>
    </w:p>
    <w:p w14:paraId="3D613CB6">
      <w:pPr>
        <w:pageBreakBefore w:val="0"/>
        <w:widowControl/>
        <w:shd w:val="clear"/>
        <w:kinsoku/>
        <w:wordWrap/>
        <w:overflowPunct/>
        <w:topLinePunct w:val="0"/>
        <w:autoSpaceDE/>
        <w:autoSpaceDN/>
        <w:bidi w:val="0"/>
        <w:adjustRightInd/>
        <w:snapToGrid/>
        <w:ind w:firstLine="480" w:firstLineChars="200"/>
        <w:textAlignment w:val="baseline"/>
        <w:outlineLvl w:val="9"/>
        <w:rPr>
          <w:rFonts w:hint="eastAsia" w:ascii="仿宋" w:hAnsi="仿宋" w:eastAsia="仿宋" w:cs="仿宋"/>
          <w:b w:val="0"/>
          <w:bCs w:val="0"/>
          <w:color w:val="auto"/>
          <w:sz w:val="24"/>
          <w:szCs w:val="24"/>
          <w:highlight w:val="none"/>
          <w:lang w:val="en-US" w:eastAsia="zh-CN"/>
        </w:rPr>
      </w:pPr>
    </w:p>
    <w:p w14:paraId="20957715">
      <w:pPr>
        <w:shd w:val="clear"/>
        <w:rPr>
          <w:color w:val="auto"/>
          <w:highlight w:val="none"/>
          <w:lang w:eastAsia="zh-CN"/>
        </w:rPr>
      </w:pPr>
    </w:p>
    <w:p w14:paraId="74649DFA">
      <w:pPr>
        <w:pStyle w:val="11"/>
        <w:shd w:val="clear"/>
        <w:rPr>
          <w:color w:val="auto"/>
          <w:highlight w:val="none"/>
          <w:lang w:eastAsia="zh-CN"/>
        </w:rPr>
      </w:pPr>
    </w:p>
    <w:p w14:paraId="7AF3C2C9">
      <w:pPr>
        <w:shd w:val="clear"/>
        <w:rPr>
          <w:color w:val="auto"/>
          <w:highlight w:val="none"/>
          <w:lang w:eastAsia="zh-CN"/>
        </w:rPr>
      </w:pPr>
    </w:p>
    <w:p w14:paraId="7E0ACD9E">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2B2F1D78">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B37D5AE">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76F04E0B">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3C0DD751">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4013C3BE">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7CA80EBD">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214470BA">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4D83AF20">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5684ED7F">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469DCE65">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1520A6EF">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2108CF17">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3E027081">
      <w:pPr>
        <w:rPr>
          <w:color w:val="auto"/>
          <w:highlight w:val="none"/>
          <w:lang w:eastAsia="zh-CN"/>
        </w:rPr>
      </w:pPr>
    </w:p>
    <w:p w14:paraId="5B5C46AB">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622FB3ED">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5C38FA15">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6B023AE8">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10B73400">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442354D3">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1C4D692F">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2A6B53E3">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4B54090F">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3256733F">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516EE911">
      <w:pPr>
        <w:shd w:val="clear"/>
        <w:spacing w:line="579" w:lineRule="exact"/>
        <w:jc w:val="center"/>
        <w:outlineLvl w:val="2"/>
        <w:rPr>
          <w:rFonts w:hint="default" w:ascii="仿宋" w:hAnsi="仿宋" w:eastAsia="仿宋" w:cs="仿宋"/>
          <w:b/>
          <w:color w:val="auto"/>
          <w:sz w:val="24"/>
          <w:highlight w:val="none"/>
          <w:lang w:val="en-US" w:eastAsia="zh-CN"/>
        </w:rPr>
      </w:pPr>
      <w:bookmarkStart w:id="208" w:name="_Toc22197"/>
      <w:r>
        <w:rPr>
          <w:rFonts w:hint="eastAsia" w:ascii="仿宋" w:hAnsi="仿宋" w:eastAsia="仿宋" w:cs="仿宋"/>
          <w:b/>
          <w:color w:val="auto"/>
          <w:sz w:val="24"/>
          <w:highlight w:val="none"/>
          <w:lang w:val="en-US" w:eastAsia="zh-CN"/>
        </w:rPr>
        <w:t>（七）售后服务承诺函</w:t>
      </w:r>
      <w:bookmarkEnd w:id="208"/>
    </w:p>
    <w:p w14:paraId="669D7EB6">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FDCB644">
      <w:pPr>
        <w:keepNext w:val="0"/>
        <w:keepLines w:val="0"/>
        <w:pageBreakBefore w:val="0"/>
        <w:widowControl/>
        <w:shd w:val="clear"/>
        <w:kinsoku/>
        <w:wordWrap/>
        <w:overflowPunct/>
        <w:topLinePunct w:val="0"/>
        <w:autoSpaceDE/>
        <w:autoSpaceDN/>
        <w:bidi w:val="0"/>
        <w:adjustRightInd/>
        <w:snapToGrid/>
        <w:spacing w:line="360" w:lineRule="auto"/>
        <w:textAlignment w:val="baseline"/>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（采购人）：</w:t>
      </w:r>
    </w:p>
    <w:p w14:paraId="6F2EA328">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我单位承诺，若我单位中标，在服务</w:t>
      </w:r>
      <w:r>
        <w:rPr>
          <w:rFonts w:hint="eastAsia" w:ascii="仿宋" w:hAnsi="仿宋" w:eastAsia="仿宋" w:cs="仿宋"/>
          <w:color w:val="auto"/>
          <w:sz w:val="24"/>
          <w:szCs w:val="24"/>
          <w:highlight w:val="none"/>
          <w:lang w:val="en-US" w:eastAsia="en-US"/>
        </w:rPr>
        <w:t>期内，一旦出现相应的安全事件，提供7*24的</w:t>
      </w:r>
      <w:r>
        <w:rPr>
          <w:rFonts w:hint="eastAsia" w:ascii="仿宋" w:hAnsi="仿宋" w:eastAsia="仿宋" w:cs="仿宋"/>
          <w:color w:val="auto"/>
          <w:sz w:val="24"/>
          <w:szCs w:val="24"/>
          <w:highlight w:val="none"/>
          <w:lang w:val="en-US" w:eastAsia="zh-CN"/>
        </w:rPr>
        <w:t>应急响应</w:t>
      </w:r>
      <w:r>
        <w:rPr>
          <w:rFonts w:hint="eastAsia" w:ascii="仿宋" w:hAnsi="仿宋" w:eastAsia="仿宋" w:cs="仿宋"/>
          <w:color w:val="auto"/>
          <w:sz w:val="24"/>
          <w:szCs w:val="24"/>
          <w:highlight w:val="none"/>
          <w:lang w:val="en-US" w:eastAsia="en-US"/>
        </w:rPr>
        <w:t>服务包括：不限次数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en-US"/>
        </w:rPr>
        <w:t>小时响应，</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en-US"/>
        </w:rPr>
        <w:t>小时抵达现场</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lang w:val="en-US" w:eastAsia="en-US"/>
        </w:rPr>
        <w:t>技术支持</w:t>
      </w:r>
      <w:r>
        <w:rPr>
          <w:rFonts w:hint="eastAsia" w:ascii="仿宋" w:hAnsi="仿宋" w:eastAsia="仿宋" w:cs="仿宋"/>
          <w:color w:val="auto"/>
          <w:sz w:val="24"/>
          <w:szCs w:val="24"/>
          <w:highlight w:val="none"/>
          <w:lang w:val="en-US" w:eastAsia="zh-CN"/>
        </w:rPr>
        <w:t>。</w:t>
      </w:r>
    </w:p>
    <w:p w14:paraId="4D24E6FD">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我单位承诺，在重要节假日、重要活动及用户指定时间内按照用户要求开展一年不少于20次渗透测试工作，在此基础上，承诺免费增加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次渗透测试工作。</w:t>
      </w:r>
    </w:p>
    <w:p w14:paraId="7B4CF944">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我单位承诺，若我单位中标，每季度完成漏洞扫描工作后，扫描结果需支持以xml文件方式导入厅本级态势感知平台，实现脆弱性管理监测。</w:t>
      </w:r>
    </w:p>
    <w:p w14:paraId="42B36FB7">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71BDA470">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1C8D31B8">
      <w:pPr>
        <w:rPr>
          <w:color w:val="auto"/>
          <w:highlight w:val="none"/>
          <w:lang w:eastAsia="zh-CN"/>
        </w:rPr>
      </w:pPr>
    </w:p>
    <w:p w14:paraId="2A6B0F30">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1AB61B0B">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28A6566B">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4254006C">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5902E38C">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5A170C89">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139CAAED">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2C909D1E">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16C08AC">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6DD2772D">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A62809A">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0AC90C60">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679238EE">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74332917">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3511E930">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79266027">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441D06BE">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2186E98D">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37B4915B">
      <w:pPr>
        <w:rPr>
          <w:color w:val="auto"/>
          <w:highlight w:val="none"/>
          <w:lang w:eastAsia="zh-CN"/>
        </w:rPr>
      </w:pPr>
    </w:p>
    <w:p w14:paraId="25F0BBA4">
      <w:pPr>
        <w:rPr>
          <w:color w:val="auto"/>
          <w:highlight w:val="none"/>
          <w:lang w:eastAsia="zh-CN"/>
        </w:rPr>
      </w:pPr>
    </w:p>
    <w:p w14:paraId="5D18BBCF">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52EAF816">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03A0AB54">
      <w:pPr>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051DE935">
      <w:pPr>
        <w:shd w:val="clear"/>
        <w:spacing w:line="579" w:lineRule="exact"/>
        <w:jc w:val="center"/>
        <w:outlineLvl w:val="2"/>
        <w:rPr>
          <w:rFonts w:ascii="仿宋" w:hAnsi="仿宋" w:eastAsia="仿宋" w:cs="仿宋"/>
          <w:b/>
          <w:color w:val="auto"/>
          <w:sz w:val="24"/>
          <w:highlight w:val="none"/>
          <w:lang w:eastAsia="zh-CN"/>
        </w:rPr>
      </w:pPr>
      <w:bookmarkStart w:id="209" w:name="_Toc11265"/>
      <w:bookmarkStart w:id="210" w:name="_Toc24900"/>
      <w:bookmarkStart w:id="211" w:name="_Toc6047"/>
      <w:bookmarkStart w:id="212" w:name="_Toc22758"/>
      <w:bookmarkStart w:id="213" w:name="_Toc4701"/>
      <w:bookmarkStart w:id="214" w:name="_Toc22554422"/>
      <w:bookmarkStart w:id="215" w:name="_Toc2340579"/>
      <w:bookmarkStart w:id="216" w:name="_Toc3891661"/>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lang w:eastAsia="zh-CN"/>
        </w:rPr>
        <w:t>条款偏离表</w:t>
      </w:r>
      <w:bookmarkEnd w:id="209"/>
      <w:bookmarkEnd w:id="210"/>
      <w:bookmarkEnd w:id="211"/>
      <w:bookmarkEnd w:id="212"/>
      <w:bookmarkEnd w:id="213"/>
    </w:p>
    <w:p w14:paraId="2D1DA923">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1219E5DA">
      <w:pPr>
        <w:shd w:val="clea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7"/>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477"/>
        <w:gridCol w:w="1509"/>
        <w:gridCol w:w="1048"/>
        <w:gridCol w:w="1968"/>
        <w:gridCol w:w="1960"/>
      </w:tblGrid>
      <w:tr w14:paraId="439A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2B8C795">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0164F1B0">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磋商文件要求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62376FA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磋商响应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DE6F3CD">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811C018">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42EABB1">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20FD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7D350911">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4643F6B3">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6919E5F7">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493DF22E">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539E0C3B">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0EC361B3">
            <w:pPr>
              <w:shd w:val="clear"/>
              <w:spacing w:line="579" w:lineRule="exact"/>
              <w:ind w:firstLine="440" w:firstLineChars="200"/>
              <w:rPr>
                <w:rFonts w:ascii="仿宋" w:hAnsi="仿宋" w:eastAsia="仿宋" w:cs="仿宋"/>
                <w:color w:val="auto"/>
                <w:highlight w:val="none"/>
              </w:rPr>
            </w:pPr>
          </w:p>
        </w:tc>
      </w:tr>
      <w:tr w14:paraId="415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749F6B07">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1BE995E5">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20CE5A48">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723CE157">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3D11FB8D">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5FFFD200">
            <w:pPr>
              <w:shd w:val="clear"/>
              <w:spacing w:line="579" w:lineRule="exact"/>
              <w:ind w:firstLine="440" w:firstLineChars="200"/>
              <w:rPr>
                <w:rFonts w:ascii="仿宋" w:hAnsi="仿宋" w:eastAsia="仿宋" w:cs="仿宋"/>
                <w:color w:val="auto"/>
                <w:highlight w:val="none"/>
              </w:rPr>
            </w:pPr>
          </w:p>
        </w:tc>
      </w:tr>
      <w:tr w14:paraId="0DF1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6101452B">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32DCD70E">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5CFD9CDA">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7866F876">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6E43D5DC">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172218E7">
            <w:pPr>
              <w:shd w:val="clear"/>
              <w:spacing w:line="579" w:lineRule="exact"/>
              <w:ind w:firstLine="440" w:firstLineChars="200"/>
              <w:rPr>
                <w:rFonts w:ascii="仿宋" w:hAnsi="仿宋" w:eastAsia="仿宋" w:cs="仿宋"/>
                <w:color w:val="auto"/>
                <w:highlight w:val="none"/>
              </w:rPr>
            </w:pPr>
          </w:p>
        </w:tc>
      </w:tr>
    </w:tbl>
    <w:p w14:paraId="53B98D9D">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586A92B4">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供应商应仔细研读、对照磋商文件规定的要求，偏离部分必须在上表中填写，并说明偏离情况。如不填写视同全部满足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文件要求。</w:t>
      </w:r>
    </w:p>
    <w:p w14:paraId="73C18863">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供应商承诺：除本表响应的偏离项目及内容外，其他所有项目及内容均完全与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文件的</w:t>
      </w:r>
      <w:r>
        <w:rPr>
          <w:rFonts w:hint="eastAsia" w:ascii="仿宋" w:hAnsi="仿宋" w:eastAsia="仿宋" w:cs="仿宋"/>
          <w:color w:val="auto"/>
          <w:sz w:val="24"/>
          <w:szCs w:val="20"/>
          <w:highlight w:val="none"/>
          <w:lang w:val="en-US" w:eastAsia="zh-CN" w:bidi="ar"/>
        </w:rPr>
        <w:t>商务</w:t>
      </w:r>
      <w:r>
        <w:rPr>
          <w:rFonts w:hint="eastAsia" w:ascii="仿宋" w:hAnsi="仿宋" w:eastAsia="仿宋" w:cs="仿宋"/>
          <w:color w:val="auto"/>
          <w:sz w:val="24"/>
          <w:szCs w:val="20"/>
          <w:highlight w:val="none"/>
          <w:lang w:eastAsia="zh-CN" w:bidi="ar"/>
        </w:rPr>
        <w:t>服务要求相同。</w:t>
      </w:r>
    </w:p>
    <w:p w14:paraId="10D1FDAE">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如供应商与要求完全一致，须在上表中注明“完全响应，无偏离”。</w:t>
      </w:r>
    </w:p>
    <w:p w14:paraId="3A8C70EF">
      <w:pPr>
        <w:shd w:val="clear"/>
        <w:spacing w:line="579" w:lineRule="exact"/>
        <w:ind w:firstLine="480" w:firstLineChars="20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0C1D3500">
      <w:pPr>
        <w:keepNext w:val="0"/>
        <w:keepLines w:val="0"/>
        <w:pageBreakBefore w:val="0"/>
        <w:widowControl/>
        <w:shd w:val="clear"/>
        <w:kinsoku/>
        <w:wordWrap/>
        <w:overflowPunct/>
        <w:topLinePunct w:val="0"/>
        <w:autoSpaceDE/>
        <w:autoSpaceDN/>
        <w:bidi w:val="0"/>
        <w:adjustRightInd/>
        <w:snapToGrid/>
        <w:outlineLvl w:val="9"/>
        <w:rPr>
          <w:color w:val="auto"/>
          <w:highlight w:val="none"/>
          <w:lang w:eastAsia="zh-CN"/>
        </w:rPr>
      </w:pPr>
    </w:p>
    <w:p w14:paraId="6B45A9BB">
      <w:pPr>
        <w:pStyle w:val="25"/>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2BDD3B78">
      <w:pPr>
        <w:pStyle w:val="25"/>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087BC975">
      <w:pPr>
        <w:shd w:val="clear"/>
        <w:rPr>
          <w:rFonts w:hint="default" w:ascii="仿宋" w:hAnsi="仿宋" w:eastAsia="仿宋" w:cs="仿宋"/>
          <w:color w:val="auto"/>
          <w:highlight w:val="none"/>
          <w:lang w:eastAsia="zh-CN"/>
        </w:rPr>
      </w:pPr>
    </w:p>
    <w:p w14:paraId="446C1D5E">
      <w:pPr>
        <w:keepNext w:val="0"/>
        <w:keepLines w:val="0"/>
        <w:pageBreakBefore w:val="0"/>
        <w:widowControl/>
        <w:shd w:val="clear"/>
        <w:kinsoku/>
        <w:wordWrap/>
        <w:overflowPunct/>
        <w:topLinePunct w:val="0"/>
        <w:autoSpaceDE/>
        <w:autoSpaceDN/>
        <w:bidi w:val="0"/>
        <w:adjustRightInd/>
        <w:snapToGrid/>
        <w:textAlignment w:val="auto"/>
        <w:outlineLvl w:val="9"/>
        <w:rPr>
          <w:rFonts w:hint="default"/>
          <w:color w:val="auto"/>
          <w:highlight w:val="none"/>
          <w:lang w:eastAsia="zh-CN"/>
        </w:rPr>
      </w:pPr>
    </w:p>
    <w:p w14:paraId="0315326D">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66909156">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5138AD40">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256137A9">
      <w:pPr>
        <w:keepNext w:val="0"/>
        <w:keepLines w:val="0"/>
        <w:pageBreakBefore w:val="0"/>
        <w:widowControl/>
        <w:shd w:val="clear"/>
        <w:kinsoku/>
        <w:wordWrap/>
        <w:overflowPunct/>
        <w:topLinePunct w:val="0"/>
        <w:autoSpaceDE/>
        <w:autoSpaceDN/>
        <w:bidi w:val="0"/>
        <w:adjustRightInd/>
        <w:snapToGrid/>
        <w:textAlignment w:val="auto"/>
        <w:outlineLvl w:val="9"/>
        <w:rPr>
          <w:color w:val="auto"/>
          <w:highlight w:val="none"/>
          <w:lang w:eastAsia="zh-CN"/>
        </w:rPr>
      </w:pPr>
    </w:p>
    <w:p w14:paraId="5DEF72BC">
      <w:pPr>
        <w:shd w:val="clear"/>
        <w:spacing w:line="579" w:lineRule="exact"/>
        <w:jc w:val="center"/>
        <w:outlineLvl w:val="2"/>
        <w:rPr>
          <w:rFonts w:ascii="仿宋" w:hAnsi="仿宋" w:eastAsia="仿宋" w:cs="仿宋"/>
          <w:b/>
          <w:color w:val="auto"/>
          <w:sz w:val="24"/>
          <w:highlight w:val="none"/>
          <w:lang w:eastAsia="zh-CN"/>
        </w:rPr>
      </w:pPr>
      <w:bookmarkStart w:id="217" w:name="_Toc4026"/>
      <w:bookmarkStart w:id="218" w:name="_Toc9472"/>
      <w:bookmarkStart w:id="219" w:name="_Toc14808"/>
      <w:bookmarkStart w:id="220" w:name="_Toc27794"/>
      <w:bookmarkStart w:id="221" w:name="_Toc22019"/>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lang w:eastAsia="zh-CN"/>
        </w:rPr>
        <w:t>）</w:t>
      </w:r>
      <w:bookmarkEnd w:id="214"/>
      <w:r>
        <w:rPr>
          <w:rFonts w:hint="eastAsia" w:ascii="仿宋" w:hAnsi="仿宋" w:eastAsia="仿宋" w:cs="仿宋"/>
          <w:b/>
          <w:color w:val="auto"/>
          <w:sz w:val="24"/>
          <w:highlight w:val="none"/>
          <w:lang w:val="en-US" w:eastAsia="zh-CN"/>
        </w:rPr>
        <w:t>技术（服务）</w:t>
      </w:r>
      <w:r>
        <w:rPr>
          <w:rFonts w:hint="eastAsia" w:ascii="仿宋" w:hAnsi="仿宋" w:eastAsia="仿宋" w:cs="仿宋"/>
          <w:b/>
          <w:color w:val="auto"/>
          <w:sz w:val="24"/>
          <w:highlight w:val="none"/>
          <w:lang w:eastAsia="zh-CN"/>
        </w:rPr>
        <w:t>条款偏离表</w:t>
      </w:r>
      <w:bookmarkEnd w:id="217"/>
      <w:bookmarkEnd w:id="218"/>
      <w:bookmarkEnd w:id="219"/>
      <w:bookmarkEnd w:id="220"/>
      <w:bookmarkEnd w:id="221"/>
    </w:p>
    <w:p w14:paraId="7FF63744">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16116B05">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7"/>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14:paraId="1DD8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385B4893">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2F0828A0">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1A7E77B1">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B69478C">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39A5530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07EA349F">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2C85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03EC57FE">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D5C996F">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05B15AC9">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10401213">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0C6B1C6">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2B523513">
            <w:pPr>
              <w:shd w:val="clear"/>
              <w:spacing w:line="579" w:lineRule="exact"/>
              <w:ind w:firstLine="440" w:firstLineChars="200"/>
              <w:rPr>
                <w:rFonts w:ascii="仿宋" w:hAnsi="仿宋" w:eastAsia="仿宋" w:cs="仿宋"/>
                <w:color w:val="auto"/>
                <w:highlight w:val="none"/>
              </w:rPr>
            </w:pPr>
          </w:p>
        </w:tc>
      </w:tr>
      <w:tr w14:paraId="35A3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0059F6C6">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4C0BCC3E">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6E7DE89">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04BFF9D5">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E7C46D1">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38E1DACB">
            <w:pPr>
              <w:shd w:val="clear"/>
              <w:spacing w:line="579" w:lineRule="exact"/>
              <w:ind w:firstLine="440" w:firstLineChars="200"/>
              <w:rPr>
                <w:rFonts w:ascii="仿宋" w:hAnsi="仿宋" w:eastAsia="仿宋" w:cs="仿宋"/>
                <w:color w:val="auto"/>
                <w:highlight w:val="none"/>
              </w:rPr>
            </w:pPr>
          </w:p>
        </w:tc>
      </w:tr>
      <w:tr w14:paraId="25C9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1650043A">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5E9A98DB">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66306B6">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5873C00B">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58CC9CB9">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2FB73703">
            <w:pPr>
              <w:shd w:val="clear"/>
              <w:spacing w:line="579" w:lineRule="exact"/>
              <w:ind w:firstLine="440" w:firstLineChars="200"/>
              <w:rPr>
                <w:rFonts w:ascii="仿宋" w:hAnsi="仿宋" w:eastAsia="仿宋" w:cs="仿宋"/>
                <w:color w:val="auto"/>
                <w:highlight w:val="none"/>
              </w:rPr>
            </w:pPr>
          </w:p>
        </w:tc>
      </w:tr>
      <w:tr w14:paraId="2A24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224044CB">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1F9312C5">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0A2154D7">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4EB26143">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695A454A">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5CA609DF">
            <w:pPr>
              <w:shd w:val="clear"/>
              <w:spacing w:line="579" w:lineRule="exact"/>
              <w:ind w:firstLine="440" w:firstLineChars="200"/>
              <w:rPr>
                <w:rFonts w:ascii="仿宋" w:hAnsi="仿宋" w:eastAsia="仿宋" w:cs="仿宋"/>
                <w:color w:val="auto"/>
                <w:highlight w:val="none"/>
              </w:rPr>
            </w:pPr>
          </w:p>
        </w:tc>
      </w:tr>
      <w:tr w14:paraId="0B90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16B07A64">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4497A098">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3273F6A">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840C413">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31314A69">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3C43C646">
            <w:pPr>
              <w:shd w:val="clear"/>
              <w:spacing w:line="579" w:lineRule="exact"/>
              <w:ind w:firstLine="440" w:firstLineChars="200"/>
              <w:rPr>
                <w:rFonts w:ascii="仿宋" w:hAnsi="仿宋" w:eastAsia="仿宋" w:cs="仿宋"/>
                <w:color w:val="auto"/>
                <w:highlight w:val="none"/>
              </w:rPr>
            </w:pPr>
          </w:p>
        </w:tc>
      </w:tr>
    </w:tbl>
    <w:p w14:paraId="110EFFD0">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7C796302">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供应商应仔细研读、对照磋商文件第三部分的要求，偏离部分必须在上表中填写，并说明偏离情况。如不填写视同全部满足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文件要求。</w:t>
      </w:r>
    </w:p>
    <w:p w14:paraId="3F4B8E1B">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供应商承诺：除本表响应的偏离项目及内容外，其他所有项目及内容均完全与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文件的技术及服务要求相同。</w:t>
      </w:r>
    </w:p>
    <w:p w14:paraId="502F8AB4">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如供应商与要求完全一致，须在上表中注明“完全响应，无偏离”。</w:t>
      </w:r>
    </w:p>
    <w:p w14:paraId="2710AD9C">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37D75F13">
      <w:pPr>
        <w:pStyle w:val="25"/>
        <w:shd w:val="clear"/>
        <w:spacing w:after="0" w:line="579" w:lineRule="exact"/>
        <w:ind w:left="0" w:leftChars="0" w:firstLine="0" w:firstLineChars="0"/>
        <w:rPr>
          <w:rFonts w:hint="default" w:ascii="仿宋" w:hAnsi="仿宋" w:eastAsia="仿宋" w:cs="仿宋"/>
          <w:color w:val="auto"/>
          <w:highlight w:val="none"/>
          <w:lang w:eastAsia="zh-CN"/>
        </w:rPr>
      </w:pPr>
    </w:p>
    <w:p w14:paraId="71FC0225">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2B095075">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67FEB41B">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43512C4B">
      <w:pPr>
        <w:pStyle w:val="11"/>
        <w:shd w:val="clear"/>
        <w:rPr>
          <w:rFonts w:hint="eastAsia" w:ascii="仿宋" w:hAnsi="仿宋" w:eastAsia="仿宋" w:cs="仿宋"/>
          <w:color w:val="auto"/>
          <w:sz w:val="24"/>
          <w:szCs w:val="32"/>
          <w:highlight w:val="none"/>
          <w:lang w:eastAsia="zh-CN"/>
        </w:rPr>
      </w:pPr>
    </w:p>
    <w:p w14:paraId="21FCD292">
      <w:pPr>
        <w:pStyle w:val="18"/>
        <w:shd w:val="clear"/>
        <w:rPr>
          <w:rFonts w:hint="eastAsia" w:ascii="仿宋" w:hAnsi="仿宋" w:eastAsia="仿宋" w:cs="仿宋"/>
          <w:color w:val="auto"/>
          <w:sz w:val="24"/>
          <w:szCs w:val="32"/>
          <w:highlight w:val="none"/>
          <w:lang w:eastAsia="zh-CN"/>
        </w:rPr>
      </w:pPr>
    </w:p>
    <w:p w14:paraId="28AFABEF">
      <w:pPr>
        <w:pStyle w:val="8"/>
        <w:shd w:val="clear"/>
        <w:rPr>
          <w:color w:val="auto"/>
          <w:highlight w:val="none"/>
          <w:lang w:eastAsia="zh-CN"/>
        </w:rPr>
      </w:pP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15"/>
    <w:bookmarkEnd w:id="216"/>
    <w:p w14:paraId="475CAE9D">
      <w:pPr>
        <w:shd w:val="clear"/>
        <w:spacing w:line="579" w:lineRule="exact"/>
        <w:jc w:val="center"/>
        <w:outlineLvl w:val="2"/>
        <w:rPr>
          <w:rFonts w:hint="eastAsia" w:ascii="仿宋" w:hAnsi="仿宋" w:eastAsia="仿宋" w:cs="仿宋"/>
          <w:b/>
          <w:color w:val="auto"/>
          <w:sz w:val="24"/>
          <w:highlight w:val="none"/>
          <w:lang w:eastAsia="zh-CN"/>
        </w:rPr>
      </w:pPr>
      <w:bookmarkStart w:id="222" w:name="_Toc5880"/>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lang w:eastAsia="zh-CN"/>
        </w:rPr>
        <w:t>）供应商企业类型声明函</w:t>
      </w:r>
      <w:bookmarkEnd w:id="222"/>
    </w:p>
    <w:p w14:paraId="52C19036">
      <w:pPr>
        <w:shd w:val="clear"/>
        <w:tabs>
          <w:tab w:val="left" w:pos="3975"/>
        </w:tabs>
        <w:spacing w:line="440" w:lineRule="exact"/>
        <w:ind w:firstLine="482" w:firstLineChars="200"/>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eastAsia="zh-CN"/>
        </w:rPr>
        <w:t>-1、中小微企业声明函</w:t>
      </w:r>
    </w:p>
    <w:p w14:paraId="50B83C18">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bidi="ar"/>
        </w:rPr>
        <w:t>《中小企业声明函》（服务）</w:t>
      </w:r>
    </w:p>
    <w:p w14:paraId="040A78D5">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7102483A">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02706D69">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7028CFC7">
      <w:pPr>
        <w:shd w:val="clear"/>
        <w:spacing w:line="579" w:lineRule="exac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0C6F27BD">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6CD3FC83">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04BFDD65">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2E3B94C2">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327D4C18">
      <w:pPr>
        <w:shd w:val="clear"/>
        <w:spacing w:line="579"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p>
    <w:p w14:paraId="381D0722">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2B23C09F">
      <w:pPr>
        <w:shd w:val="clear"/>
        <w:tabs>
          <w:tab w:val="left" w:pos="3975"/>
        </w:tabs>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eastAsia="zh-CN"/>
        </w:rPr>
        <w:t>-2</w:t>
      </w:r>
      <w:r>
        <w:rPr>
          <w:rFonts w:hint="eastAsia" w:ascii="仿宋" w:hAnsi="仿宋" w:eastAsia="仿宋" w:cs="仿宋"/>
          <w:color w:val="auto"/>
          <w:sz w:val="24"/>
          <w:highlight w:val="none"/>
          <w:lang w:eastAsia="zh-CN"/>
        </w:rPr>
        <w:tab/>
      </w:r>
      <w:r>
        <w:rPr>
          <w:rFonts w:hint="eastAsia" w:ascii="仿宋" w:hAnsi="仿宋" w:eastAsia="仿宋" w:cs="仿宋"/>
          <w:b/>
          <w:color w:val="auto"/>
          <w:sz w:val="24"/>
          <w:highlight w:val="none"/>
          <w:lang w:eastAsia="zh-CN"/>
        </w:rPr>
        <w:t>监狱企业声明函</w:t>
      </w:r>
    </w:p>
    <w:p w14:paraId="3D83CD1D">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（监狱企业适用）</w:t>
      </w:r>
    </w:p>
    <w:p w14:paraId="5AF45085">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本公司郑重声明，根据《关于政府采购支持监狱企业发展有关问题的通知》（财库[2014]68号）的规定，本公司为监狱企业。</w:t>
      </w:r>
    </w:p>
    <w:p w14:paraId="7C5C104E">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本公司参加______单位的______项目采购活动，采购活动提供本企业（填写制造的货物，由本企业承担工程、提供服务）。</w:t>
      </w:r>
    </w:p>
    <w:p w14:paraId="4D3BC572">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本条所称货物不包括使用大型企业注册商标的货物和服务。</w:t>
      </w:r>
    </w:p>
    <w:p w14:paraId="4E0835B7">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本公司对上述声明的真实性负责。如有虚假，将依法承担相应责任。</w:t>
      </w:r>
    </w:p>
    <w:p w14:paraId="13C0F5AE">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3BC65E52">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企业名称（盖公章）：</w:t>
      </w:r>
    </w:p>
    <w:p w14:paraId="1D4F6B20">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法定代表人（负责人）或其授权代表(签字)：</w:t>
      </w:r>
    </w:p>
    <w:p w14:paraId="7CAE3F0F">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p>
    <w:p w14:paraId="1CFDE253">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772C875E">
      <w:pPr>
        <w:shd w:val="clear"/>
        <w:tabs>
          <w:tab w:val="left" w:pos="3975"/>
        </w:tabs>
        <w:spacing w:line="440" w:lineRule="exact"/>
        <w:ind w:firstLine="482" w:firstLineChars="200"/>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lang w:eastAsia="zh-CN"/>
        </w:rPr>
        <w:t>-3残疾人福利性单位声明函</w:t>
      </w:r>
    </w:p>
    <w:p w14:paraId="40846DB8">
      <w:pPr>
        <w:shd w:val="clear"/>
        <w:tabs>
          <w:tab w:val="left" w:pos="3975"/>
        </w:tabs>
        <w:spacing w:line="440" w:lineRule="exact"/>
        <w:ind w:firstLine="482" w:firstLineChars="200"/>
        <w:rPr>
          <w:rFonts w:ascii="仿宋" w:hAnsi="仿宋" w:eastAsia="仿宋" w:cs="仿宋"/>
          <w:b/>
          <w:bCs/>
          <w:color w:val="auto"/>
          <w:sz w:val="24"/>
          <w:highlight w:val="none"/>
          <w:lang w:eastAsia="zh-CN"/>
        </w:rPr>
      </w:pPr>
    </w:p>
    <w:p w14:paraId="16F3D6F8">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BF6189">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本单位对上述声明的真实性负责。如有虚假，将依法承担相应责任。                               </w:t>
      </w:r>
    </w:p>
    <w:p w14:paraId="2E44A192">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58782BBE">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单位名称（盖章）：</w:t>
      </w:r>
    </w:p>
    <w:p w14:paraId="4350E6F0">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w:t>
      </w:r>
    </w:p>
    <w:p w14:paraId="55F137D9">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b/>
          <w:color w:val="auto"/>
          <w:sz w:val="24"/>
          <w:highlight w:val="none"/>
          <w:lang w:eastAsia="zh-CN"/>
        </w:rPr>
      </w:pPr>
    </w:p>
    <w:p w14:paraId="638A032F">
      <w:pPr>
        <w:pStyle w:val="25"/>
        <w:shd w:val="clear"/>
        <w:ind w:firstLine="241"/>
        <w:rPr>
          <w:rFonts w:hint="default" w:ascii="仿宋" w:hAnsi="仿宋" w:eastAsia="仿宋" w:cs="仿宋"/>
          <w:b/>
          <w:color w:val="auto"/>
          <w:highlight w:val="none"/>
          <w:lang w:eastAsia="zh-CN"/>
        </w:rPr>
      </w:pPr>
    </w:p>
    <w:p w14:paraId="60C3EA11">
      <w:pPr>
        <w:pStyle w:val="25"/>
        <w:shd w:val="clear"/>
        <w:ind w:firstLine="241"/>
        <w:rPr>
          <w:rFonts w:hint="default" w:ascii="仿宋" w:hAnsi="仿宋" w:eastAsia="仿宋" w:cs="仿宋"/>
          <w:b/>
          <w:color w:val="auto"/>
          <w:highlight w:val="none"/>
          <w:lang w:eastAsia="zh-CN"/>
        </w:rPr>
      </w:pPr>
    </w:p>
    <w:p w14:paraId="15A5D564">
      <w:pPr>
        <w:shd w:val="clear"/>
        <w:rPr>
          <w:rFonts w:hint="default" w:ascii="仿宋" w:hAnsi="仿宋" w:eastAsia="仿宋" w:cs="仿宋"/>
          <w:b/>
          <w:color w:val="auto"/>
          <w:highlight w:val="none"/>
          <w:lang w:eastAsia="zh-CN"/>
        </w:rPr>
      </w:pPr>
    </w:p>
    <w:p w14:paraId="7F84B1A8">
      <w:pPr>
        <w:keepNext/>
        <w:keepLines/>
        <w:pageBreakBefore w:val="0"/>
        <w:widowControl/>
        <w:shd w:val="clear"/>
        <w:kinsoku/>
        <w:wordWrap/>
        <w:overflowPunct/>
        <w:topLinePunct w:val="0"/>
        <w:autoSpaceDE/>
        <w:autoSpaceDN/>
        <w:bidi w:val="0"/>
        <w:adjustRightInd/>
        <w:snapToGrid/>
        <w:textAlignment w:val="baseline"/>
        <w:outlineLvl w:val="9"/>
        <w:rPr>
          <w:rFonts w:hint="default"/>
          <w:color w:val="auto"/>
          <w:highlight w:val="none"/>
          <w:lang w:eastAsia="zh-CN"/>
        </w:rPr>
      </w:pPr>
    </w:p>
    <w:p w14:paraId="6E3DA0B4">
      <w:pPr>
        <w:pStyle w:val="25"/>
        <w:shd w:val="clear"/>
        <w:ind w:firstLine="241"/>
        <w:rPr>
          <w:rFonts w:hint="default" w:ascii="仿宋" w:hAnsi="仿宋" w:eastAsia="仿宋" w:cs="仿宋"/>
          <w:b/>
          <w:color w:val="auto"/>
          <w:highlight w:val="none"/>
          <w:lang w:eastAsia="zh-CN"/>
        </w:rPr>
      </w:pPr>
    </w:p>
    <w:p w14:paraId="189AB888">
      <w:pPr>
        <w:shd w:val="clear"/>
        <w:spacing w:line="579" w:lineRule="exact"/>
        <w:jc w:val="center"/>
        <w:outlineLvl w:val="2"/>
        <w:rPr>
          <w:rFonts w:ascii="仿宋" w:hAnsi="仿宋" w:eastAsia="仿宋" w:cs="仿宋"/>
          <w:b/>
          <w:color w:val="auto"/>
          <w:sz w:val="24"/>
          <w:highlight w:val="none"/>
          <w:lang w:eastAsia="zh-CN"/>
        </w:rPr>
      </w:pPr>
      <w:bookmarkStart w:id="223" w:name="_Toc7885"/>
      <w:bookmarkStart w:id="224" w:name="_Toc1692"/>
      <w:bookmarkStart w:id="225" w:name="_Toc8476"/>
      <w:bookmarkStart w:id="226" w:name="_Toc12596"/>
      <w:bookmarkStart w:id="227" w:name="_Toc29252"/>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lang w:eastAsia="zh-CN"/>
        </w:rPr>
        <w:t>）供应商认为有必要提交的其他资料</w:t>
      </w:r>
      <w:bookmarkEnd w:id="206"/>
      <w:bookmarkEnd w:id="223"/>
      <w:bookmarkEnd w:id="224"/>
      <w:bookmarkEnd w:id="225"/>
      <w:bookmarkEnd w:id="226"/>
      <w:bookmarkEnd w:id="227"/>
    </w:p>
    <w:p w14:paraId="2BBDC891">
      <w:pPr>
        <w:shd w:val="clear"/>
        <w:spacing w:line="50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供应商应提交的其它资料应包括：</w:t>
      </w:r>
    </w:p>
    <w:p w14:paraId="48E7D071">
      <w:pPr>
        <w:shd w:val="clea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）评分细则提及或供应商认为需要提供的其他说明和资料。</w:t>
      </w:r>
    </w:p>
    <w:p w14:paraId="3CDC74BA">
      <w:pPr>
        <w:shd w:val="clea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0"/>
          <w:highlight w:val="none"/>
          <w:lang w:eastAsia="zh-CN" w:bidi="ar"/>
        </w:rPr>
        <w:t>磋商</w:t>
      </w:r>
      <w:r>
        <w:rPr>
          <w:rFonts w:hint="eastAsia" w:ascii="仿宋" w:hAnsi="仿宋" w:eastAsia="仿宋" w:cs="仿宋"/>
          <w:color w:val="auto"/>
          <w:sz w:val="24"/>
          <w:highlight w:val="none"/>
          <w:lang w:eastAsia="zh-CN"/>
        </w:rPr>
        <w:t>文件要求提供的其它资料等；</w:t>
      </w:r>
    </w:p>
    <w:p w14:paraId="58A20726">
      <w:pPr>
        <w:shd w:val="clea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highlight w:val="none"/>
          <w:lang w:val="en-US" w:eastAsia="zh-CN"/>
        </w:rPr>
        <w:t>（3）单位账户信息（用于退还保证金）</w:t>
      </w:r>
    </w:p>
    <w:p w14:paraId="1A0ACA93">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账户名称：</w:t>
      </w:r>
    </w:p>
    <w:p w14:paraId="2B1DCA11">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统一社会信用代码：</w:t>
      </w:r>
    </w:p>
    <w:p w14:paraId="07F551E5">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账户号码：</w:t>
      </w:r>
    </w:p>
    <w:p w14:paraId="61058B9C">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开户行：</w:t>
      </w:r>
    </w:p>
    <w:p w14:paraId="1D502B59">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开户行号：</w:t>
      </w:r>
    </w:p>
    <w:p w14:paraId="0B641E16">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单位地址：</w:t>
      </w:r>
    </w:p>
    <w:p w14:paraId="56D14BF0">
      <w:pP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联系电话：</w:t>
      </w:r>
    </w:p>
    <w:p w14:paraId="3B5FCE83">
      <w:pPr>
        <w:pStyle w:val="80"/>
        <w:rPr>
          <w:color w:val="auto"/>
          <w:highlight w:val="none"/>
          <w:lang w:eastAsia="zh-CN"/>
        </w:rPr>
      </w:pPr>
    </w:p>
    <w:p w14:paraId="598538A3">
      <w:pPr>
        <w:shd w:val="clear"/>
        <w:spacing w:line="455" w:lineRule="exact"/>
        <w:jc w:val="center"/>
        <w:rPr>
          <w:rStyle w:val="35"/>
          <w:rFonts w:ascii="仿宋" w:hAnsi="仿宋" w:eastAsia="仿宋" w:cs="仿宋"/>
          <w:color w:val="auto"/>
          <w:highlight w:val="none"/>
          <w:lang w:eastAsia="zh-CN"/>
        </w:rPr>
      </w:pPr>
    </w:p>
    <w:sectPr>
      <w:headerReference r:id="rId7" w:type="first"/>
      <w:headerReference r:id="rId6" w:type="default"/>
      <w:pgSz w:w="11906" w:h="16838"/>
      <w:pgMar w:top="1440" w:right="1701"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01CC">
    <w:pPr>
      <w:pStyle w:val="38"/>
      <w:spacing w:line="14" w:lineRule="auto"/>
      <w:ind w:left="0"/>
      <w:rPr>
        <w:rStyle w:val="35"/>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14:paraId="1A762D52"/>
                      </w:txbxContent>
                    </wps:txbx>
                    <wps:bodyPr rot="0" vert="horz" wrap="square" lIns="0" tIns="0" rIns="0" bIns="0" anchor="t" anchorCtr="0" upright="1">
                      <a:noAutofit/>
                    </wps:bodyPr>
                  </wps:wsp>
                </a:graphicData>
              </a:graphic>
            </wp:anchor>
          </w:drawing>
        </mc:Choice>
        <mc:Fallback>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14:paraId="1A762D5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1951">
    <w:pPr>
      <w:pStyle w:val="38"/>
      <w:spacing w:line="14" w:lineRule="auto"/>
      <w:ind w:left="0"/>
      <w:rPr>
        <w:rStyle w:val="35"/>
        <w:sz w:val="12"/>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1765"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51765" cy="1828800"/>
                      </a:xfrm>
                      <a:prstGeom prst="rect">
                        <a:avLst/>
                      </a:prstGeom>
                      <a:noFill/>
                      <a:ln>
                        <a:noFill/>
                      </a:ln>
                    </wps:spPr>
                    <wps:txbx>
                      <w:txbxContent>
                        <w:p w14:paraId="0B05E5BF">
                          <w:pPr>
                            <w:pStyle w:val="18"/>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文本框 5" o:spid="_x0000_s1026" o:spt="202" type="#_x0000_t202" style="position:absolute;left:0pt;margin-top:0pt;height:144pt;width:11.95pt;mso-position-horizontal:center;mso-position-horizontal-relative:margin;z-index:251661312;mso-width-relative:page;mso-height-relative:page;" filled="f" stroked="f" coordsize="21600,21600" o:gfxdata="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4o8rdIAAAAEAQAADwAAAAAAAAABACAAAAAiAAAAZHJz&#10;L2Rvd25yZXYueG1sUEsBAhQAFAAAAAgAh07iQJPYxY/RAQAAmgMAAA4AAAAAAAAAAQAgAAAAIQEA&#10;AGRycy9lMm9Eb2MueG1sUEsFBgAAAAAGAAYAWQEAAGQFAAAAAA==&#10;">
              <v:fill on="f" focussize="0,0"/>
              <v:stroke on="f"/>
              <v:imagedata o:title=""/>
              <o:lock v:ext="edit" aspectratio="f"/>
              <v:textbox inset="0mm,0mm,0mm,0mm" style="mso-fit-shape-to-text:t;">
                <w:txbxContent>
                  <w:p w14:paraId="0B05E5BF">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77CC14A7"/>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14:paraId="77CC14A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D6B5">
    <w:pPr>
      <w:pStyle w:val="38"/>
      <w:spacing w:line="14" w:lineRule="auto"/>
      <w:ind w:left="0"/>
      <w:rPr>
        <w:rStyle w:val="35"/>
        <w:sz w:val="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4B86E">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B84B86E">
                    <w:pPr>
                      <w:pStyle w:val="18"/>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33B62326"/>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14:paraId="33B6232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5A34">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DF9B">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876EB"/>
    <w:multiLevelType w:val="multilevel"/>
    <w:tmpl w:val="0F4876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DBE9D3"/>
    <w:multiLevelType w:val="multilevel"/>
    <w:tmpl w:val="1EDBE9D3"/>
    <w:lvl w:ilvl="0" w:tentative="0">
      <w:start w:val="1"/>
      <w:numFmt w:val="japaneseCounting"/>
      <w:lvlText w:val="%1、"/>
      <w:lvlJc w:val="left"/>
      <w:pPr>
        <w:ind w:left="1280" w:hanging="7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suff w:val="nothing"/>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M2Q4NWI2ZGQ1YmNmNWQyN2FlMmQ0NGU0MDk5NmU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1AEB"/>
    <w:rsid w:val="00352940"/>
    <w:rsid w:val="00365579"/>
    <w:rsid w:val="003832E3"/>
    <w:rsid w:val="00392F10"/>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65433"/>
    <w:rsid w:val="00681C19"/>
    <w:rsid w:val="006841C7"/>
    <w:rsid w:val="006B247C"/>
    <w:rsid w:val="006C4F7F"/>
    <w:rsid w:val="00702DD4"/>
    <w:rsid w:val="00710DAD"/>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433C2"/>
    <w:rsid w:val="00863BFB"/>
    <w:rsid w:val="00880ADE"/>
    <w:rsid w:val="00892716"/>
    <w:rsid w:val="00897799"/>
    <w:rsid w:val="008C4CBC"/>
    <w:rsid w:val="008E1F45"/>
    <w:rsid w:val="008F2038"/>
    <w:rsid w:val="008F5180"/>
    <w:rsid w:val="009045D2"/>
    <w:rsid w:val="00922922"/>
    <w:rsid w:val="00941EC0"/>
    <w:rsid w:val="00952036"/>
    <w:rsid w:val="00955023"/>
    <w:rsid w:val="00963CC2"/>
    <w:rsid w:val="00965C49"/>
    <w:rsid w:val="00996FCF"/>
    <w:rsid w:val="009A0C0F"/>
    <w:rsid w:val="009A22F1"/>
    <w:rsid w:val="009A4B2F"/>
    <w:rsid w:val="009B08D8"/>
    <w:rsid w:val="009B1509"/>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1567841"/>
    <w:rsid w:val="01B47468"/>
    <w:rsid w:val="027B6439"/>
    <w:rsid w:val="037C7496"/>
    <w:rsid w:val="047D5273"/>
    <w:rsid w:val="0495145E"/>
    <w:rsid w:val="05675ECF"/>
    <w:rsid w:val="06AB7970"/>
    <w:rsid w:val="094B3F58"/>
    <w:rsid w:val="09D80212"/>
    <w:rsid w:val="0BA9426E"/>
    <w:rsid w:val="0D7908E3"/>
    <w:rsid w:val="0DA22D0C"/>
    <w:rsid w:val="0E2D4B6B"/>
    <w:rsid w:val="0EB32594"/>
    <w:rsid w:val="0FEF7528"/>
    <w:rsid w:val="12154A1A"/>
    <w:rsid w:val="12294638"/>
    <w:rsid w:val="133D311B"/>
    <w:rsid w:val="13C17A29"/>
    <w:rsid w:val="14F17494"/>
    <w:rsid w:val="15DC6C15"/>
    <w:rsid w:val="167C1C3C"/>
    <w:rsid w:val="16DD3805"/>
    <w:rsid w:val="17DD7839"/>
    <w:rsid w:val="18064177"/>
    <w:rsid w:val="184E71FB"/>
    <w:rsid w:val="185A1AA5"/>
    <w:rsid w:val="18A47AFC"/>
    <w:rsid w:val="18BA4890"/>
    <w:rsid w:val="18BA4947"/>
    <w:rsid w:val="18BC4EA1"/>
    <w:rsid w:val="197C6776"/>
    <w:rsid w:val="199A737C"/>
    <w:rsid w:val="19F824A4"/>
    <w:rsid w:val="1A4641E0"/>
    <w:rsid w:val="1A5F5EDE"/>
    <w:rsid w:val="1D23624F"/>
    <w:rsid w:val="1D594FC0"/>
    <w:rsid w:val="1E0C3B6A"/>
    <w:rsid w:val="1EE06ED7"/>
    <w:rsid w:val="1F514488"/>
    <w:rsid w:val="20473C4C"/>
    <w:rsid w:val="218203C8"/>
    <w:rsid w:val="21DD71FC"/>
    <w:rsid w:val="221E1A8A"/>
    <w:rsid w:val="22D80503"/>
    <w:rsid w:val="22DE3B19"/>
    <w:rsid w:val="230170A3"/>
    <w:rsid w:val="24AF703C"/>
    <w:rsid w:val="24C53D08"/>
    <w:rsid w:val="2570695E"/>
    <w:rsid w:val="259E3EC8"/>
    <w:rsid w:val="26FE42F5"/>
    <w:rsid w:val="275D555D"/>
    <w:rsid w:val="276C1002"/>
    <w:rsid w:val="27F07987"/>
    <w:rsid w:val="27F47186"/>
    <w:rsid w:val="289536A8"/>
    <w:rsid w:val="28E83D31"/>
    <w:rsid w:val="29170A26"/>
    <w:rsid w:val="293E3E40"/>
    <w:rsid w:val="2BD12BE5"/>
    <w:rsid w:val="2C181A0F"/>
    <w:rsid w:val="2C9F01B4"/>
    <w:rsid w:val="2D6B0EDD"/>
    <w:rsid w:val="2D941D0F"/>
    <w:rsid w:val="2E683BD1"/>
    <w:rsid w:val="2FDE1B0D"/>
    <w:rsid w:val="305B5EDD"/>
    <w:rsid w:val="317E736B"/>
    <w:rsid w:val="31A37E74"/>
    <w:rsid w:val="323F16FE"/>
    <w:rsid w:val="327A4E06"/>
    <w:rsid w:val="34112D93"/>
    <w:rsid w:val="34BF5A78"/>
    <w:rsid w:val="359F765A"/>
    <w:rsid w:val="35C613E9"/>
    <w:rsid w:val="365244E9"/>
    <w:rsid w:val="37BA3643"/>
    <w:rsid w:val="390C7E91"/>
    <w:rsid w:val="39767B13"/>
    <w:rsid w:val="39C5159A"/>
    <w:rsid w:val="3AA52863"/>
    <w:rsid w:val="3BB52F3F"/>
    <w:rsid w:val="3C6329B0"/>
    <w:rsid w:val="3C673A15"/>
    <w:rsid w:val="3CC8229C"/>
    <w:rsid w:val="3D475B6E"/>
    <w:rsid w:val="3DAD5802"/>
    <w:rsid w:val="3E43534C"/>
    <w:rsid w:val="3E7266F9"/>
    <w:rsid w:val="3ED51E49"/>
    <w:rsid w:val="3F253C47"/>
    <w:rsid w:val="3F261F20"/>
    <w:rsid w:val="3FAC4174"/>
    <w:rsid w:val="41C1381D"/>
    <w:rsid w:val="41EE068E"/>
    <w:rsid w:val="429F4609"/>
    <w:rsid w:val="42D703E3"/>
    <w:rsid w:val="43235FF4"/>
    <w:rsid w:val="436E5BE5"/>
    <w:rsid w:val="43FB6126"/>
    <w:rsid w:val="4482351C"/>
    <w:rsid w:val="45C02C36"/>
    <w:rsid w:val="466167A9"/>
    <w:rsid w:val="469E17E5"/>
    <w:rsid w:val="47532C9A"/>
    <w:rsid w:val="479D7A34"/>
    <w:rsid w:val="47B70A16"/>
    <w:rsid w:val="47C4574E"/>
    <w:rsid w:val="47EA7940"/>
    <w:rsid w:val="47ED307D"/>
    <w:rsid w:val="48632CA6"/>
    <w:rsid w:val="4AD32296"/>
    <w:rsid w:val="4B036A00"/>
    <w:rsid w:val="4BCE12D7"/>
    <w:rsid w:val="4C3E0CA3"/>
    <w:rsid w:val="4C7B0965"/>
    <w:rsid w:val="4D2838FC"/>
    <w:rsid w:val="4F117CA0"/>
    <w:rsid w:val="4F4A531F"/>
    <w:rsid w:val="4FA53E52"/>
    <w:rsid w:val="4FEE0B5A"/>
    <w:rsid w:val="505670DF"/>
    <w:rsid w:val="51E840F3"/>
    <w:rsid w:val="51FC76AB"/>
    <w:rsid w:val="52072D6D"/>
    <w:rsid w:val="52773F4A"/>
    <w:rsid w:val="539A0E2A"/>
    <w:rsid w:val="53A25146"/>
    <w:rsid w:val="54521051"/>
    <w:rsid w:val="5473011D"/>
    <w:rsid w:val="54BD45AE"/>
    <w:rsid w:val="55495648"/>
    <w:rsid w:val="558B4C6C"/>
    <w:rsid w:val="56846B43"/>
    <w:rsid w:val="56E04EE6"/>
    <w:rsid w:val="57C3211F"/>
    <w:rsid w:val="582D4969"/>
    <w:rsid w:val="585767E0"/>
    <w:rsid w:val="596C5D33"/>
    <w:rsid w:val="59CC77BF"/>
    <w:rsid w:val="5A1409AD"/>
    <w:rsid w:val="5A510752"/>
    <w:rsid w:val="5AE8181F"/>
    <w:rsid w:val="5B992327"/>
    <w:rsid w:val="5BD078B1"/>
    <w:rsid w:val="5C2D0D2B"/>
    <w:rsid w:val="5D597F76"/>
    <w:rsid w:val="5E6A32E8"/>
    <w:rsid w:val="5E7269DF"/>
    <w:rsid w:val="5EFD5B80"/>
    <w:rsid w:val="5F291A96"/>
    <w:rsid w:val="5F467786"/>
    <w:rsid w:val="5F51659D"/>
    <w:rsid w:val="5FC07AF8"/>
    <w:rsid w:val="60732927"/>
    <w:rsid w:val="6075653D"/>
    <w:rsid w:val="62D85159"/>
    <w:rsid w:val="630A1DE1"/>
    <w:rsid w:val="630F445E"/>
    <w:rsid w:val="64247748"/>
    <w:rsid w:val="656E64FE"/>
    <w:rsid w:val="65E36874"/>
    <w:rsid w:val="65EE2DFD"/>
    <w:rsid w:val="661D4897"/>
    <w:rsid w:val="66F83B86"/>
    <w:rsid w:val="675F5880"/>
    <w:rsid w:val="68321382"/>
    <w:rsid w:val="683C1DE5"/>
    <w:rsid w:val="6896732F"/>
    <w:rsid w:val="68F072E5"/>
    <w:rsid w:val="6A1E6767"/>
    <w:rsid w:val="6B226F0A"/>
    <w:rsid w:val="6B7A2760"/>
    <w:rsid w:val="6C5A5B54"/>
    <w:rsid w:val="6D79057F"/>
    <w:rsid w:val="6EDD7D36"/>
    <w:rsid w:val="6FF37E5C"/>
    <w:rsid w:val="73AE628E"/>
    <w:rsid w:val="7449525A"/>
    <w:rsid w:val="78633ED9"/>
    <w:rsid w:val="78A72549"/>
    <w:rsid w:val="78F24BCC"/>
    <w:rsid w:val="796E7C36"/>
    <w:rsid w:val="7C6C3C5E"/>
    <w:rsid w:val="7C835899"/>
    <w:rsid w:val="7CE56503"/>
    <w:rsid w:val="7D026909"/>
    <w:rsid w:val="7D8D08ED"/>
    <w:rsid w:val="7E447259"/>
    <w:rsid w:val="7E5D350D"/>
    <w:rsid w:val="7E697975"/>
    <w:rsid w:val="7EF57DE7"/>
    <w:rsid w:val="7F8909CB"/>
    <w:rsid w:val="7FF14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宋体" w:hAnsi="宋体" w:eastAsia="宋体" w:cs="Times New Roman"/>
      <w:sz w:val="22"/>
      <w:szCs w:val="22"/>
      <w:lang w:val="en-US" w:eastAsia="en-US" w:bidi="ar-SA"/>
    </w:rPr>
  </w:style>
  <w:style w:type="paragraph" w:styleId="2">
    <w:name w:val="heading 1"/>
    <w:basedOn w:val="1"/>
    <w:next w:val="1"/>
    <w:link w:val="52"/>
    <w:autoRedefine/>
    <w:qFormat/>
    <w:uiPriority w:val="9"/>
    <w:pPr>
      <w:spacing w:before="100" w:beforeAutospacing="1" w:after="100" w:afterAutospacing="1"/>
      <w:textAlignment w:val="auto"/>
      <w:outlineLvl w:val="0"/>
    </w:pPr>
    <w:rPr>
      <w:rFonts w:cs="宋体"/>
      <w:b/>
      <w:bCs/>
      <w:kern w:val="36"/>
      <w:sz w:val="48"/>
      <w:szCs w:val="48"/>
      <w:lang w:eastAsia="zh-CN"/>
    </w:rPr>
  </w:style>
  <w:style w:type="paragraph" w:styleId="3">
    <w:name w:val="heading 2"/>
    <w:basedOn w:val="1"/>
    <w:next w:val="1"/>
    <w:autoRedefine/>
    <w:unhideWhenUsed/>
    <w:qFormat/>
    <w:uiPriority w:val="0"/>
    <w:pPr>
      <w:keepNext/>
      <w:keepLines/>
      <w:spacing w:before="120" w:after="120" w:line="360" w:lineRule="auto"/>
      <w:ind w:firstLine="562" w:firstLineChars="200"/>
      <w:jc w:val="center"/>
      <w:outlineLvl w:val="1"/>
    </w:pPr>
    <w:rPr>
      <w:rFonts w:hint="eastAsia" w:hAnsi="Times New Roman"/>
      <w:b/>
      <w:sz w:val="32"/>
      <w:szCs w:val="20"/>
    </w:rPr>
  </w:style>
  <w:style w:type="paragraph" w:styleId="4">
    <w:name w:val="heading 3"/>
    <w:basedOn w:val="1"/>
    <w:next w:val="1"/>
    <w:autoRedefine/>
    <w:unhideWhenUsed/>
    <w:qFormat/>
    <w:uiPriority w:val="0"/>
    <w:pPr>
      <w:keepNext/>
      <w:keepLines/>
      <w:spacing w:before="120" w:after="120" w:line="360" w:lineRule="auto"/>
      <w:outlineLvl w:val="2"/>
    </w:pPr>
    <w:rPr>
      <w:rFonts w:hint="eastAsia" w:hAnsi="Times New Roman"/>
      <w:b/>
      <w:sz w:val="24"/>
      <w:szCs w:val="20"/>
    </w:rPr>
  </w:style>
  <w:style w:type="paragraph" w:styleId="5">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semiHidden/>
    <w:qFormat/>
    <w:uiPriority w:val="0"/>
    <w:pPr>
      <w:ind w:left="420" w:leftChars="200"/>
    </w:pPr>
  </w:style>
  <w:style w:type="paragraph" w:styleId="7">
    <w:name w:val="Normal Indent"/>
    <w:basedOn w:val="1"/>
    <w:next w:val="1"/>
    <w:autoRedefine/>
    <w:qFormat/>
    <w:uiPriority w:val="0"/>
    <w:pPr>
      <w:spacing w:line="360" w:lineRule="auto"/>
      <w:ind w:firstLine="200" w:firstLineChars="200"/>
    </w:pPr>
    <w:rPr>
      <w:rFonts w:ascii="Times New Roman" w:hAnsi="Times New Roman"/>
      <w:sz w:val="28"/>
      <w:szCs w:val="20"/>
    </w:rPr>
  </w:style>
  <w:style w:type="paragraph" w:styleId="8">
    <w:name w:val="index 5"/>
    <w:basedOn w:val="1"/>
    <w:next w:val="1"/>
    <w:autoRedefine/>
    <w:qFormat/>
    <w:uiPriority w:val="0"/>
    <w:pPr>
      <w:ind w:left="1680"/>
    </w:pPr>
  </w:style>
  <w:style w:type="paragraph" w:styleId="9">
    <w:name w:val="toa heading"/>
    <w:basedOn w:val="1"/>
    <w:next w:val="1"/>
    <w:autoRedefine/>
    <w:qFormat/>
    <w:uiPriority w:val="0"/>
    <w:pPr>
      <w:spacing w:before="120"/>
    </w:pPr>
    <w:rPr>
      <w:rFonts w:ascii="Cambria" w:hAnsi="Cambria"/>
      <w:sz w:val="24"/>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
    <w:autoRedefine/>
    <w:qFormat/>
    <w:uiPriority w:val="0"/>
    <w:pPr>
      <w:spacing w:after="120"/>
      <w:ind w:left="420" w:leftChars="200"/>
    </w:pPr>
    <w:rPr>
      <w:rFonts w:ascii="Times New Roman" w:hAnsi="Times New Roman"/>
      <w:sz w:val="20"/>
      <w:szCs w:val="24"/>
    </w:rPr>
  </w:style>
  <w:style w:type="paragraph" w:styleId="13">
    <w:name w:val="toc 3"/>
    <w:basedOn w:val="1"/>
    <w:next w:val="1"/>
    <w:autoRedefine/>
    <w:semiHidden/>
    <w:unhideWhenUsed/>
    <w:qFormat/>
    <w:uiPriority w:val="39"/>
    <w:pPr>
      <w:ind w:left="840" w:leftChars="400"/>
    </w:pPr>
  </w:style>
  <w:style w:type="paragraph" w:styleId="14">
    <w:name w:val="Plain Text"/>
    <w:basedOn w:val="1"/>
    <w:autoRedefine/>
    <w:qFormat/>
    <w:uiPriority w:val="0"/>
    <w:rPr>
      <w:rFonts w:ascii="宋体" w:hAnsi="Times New Roman"/>
      <w:szCs w:val="24"/>
    </w:rPr>
  </w:style>
  <w:style w:type="paragraph" w:styleId="15">
    <w:name w:val="Date"/>
    <w:basedOn w:val="1"/>
    <w:next w:val="1"/>
    <w:autoRedefine/>
    <w:qFormat/>
    <w:uiPriority w:val="0"/>
    <w:rPr>
      <w:rFonts w:ascii="Arial" w:hAnsi="Arial" w:cs="Arial"/>
      <w:b/>
      <w:sz w:val="28"/>
    </w:rPr>
  </w:style>
  <w:style w:type="paragraph" w:styleId="16">
    <w:name w:val="Body Text Indent 2"/>
    <w:basedOn w:val="1"/>
    <w:autoRedefine/>
    <w:qFormat/>
    <w:uiPriority w:val="99"/>
    <w:pPr>
      <w:ind w:firstLine="480"/>
    </w:pPr>
    <w:rPr>
      <w:rFonts w:asciiTheme="minorHAnsi" w:hAnsiTheme="minorHAnsi" w:eastAsiaTheme="minorEastAsia" w:cstheme="minorBidi"/>
    </w:rPr>
  </w:style>
  <w:style w:type="paragraph" w:styleId="17">
    <w:name w:val="Balloon Text"/>
    <w:basedOn w:val="1"/>
    <w:link w:val="65"/>
    <w:autoRedefine/>
    <w:semiHidden/>
    <w:unhideWhenUsed/>
    <w:qFormat/>
    <w:uiPriority w:val="99"/>
    <w:rPr>
      <w:sz w:val="18"/>
      <w:szCs w:val="18"/>
    </w:rPr>
  </w:style>
  <w:style w:type="paragraph" w:styleId="18">
    <w:name w:val="footer"/>
    <w:basedOn w:val="1"/>
    <w:link w:val="51"/>
    <w:autoRedefine/>
    <w:qFormat/>
    <w:uiPriority w:val="0"/>
    <w:pPr>
      <w:tabs>
        <w:tab w:val="center" w:pos="4153"/>
        <w:tab w:val="right" w:pos="8306"/>
      </w:tabs>
      <w:snapToGrid w:val="0"/>
    </w:pPr>
    <w:rPr>
      <w:sz w:val="18"/>
      <w:szCs w:val="18"/>
    </w:rPr>
  </w:style>
  <w:style w:type="paragraph" w:styleId="19">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semiHidden/>
    <w:unhideWhenUsed/>
    <w:qFormat/>
    <w:uiPriority w:val="39"/>
  </w:style>
  <w:style w:type="paragraph" w:styleId="21">
    <w:name w:val="Subtitle"/>
    <w:basedOn w:val="1"/>
    <w:next w:val="1"/>
    <w:autoRedefine/>
    <w:qFormat/>
    <w:uiPriority w:val="11"/>
    <w:pPr>
      <w:widowControl w:val="0"/>
      <w:autoSpaceDE w:val="0"/>
      <w:autoSpaceDN w:val="0"/>
      <w:spacing w:before="240" w:after="60" w:line="240" w:lineRule="exact"/>
      <w:ind w:firstLine="0" w:firstLineChars="0"/>
      <w:jc w:val="center"/>
      <w:outlineLvl w:val="1"/>
    </w:pPr>
    <w:rPr>
      <w:rFonts w:asciiTheme="majorHAnsi" w:hAnsiTheme="majorHAnsi" w:eastAsiaTheme="majorEastAsia" w:cstheme="majorBidi"/>
      <w:bCs/>
      <w:kern w:val="28"/>
      <w:sz w:val="24"/>
      <w:szCs w:val="32"/>
    </w:rPr>
  </w:style>
  <w:style w:type="paragraph" w:styleId="22">
    <w:name w:val="toc 2"/>
    <w:basedOn w:val="1"/>
    <w:next w:val="1"/>
    <w:autoRedefine/>
    <w:semiHidden/>
    <w:unhideWhenUsed/>
    <w:qFormat/>
    <w:uiPriority w:val="39"/>
    <w:pPr>
      <w:ind w:left="420" w:leftChars="200"/>
    </w:pPr>
  </w:style>
  <w:style w:type="paragraph" w:styleId="23">
    <w:name w:val="Normal (Web)"/>
    <w:basedOn w:val="1"/>
    <w:autoRedefine/>
    <w:qFormat/>
    <w:uiPriority w:val="99"/>
    <w:pPr>
      <w:spacing w:before="100" w:beforeAutospacing="1" w:after="100" w:afterAutospacing="1"/>
      <w:textAlignment w:val="auto"/>
    </w:pPr>
    <w:rPr>
      <w:rFonts w:cs="宋体"/>
      <w:sz w:val="24"/>
      <w:szCs w:val="24"/>
      <w:lang w:eastAsia="zh-CN"/>
    </w:rPr>
  </w:style>
  <w:style w:type="paragraph" w:styleId="24">
    <w:name w:val="Title"/>
    <w:basedOn w:val="1"/>
    <w:next w:val="1"/>
    <w:autoRedefine/>
    <w:qFormat/>
    <w:uiPriority w:val="0"/>
    <w:pPr>
      <w:adjustRightInd w:val="0"/>
      <w:snapToGrid w:val="0"/>
      <w:spacing w:before="120" w:after="120"/>
      <w:outlineLvl w:val="0"/>
    </w:pPr>
    <w:rPr>
      <w:rFonts w:ascii="黑体" w:hAnsi="Times New Roman" w:cs="Times New Roman"/>
      <w:b/>
      <w:snapToGrid w:val="0"/>
      <w:kern w:val="0"/>
      <w:szCs w:val="20"/>
    </w:rPr>
  </w:style>
  <w:style w:type="paragraph" w:styleId="25">
    <w:name w:val="Body Text First Indent"/>
    <w:basedOn w:val="11"/>
    <w:next w:val="1"/>
    <w:autoRedefine/>
    <w:qFormat/>
    <w:uiPriority w:val="0"/>
    <w:pPr>
      <w:spacing w:line="360" w:lineRule="auto"/>
      <w:ind w:firstLine="420" w:firstLineChars="100"/>
    </w:pPr>
    <w:rPr>
      <w:rFonts w:hint="eastAsia"/>
      <w:sz w:val="24"/>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Hyperlink"/>
    <w:basedOn w:val="29"/>
    <w:autoRedefine/>
    <w:qFormat/>
    <w:uiPriority w:val="99"/>
    <w:rPr>
      <w:color w:val="0657AB"/>
      <w:u w:val="none"/>
    </w:rPr>
  </w:style>
  <w:style w:type="character" w:styleId="32">
    <w:name w:val="HTML Sample"/>
    <w:basedOn w:val="29"/>
    <w:autoRedefine/>
    <w:qFormat/>
    <w:uiPriority w:val="0"/>
    <w:rPr>
      <w:rFonts w:ascii="Courier New" w:hAnsi="Courier New"/>
    </w:rPr>
  </w:style>
  <w:style w:type="paragraph" w:customStyle="1" w:styleId="33">
    <w:name w:val="标题 5（有编号）（绿盟科技）"/>
    <w:basedOn w:val="1"/>
    <w:next w:val="34"/>
    <w:autoRedefine/>
    <w:qFormat/>
    <w:uiPriority w:val="0"/>
    <w:pPr>
      <w:keepNext/>
      <w:keepLines/>
      <w:spacing w:before="280" w:after="156" w:line="377" w:lineRule="auto"/>
      <w:outlineLvl w:val="4"/>
    </w:pPr>
    <w:rPr>
      <w:rFonts w:ascii="Arial" w:hAnsi="Arial" w:eastAsia="黑体"/>
      <w:b/>
      <w:sz w:val="24"/>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5">
    <w:name w:val="NormalCharacter"/>
    <w:autoRedefine/>
    <w:qFormat/>
    <w:uiPriority w:val="0"/>
  </w:style>
  <w:style w:type="table" w:customStyle="1" w:styleId="36">
    <w:name w:val="TableNormal"/>
    <w:autoRedefine/>
    <w:qFormat/>
    <w:uiPriority w:val="0"/>
    <w:tblPr>
      <w:tblCellMar>
        <w:top w:w="0" w:type="dxa"/>
        <w:left w:w="0" w:type="dxa"/>
        <w:bottom w:w="0" w:type="dxa"/>
        <w:right w:w="0" w:type="dxa"/>
      </w:tblCellMar>
    </w:tblPr>
  </w:style>
  <w:style w:type="paragraph" w:customStyle="1" w:styleId="37">
    <w:name w:val="UserStyle_0"/>
    <w:basedOn w:val="1"/>
    <w:next w:val="1"/>
    <w:autoRedefine/>
    <w:qFormat/>
    <w:uiPriority w:val="0"/>
    <w:pPr>
      <w:ind w:firstLine="560"/>
    </w:pPr>
  </w:style>
  <w:style w:type="paragraph" w:customStyle="1" w:styleId="38">
    <w:name w:val="BodyText"/>
    <w:basedOn w:val="1"/>
    <w:autoRedefine/>
    <w:qFormat/>
    <w:uiPriority w:val="0"/>
    <w:pPr>
      <w:ind w:left="109"/>
    </w:pPr>
    <w:rPr>
      <w:sz w:val="24"/>
      <w:szCs w:val="24"/>
    </w:rPr>
  </w:style>
  <w:style w:type="paragraph" w:customStyle="1" w:styleId="39">
    <w:name w:val="BodyText1I"/>
    <w:basedOn w:val="38"/>
    <w:autoRedefine/>
    <w:qFormat/>
    <w:uiPriority w:val="0"/>
    <w:pPr>
      <w:ind w:firstLine="420" w:firstLineChars="100"/>
      <w:jc w:val="center"/>
    </w:pPr>
    <w:rPr>
      <w:rFonts w:cs="宋体"/>
      <w:b/>
      <w:bCs/>
      <w:kern w:val="2"/>
      <w:sz w:val="36"/>
    </w:rPr>
  </w:style>
  <w:style w:type="paragraph" w:customStyle="1" w:styleId="40">
    <w:name w:val="UserStyle_1"/>
    <w:basedOn w:val="1"/>
    <w:autoRedefine/>
    <w:qFormat/>
    <w:uiPriority w:val="0"/>
    <w:pPr>
      <w:ind w:left="54"/>
      <w:jc w:val="center"/>
    </w:pPr>
    <w:rPr>
      <w:rFonts w:cs="宋体"/>
      <w:b/>
      <w:bCs/>
      <w:sz w:val="40"/>
      <w:szCs w:val="40"/>
    </w:rPr>
  </w:style>
  <w:style w:type="paragraph" w:customStyle="1" w:styleId="41">
    <w:name w:val="UserStyle_2"/>
    <w:basedOn w:val="1"/>
    <w:autoRedefine/>
    <w:qFormat/>
    <w:uiPriority w:val="0"/>
    <w:pPr>
      <w:jc w:val="center"/>
    </w:pPr>
    <w:rPr>
      <w:rFonts w:cs="宋体"/>
      <w:b/>
      <w:bCs/>
      <w:sz w:val="36"/>
      <w:szCs w:val="36"/>
    </w:rPr>
  </w:style>
  <w:style w:type="paragraph" w:customStyle="1" w:styleId="42">
    <w:name w:val="UserStyle_3"/>
    <w:basedOn w:val="1"/>
    <w:autoRedefine/>
    <w:qFormat/>
    <w:uiPriority w:val="0"/>
    <w:pPr>
      <w:ind w:left="23"/>
      <w:jc w:val="center"/>
    </w:pPr>
    <w:rPr>
      <w:rFonts w:cs="宋体"/>
      <w:b/>
      <w:bCs/>
      <w:sz w:val="30"/>
      <w:szCs w:val="30"/>
    </w:rPr>
  </w:style>
  <w:style w:type="paragraph" w:customStyle="1" w:styleId="43">
    <w:name w:val="UserStyle_4"/>
    <w:basedOn w:val="1"/>
    <w:autoRedefine/>
    <w:qFormat/>
    <w:uiPriority w:val="0"/>
  </w:style>
  <w:style w:type="table" w:customStyle="1" w:styleId="44">
    <w:name w:val="UserStyle_5"/>
    <w:autoRedefine/>
    <w:qFormat/>
    <w:uiPriority w:val="0"/>
    <w:tblPr>
      <w:tblCellMar>
        <w:top w:w="0" w:type="dxa"/>
        <w:left w:w="0" w:type="dxa"/>
        <w:bottom w:w="0" w:type="dxa"/>
        <w:right w:w="0" w:type="dxa"/>
      </w:tblCellMar>
    </w:tblPr>
  </w:style>
  <w:style w:type="paragraph" w:customStyle="1" w:styleId="45">
    <w:name w:val="UserStyle_6"/>
    <w:basedOn w:val="1"/>
    <w:autoRedefine/>
    <w:qFormat/>
    <w:uiPriority w:val="0"/>
    <w:pPr>
      <w:spacing w:before="31"/>
      <w:ind w:left="591"/>
    </w:pPr>
    <w:rPr>
      <w:rFonts w:cs="宋体"/>
      <w:b/>
      <w:bCs/>
      <w:sz w:val="24"/>
      <w:szCs w:val="24"/>
    </w:rPr>
  </w:style>
  <w:style w:type="paragraph" w:customStyle="1" w:styleId="46">
    <w:name w:val="UserStyle_7"/>
    <w:basedOn w:val="1"/>
    <w:autoRedefine/>
    <w:qFormat/>
    <w:uiPriority w:val="0"/>
    <w:pPr>
      <w:ind w:left="152"/>
      <w:jc w:val="center"/>
    </w:pPr>
    <w:rPr>
      <w:rFonts w:cs="宋体"/>
      <w:b/>
      <w:bCs/>
      <w:sz w:val="32"/>
      <w:szCs w:val="32"/>
    </w:rPr>
  </w:style>
  <w:style w:type="paragraph" w:customStyle="1" w:styleId="47">
    <w:name w:val="179"/>
    <w:basedOn w:val="1"/>
    <w:autoRedefine/>
    <w:qFormat/>
    <w:uiPriority w:val="0"/>
    <w:pPr>
      <w:spacing w:before="31"/>
      <w:ind w:left="109" w:firstLine="480"/>
    </w:pPr>
  </w:style>
  <w:style w:type="paragraph" w:customStyle="1" w:styleId="48">
    <w:name w:val="UserStyle_8"/>
    <w:basedOn w:val="1"/>
    <w:autoRedefine/>
    <w:qFormat/>
    <w:uiPriority w:val="0"/>
    <w:pPr>
      <w:ind w:left="109"/>
    </w:pPr>
    <w:rPr>
      <w:rFonts w:cs="宋体"/>
      <w:b/>
      <w:bCs/>
      <w:sz w:val="28"/>
      <w:szCs w:val="28"/>
    </w:rPr>
  </w:style>
  <w:style w:type="paragraph" w:customStyle="1" w:styleId="49">
    <w:name w:val="UserStyle_9"/>
    <w:basedOn w:val="1"/>
    <w:autoRedefine/>
    <w:qFormat/>
    <w:uiPriority w:val="0"/>
    <w:pPr>
      <w:ind w:firstLine="420" w:firstLineChars="200"/>
    </w:pPr>
  </w:style>
  <w:style w:type="character" w:customStyle="1" w:styleId="50">
    <w:name w:val="页眉 字符"/>
    <w:basedOn w:val="29"/>
    <w:link w:val="19"/>
    <w:autoRedefine/>
    <w:qFormat/>
    <w:uiPriority w:val="99"/>
    <w:rPr>
      <w:rFonts w:ascii="宋体" w:hAnsi="宋体"/>
      <w:sz w:val="18"/>
      <w:szCs w:val="18"/>
      <w:lang w:eastAsia="en-US"/>
    </w:rPr>
  </w:style>
  <w:style w:type="character" w:customStyle="1" w:styleId="51">
    <w:name w:val="页脚 字符"/>
    <w:basedOn w:val="29"/>
    <w:link w:val="18"/>
    <w:autoRedefine/>
    <w:qFormat/>
    <w:uiPriority w:val="0"/>
    <w:rPr>
      <w:rFonts w:ascii="宋体" w:hAnsi="宋体"/>
      <w:sz w:val="18"/>
      <w:szCs w:val="18"/>
      <w:lang w:eastAsia="en-US"/>
    </w:rPr>
  </w:style>
  <w:style w:type="character" w:customStyle="1" w:styleId="52">
    <w:name w:val="标题 1 字符"/>
    <w:basedOn w:val="29"/>
    <w:link w:val="2"/>
    <w:autoRedefine/>
    <w:qFormat/>
    <w:uiPriority w:val="9"/>
    <w:rPr>
      <w:rFonts w:ascii="宋体" w:hAnsi="宋体" w:cs="宋体"/>
      <w:b/>
      <w:bCs/>
      <w:kern w:val="36"/>
      <w:sz w:val="48"/>
      <w:szCs w:val="48"/>
    </w:rPr>
  </w:style>
  <w:style w:type="paragraph" w:customStyle="1" w:styleId="53">
    <w:name w:val="detail-info"/>
    <w:basedOn w:val="1"/>
    <w:autoRedefine/>
    <w:qFormat/>
    <w:uiPriority w:val="0"/>
    <w:pPr>
      <w:spacing w:before="100" w:beforeAutospacing="1" w:after="100" w:afterAutospacing="1"/>
      <w:textAlignment w:val="auto"/>
    </w:pPr>
    <w:rPr>
      <w:rFonts w:cs="宋体"/>
      <w:sz w:val="24"/>
      <w:szCs w:val="24"/>
      <w:lang w:eastAsia="zh-CN"/>
    </w:rPr>
  </w:style>
  <w:style w:type="character" w:customStyle="1" w:styleId="54">
    <w:name w:val="bookmark-item"/>
    <w:basedOn w:val="29"/>
    <w:autoRedefine/>
    <w:qFormat/>
    <w:uiPriority w:val="0"/>
  </w:style>
  <w:style w:type="paragraph" w:styleId="55">
    <w:name w:val="List Paragraph"/>
    <w:basedOn w:val="1"/>
    <w:autoRedefine/>
    <w:qFormat/>
    <w:uiPriority w:val="34"/>
    <w:pPr>
      <w:ind w:firstLine="420" w:firstLineChars="200"/>
    </w:pPr>
  </w:style>
  <w:style w:type="paragraph" w:customStyle="1" w:styleId="56">
    <w:name w:val="标书正文"/>
    <w:basedOn w:val="1"/>
    <w:autoRedefine/>
    <w:qFormat/>
    <w:uiPriority w:val="0"/>
    <w:pPr>
      <w:spacing w:line="560" w:lineRule="exact"/>
      <w:ind w:firstLine="723" w:firstLineChars="200"/>
      <w:jc w:val="center"/>
    </w:pPr>
    <w:rPr>
      <w:rFonts w:ascii="仿宋_GB2312" w:hAnsi="Calibri" w:eastAsia="仿宋_GB2312"/>
      <w:b/>
      <w:sz w:val="36"/>
      <w:szCs w:val="24"/>
    </w:rPr>
  </w:style>
  <w:style w:type="paragraph" w:customStyle="1" w:styleId="5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8">
    <w:name w:val="Table Paragraph"/>
    <w:basedOn w:val="1"/>
    <w:autoRedefine/>
    <w:qFormat/>
    <w:uiPriority w:val="1"/>
    <w:pPr>
      <w:widowControl w:val="0"/>
      <w:autoSpaceDE w:val="0"/>
      <w:autoSpaceDN w:val="0"/>
      <w:textAlignment w:val="auto"/>
    </w:pPr>
    <w:rPr>
      <w:rFonts w:cs="宋体"/>
      <w:lang w:eastAsia="zh-CN"/>
    </w:rPr>
  </w:style>
  <w:style w:type="paragraph" w:customStyle="1" w:styleId="59">
    <w:name w:val="正文 A"/>
    <w:basedOn w:val="1"/>
    <w:autoRedefine/>
    <w:qFormat/>
    <w:uiPriority w:val="0"/>
    <w:pPr>
      <w:pBdr>
        <w:top w:val="none" w:color="FFFFFF" w:sz="0" w:space="0"/>
        <w:left w:val="none" w:color="FFFFFF" w:sz="0" w:space="0"/>
        <w:bottom w:val="none" w:color="FFFFFF" w:sz="0" w:space="0"/>
        <w:right w:val="none" w:color="FFFFFF" w:sz="0" w:space="0"/>
      </w:pBdr>
    </w:pPr>
    <w:rPr>
      <w:rFonts w:ascii="Times New Roman" w:hAnsi="Times New Roman"/>
      <w:color w:val="000000"/>
      <w:szCs w:val="21"/>
    </w:rPr>
  </w:style>
  <w:style w:type="paragraph" w:customStyle="1" w:styleId="60">
    <w:name w:val="11正文"/>
    <w:basedOn w:val="1"/>
    <w:autoRedefine/>
    <w:qFormat/>
    <w:uiPriority w:val="0"/>
    <w:pPr>
      <w:tabs>
        <w:tab w:val="center" w:pos="4153"/>
        <w:tab w:val="right" w:pos="8306"/>
      </w:tabs>
      <w:spacing w:line="360" w:lineRule="auto"/>
      <w:ind w:firstLine="560" w:firstLineChars="200"/>
    </w:pPr>
    <w:rPr>
      <w:rFonts w:hint="eastAsia"/>
      <w:color w:val="000000"/>
      <w:sz w:val="24"/>
      <w:szCs w:val="28"/>
    </w:rPr>
  </w:style>
  <w:style w:type="paragraph" w:customStyle="1" w:styleId="61">
    <w:name w:val="图"/>
    <w:basedOn w:val="1"/>
    <w:autoRedefine/>
    <w:qFormat/>
    <w:uiPriority w:val="99"/>
    <w:pPr>
      <w:keepNext/>
      <w:adjustRightInd w:val="0"/>
      <w:spacing w:before="60" w:after="60" w:line="300" w:lineRule="auto"/>
      <w:jc w:val="center"/>
      <w:textAlignment w:val="center"/>
    </w:pPr>
    <w:rPr>
      <w:rFonts w:ascii="Times New Roman" w:hAnsi="Times New Roman"/>
      <w:spacing w:val="20"/>
      <w:sz w:val="24"/>
    </w:rPr>
  </w:style>
  <w:style w:type="character" w:customStyle="1" w:styleId="62">
    <w:name w:val="font11"/>
    <w:basedOn w:val="29"/>
    <w:autoRedefine/>
    <w:qFormat/>
    <w:uiPriority w:val="0"/>
    <w:rPr>
      <w:rFonts w:hint="eastAsia" w:ascii="宋体" w:hAnsi="宋体" w:eastAsia="宋体" w:cs="宋体"/>
      <w:color w:val="000000"/>
      <w:sz w:val="24"/>
      <w:szCs w:val="24"/>
      <w:u w:val="none"/>
    </w:rPr>
  </w:style>
  <w:style w:type="character" w:customStyle="1" w:styleId="63">
    <w:name w:val="font01"/>
    <w:basedOn w:val="29"/>
    <w:autoRedefine/>
    <w:qFormat/>
    <w:uiPriority w:val="0"/>
    <w:rPr>
      <w:rFonts w:hint="eastAsia" w:ascii="宋体" w:hAnsi="宋体" w:eastAsia="宋体" w:cs="宋体"/>
      <w:color w:val="000000"/>
      <w:sz w:val="24"/>
      <w:szCs w:val="24"/>
      <w:u w:val="none"/>
    </w:rPr>
  </w:style>
  <w:style w:type="paragraph" w:customStyle="1" w:styleId="64">
    <w:name w:val="招标方案正文"/>
    <w:basedOn w:val="1"/>
    <w:autoRedefine/>
    <w:qFormat/>
    <w:uiPriority w:val="0"/>
    <w:pPr>
      <w:spacing w:line="360" w:lineRule="auto"/>
      <w:ind w:firstLine="200" w:firstLineChars="200"/>
    </w:pPr>
    <w:rPr>
      <w:rFonts w:ascii="Times New Roman" w:hAnsi="Times New Roman"/>
      <w:sz w:val="24"/>
    </w:rPr>
  </w:style>
  <w:style w:type="character" w:customStyle="1" w:styleId="65">
    <w:name w:val="批注框文本 字符"/>
    <w:basedOn w:val="29"/>
    <w:link w:val="17"/>
    <w:autoRedefine/>
    <w:semiHidden/>
    <w:qFormat/>
    <w:uiPriority w:val="99"/>
    <w:rPr>
      <w:rFonts w:ascii="宋体" w:hAnsi="宋体"/>
      <w:sz w:val="18"/>
      <w:szCs w:val="18"/>
      <w:lang w:eastAsia="en-US"/>
    </w:rPr>
  </w:style>
  <w:style w:type="table" w:customStyle="1" w:styleId="66">
    <w:name w:val="Table Normal"/>
    <w:autoRedefine/>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67">
    <w:name w:val="标题3"/>
    <w:autoRedefine/>
    <w:qFormat/>
    <w:uiPriority w:val="0"/>
    <w:rPr>
      <w:rFonts w:ascii="仿宋" w:hAnsi="仿宋" w:eastAsia="楷体"/>
      <w:b/>
      <w:kern w:val="1"/>
      <w:sz w:val="32"/>
    </w:rPr>
  </w:style>
  <w:style w:type="table" w:customStyle="1" w:styleId="68">
    <w:name w:val="网格型11"/>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3"/>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font51"/>
    <w:basedOn w:val="29"/>
    <w:autoRedefine/>
    <w:qFormat/>
    <w:uiPriority w:val="0"/>
    <w:rPr>
      <w:rFonts w:hint="default" w:ascii="方正仿宋_GBK" w:hAnsi="方正仿宋_GBK" w:eastAsia="方正仿宋_GBK" w:cs="方正仿宋_GBK"/>
      <w:color w:val="000000"/>
      <w:sz w:val="24"/>
      <w:szCs w:val="24"/>
      <w:u w:val="none"/>
    </w:rPr>
  </w:style>
  <w:style w:type="paragraph" w:customStyle="1" w:styleId="71">
    <w:name w:val="正文缩进1"/>
    <w:basedOn w:val="1"/>
    <w:autoRedefine/>
    <w:qFormat/>
    <w:uiPriority w:val="0"/>
    <w:pPr>
      <w:ind w:firstLine="420" w:firstLineChars="200"/>
    </w:pPr>
  </w:style>
  <w:style w:type="paragraph" w:customStyle="1" w:styleId="7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73">
    <w:name w:val="缺省文本"/>
    <w:autoRedefine/>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74">
    <w:name w:val="列表段落1"/>
    <w:basedOn w:val="1"/>
    <w:autoRedefine/>
    <w:qFormat/>
    <w:uiPriority w:val="34"/>
    <w:pPr>
      <w:ind w:firstLine="420" w:firstLineChars="200"/>
    </w:pPr>
  </w:style>
  <w:style w:type="paragraph" w:customStyle="1" w:styleId="75">
    <w:name w:val="Body text|1"/>
    <w:basedOn w:val="1"/>
    <w:autoRedefine/>
    <w:qFormat/>
    <w:uiPriority w:val="0"/>
    <w:pPr>
      <w:widowControl w:val="0"/>
      <w:shd w:val="clear" w:color="auto" w:fill="auto"/>
      <w:spacing w:line="334" w:lineRule="auto"/>
      <w:ind w:firstLine="400"/>
    </w:pPr>
    <w:rPr>
      <w:rFonts w:ascii="宋体" w:hAnsi="宋体" w:eastAsia="宋体" w:cs="宋体"/>
      <w:u w:val="none"/>
      <w:shd w:val="clear" w:color="auto" w:fill="auto"/>
      <w:lang w:val="zh-TW" w:eastAsia="zh-TW" w:bidi="zh-TW"/>
    </w:rPr>
  </w:style>
  <w:style w:type="paragraph" w:customStyle="1" w:styleId="76">
    <w:name w:val="样式1"/>
    <w:basedOn w:val="5"/>
    <w:autoRedefine/>
    <w:qFormat/>
    <w:uiPriority w:val="99"/>
    <w:rPr>
      <w:rFonts w:ascii="宋体" w:hAnsi="宋体"/>
      <w:sz w:val="24"/>
      <w:szCs w:val="24"/>
    </w:rPr>
  </w:style>
  <w:style w:type="paragraph" w:customStyle="1" w:styleId="77">
    <w:name w:val="Normal_1"/>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Table Text"/>
    <w:basedOn w:val="1"/>
    <w:autoRedefine/>
    <w:semiHidden/>
    <w:qFormat/>
    <w:uiPriority w:val="0"/>
    <w:rPr>
      <w:rFonts w:eastAsia="Arial"/>
    </w:rPr>
  </w:style>
  <w:style w:type="paragraph" w:customStyle="1" w:styleId="79">
    <w:name w:val="正文首行缩进（绿盟科技）"/>
    <w:basedOn w:val="34"/>
    <w:autoRedefine/>
    <w:qFormat/>
    <w:uiPriority w:val="0"/>
    <w:pPr>
      <w:spacing w:after="50"/>
      <w:ind w:firstLine="200" w:firstLineChars="200"/>
    </w:pPr>
  </w:style>
  <w:style w:type="paragraph" w:styleId="80">
    <w:name w:val="No Spacing"/>
    <w:basedOn w:val="1"/>
    <w:autoRedefine/>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13857</Words>
  <Characters>15110</Characters>
  <Lines>348</Lines>
  <Paragraphs>98</Paragraphs>
  <TotalTime>35</TotalTime>
  <ScaleCrop>false</ScaleCrop>
  <LinksUpToDate>false</LinksUpToDate>
  <CharactersWithSpaces>15302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2021-08-14T12:18:00Z</dcterms:created>
  <dc:creator>Administrator</dc:creator>
  <cp:lastModifiedBy>阿司匹林</cp:lastModifiedBy>
  <cp:lastPrinted>2024-05-09T08:11:00Z</cp:lastPrinted>
  <dcterms:modified xsi:type="dcterms:W3CDTF">2025-07-04T08:31:48Z</dcterms:modified>
  <dc:title>123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245EC388D7FB4B4B92E9288F2E109865_13</vt:lpwstr>
  </property>
  <property fmtid="{D5CDD505-2E9C-101B-9397-08002B2CF9AE}" pid="4" name="KSOTemplateDocerSaveRecord">
    <vt:lpwstr>eyJoZGlkIjoiNTUwZjU3MDVkYmQyMDFmOTNkYWQ4ZWE2MGY2MzQ3MTQiLCJ1c2VySWQiOiI0NTAyNzY3MTgifQ==</vt:lpwstr>
  </property>
</Properties>
</file>