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BD4A">
      <w:pPr>
        <w:keepNext w:val="0"/>
        <w:keepLines w:val="0"/>
        <w:pageBreakBefore w:val="0"/>
        <w:widowControl/>
        <w:shd w:val="clear"/>
        <w:kinsoku/>
        <w:overflowPunct/>
        <w:topLinePunct w:val="0"/>
        <w:autoSpaceDE/>
        <w:autoSpaceDN/>
        <w:bidi w:val="0"/>
        <w:adjustRightInd/>
        <w:snapToGrid/>
        <w:spacing w:line="360" w:lineRule="auto"/>
        <w:ind w:right="0"/>
        <w:jc w:val="right"/>
        <w:textAlignment w:val="baseline"/>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r>
        <w:rPr>
          <w:rFonts w:hint="eastAsia" w:ascii="仿宋" w:hAnsi="仿宋" w:eastAsia="仿宋" w:cs="仿宋"/>
          <w:color w:val="auto"/>
          <w:sz w:val="28"/>
          <w:szCs w:val="16"/>
          <w:highlight w:val="none"/>
          <w:lang w:val="en-US" w:eastAsia="zh-CN"/>
        </w:rPr>
        <w:t>项目编号:2025（JKJ）226</w:t>
      </w:r>
    </w:p>
    <w:p w14:paraId="1D9EED87">
      <w:pPr>
        <w:keepNext w:val="0"/>
        <w:keepLines w:val="0"/>
        <w:pageBreakBefore w:val="0"/>
        <w:widowControl/>
        <w:shd w:val="clear"/>
        <w:kinsoku/>
        <w:overflowPunct/>
        <w:topLinePunct w:val="0"/>
        <w:autoSpaceDE/>
        <w:autoSpaceDN/>
        <w:bidi w:val="0"/>
        <w:adjustRightInd/>
        <w:snapToGrid/>
        <w:spacing w:line="360" w:lineRule="auto"/>
        <w:ind w:right="0"/>
        <w:jc w:val="center"/>
        <w:textAlignment w:val="baseline"/>
        <w:rPr>
          <w:rFonts w:ascii="仿宋" w:hAnsi="仿宋" w:eastAsia="仿宋" w:cs="仿宋"/>
          <w:color w:val="auto"/>
          <w:sz w:val="28"/>
          <w:szCs w:val="16"/>
          <w:highlight w:val="none"/>
          <w:lang w:eastAsia="zh-CN"/>
        </w:rPr>
      </w:pPr>
      <w:bookmarkStart w:id="0" w:name="OLE_LINK3"/>
      <w:r>
        <w:rPr>
          <w:rFonts w:hint="eastAsia" w:ascii="仿宋" w:hAnsi="仿宋" w:eastAsia="仿宋" w:cs="仿宋"/>
          <w:color w:val="auto"/>
          <w:sz w:val="28"/>
          <w:szCs w:val="16"/>
          <w:highlight w:val="none"/>
          <w:lang w:val="en-US" w:eastAsia="zh-CN"/>
        </w:rPr>
        <w:t>2025年自治区自然资源规划研究院网络安全等级保护测评服务</w:t>
      </w:r>
    </w:p>
    <w:bookmarkEnd w:id="0"/>
    <w:p w14:paraId="5EAF7043">
      <w:pPr>
        <w:shd w:val="clear"/>
        <w:spacing w:line="360" w:lineRule="auto"/>
        <w:jc w:val="center"/>
        <w:rPr>
          <w:rFonts w:hint="default" w:ascii="仿宋" w:hAnsi="仿宋" w:eastAsia="仿宋" w:cs="仿宋"/>
          <w:color w:val="auto"/>
          <w:sz w:val="44"/>
          <w:highlight w:val="none"/>
          <w:lang w:val="en-US" w:eastAsia="zh-CN"/>
        </w:rPr>
      </w:pPr>
    </w:p>
    <w:p w14:paraId="3075CF0E">
      <w:pPr>
        <w:shd w:val="clear"/>
        <w:spacing w:line="579" w:lineRule="exact"/>
        <w:jc w:val="center"/>
        <w:rPr>
          <w:rFonts w:hint="eastAsia" w:ascii="仿宋" w:hAnsi="仿宋" w:eastAsia="仿宋" w:cs="仿宋"/>
          <w:color w:val="auto"/>
          <w:sz w:val="44"/>
          <w:szCs w:val="36"/>
          <w:highlight w:val="none"/>
          <w:lang w:eastAsia="zh-CN"/>
        </w:rPr>
      </w:pPr>
    </w:p>
    <w:p w14:paraId="158CA62A">
      <w:pPr>
        <w:shd w:val="clear"/>
        <w:spacing w:line="579" w:lineRule="exac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eastAsia="zh-CN"/>
        </w:rPr>
        <w:t>竞争性磋商文件</w:t>
      </w:r>
    </w:p>
    <w:p w14:paraId="053CD56E">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rPr>
        <w:t xml:space="preserve"> </w:t>
      </w:r>
    </w:p>
    <w:p w14:paraId="677F5AAC">
      <w:pPr>
        <w:pStyle w:val="7"/>
        <w:shd w:val="clear"/>
        <w:spacing w:line="579" w:lineRule="exact"/>
        <w:ind w:left="0" w:leftChars="0" w:firstLine="0" w:firstLineChars="0"/>
        <w:rPr>
          <w:rFonts w:ascii="仿宋" w:hAnsi="仿宋" w:eastAsia="仿宋" w:cs="仿宋"/>
          <w:color w:val="auto"/>
          <w:highlight w:val="none"/>
          <w:lang w:eastAsia="zh-CN"/>
        </w:rPr>
      </w:pPr>
    </w:p>
    <w:p w14:paraId="60CFB3C5">
      <w:pPr>
        <w:shd w:val="clear"/>
        <w:spacing w:line="579" w:lineRule="exact"/>
        <w:ind w:firstLine="440" w:firstLineChars="200"/>
        <w:rPr>
          <w:rFonts w:ascii="仿宋" w:hAnsi="仿宋" w:eastAsia="仿宋" w:cs="仿宋"/>
          <w:color w:val="auto"/>
          <w:highlight w:val="none"/>
          <w:lang w:eastAsia="zh-CN"/>
        </w:rPr>
      </w:pPr>
    </w:p>
    <w:p w14:paraId="2A3552FA">
      <w:pPr>
        <w:shd w:val="clear"/>
        <w:spacing w:line="579" w:lineRule="exact"/>
        <w:ind w:left="1200" w:hanging="1200" w:hanging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 购 人：新疆维吾尔自治区自然资源规划研究院（公章）</w:t>
      </w:r>
    </w:p>
    <w:p w14:paraId="052DB436">
      <w:pPr>
        <w:shd w:val="clea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人：崔思怡</w:t>
      </w:r>
    </w:p>
    <w:p w14:paraId="27C9FA99">
      <w:pPr>
        <w:shd w:val="clea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w:t>
      </w:r>
      <w:bookmarkStart w:id="1" w:name="OLE_LINK5"/>
      <w:r>
        <w:rPr>
          <w:rFonts w:hint="eastAsia" w:ascii="仿宋" w:hAnsi="仿宋" w:eastAsia="仿宋" w:cs="仿宋"/>
          <w:color w:val="auto"/>
          <w:sz w:val="24"/>
          <w:highlight w:val="none"/>
          <w:lang w:val="en-US" w:eastAsia="zh-CN"/>
        </w:rPr>
        <w:t>19999125379</w:t>
      </w:r>
    </w:p>
    <w:bookmarkEnd w:id="1"/>
    <w:p w14:paraId="6C4E840A">
      <w:pPr>
        <w:pStyle w:val="9"/>
        <w:shd w:val="clear"/>
        <w:rPr>
          <w:rFonts w:ascii="仿宋" w:hAnsi="仿宋" w:eastAsia="仿宋" w:cs="仿宋"/>
          <w:color w:val="auto"/>
          <w:highlight w:val="none"/>
          <w:lang w:eastAsia="zh-CN"/>
        </w:rPr>
      </w:pPr>
    </w:p>
    <w:p w14:paraId="2F1809A1">
      <w:pPr>
        <w:shd w:val="clea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14:paraId="336CD6AD">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采购代理机构：新疆君凯杰工程项目管理有限公司（公章）</w:t>
      </w:r>
    </w:p>
    <w:p w14:paraId="676B2921">
      <w:pPr>
        <w:shd w:val="clea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w:t>
      </w:r>
      <w:bookmarkStart w:id="2" w:name="OLE_LINK6"/>
      <w:r>
        <w:rPr>
          <w:rFonts w:hint="eastAsia" w:ascii="仿宋" w:hAnsi="仿宋" w:eastAsia="仿宋" w:cs="仿宋"/>
          <w:color w:val="auto"/>
          <w:sz w:val="24"/>
          <w:highlight w:val="none"/>
          <w:lang w:eastAsia="zh-CN"/>
        </w:rPr>
        <w:t>海宏、崔海燕</w:t>
      </w:r>
    </w:p>
    <w:bookmarkEnd w:id="2"/>
    <w:p w14:paraId="5D01F001">
      <w:pPr>
        <w:shd w:val="clea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18199860236</w:t>
      </w:r>
    </w:p>
    <w:p w14:paraId="09665E54">
      <w:pPr>
        <w:shd w:val="clear"/>
        <w:spacing w:line="579" w:lineRule="exact"/>
        <w:jc w:val="center"/>
        <w:rPr>
          <w:rFonts w:hint="eastAsia" w:ascii="仿宋" w:hAnsi="仿宋" w:eastAsia="仿宋" w:cs="仿宋"/>
          <w:color w:val="auto"/>
          <w:sz w:val="24"/>
          <w:highlight w:val="none"/>
        </w:rPr>
      </w:pPr>
    </w:p>
    <w:p w14:paraId="2CC50A69">
      <w:pPr>
        <w:shd w:val="clear"/>
        <w:spacing w:line="579" w:lineRule="exact"/>
        <w:jc w:val="center"/>
        <w:rPr>
          <w:rFonts w:hint="eastAsia" w:ascii="仿宋" w:hAnsi="仿宋" w:eastAsia="仿宋" w:cs="仿宋"/>
          <w:color w:val="auto"/>
          <w:sz w:val="24"/>
          <w:highlight w:val="none"/>
        </w:rPr>
      </w:pPr>
    </w:p>
    <w:p w14:paraId="4C7A6731">
      <w:pPr>
        <w:shd w:val="clea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月</w:t>
      </w:r>
    </w:p>
    <w:p w14:paraId="68BCA86A">
      <w:pPr>
        <w:shd w:val="clear"/>
        <w:spacing w:line="579" w:lineRule="exact"/>
        <w:rPr>
          <w:rFonts w:ascii="仿宋" w:hAnsi="仿宋" w:eastAsia="仿宋" w:cs="仿宋"/>
          <w:color w:val="auto"/>
          <w:sz w:val="24"/>
          <w:szCs w:val="2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32" w:charSpace="0"/>
        </w:sectPr>
      </w:pPr>
    </w:p>
    <w:p w14:paraId="7279E5EE">
      <w:pPr>
        <w:pStyle w:val="20"/>
        <w:shd w:val="clear"/>
        <w:tabs>
          <w:tab w:val="right" w:leader="dot" w:pos="9050"/>
        </w:tabs>
        <w:spacing w:line="579" w:lineRule="exact"/>
        <w:jc w:val="center"/>
        <w:rPr>
          <w:rStyle w:val="35"/>
          <w:rFonts w:ascii="仿宋" w:hAnsi="仿宋" w:eastAsia="仿宋" w:cs="仿宋"/>
          <w:color w:val="auto"/>
          <w:sz w:val="36"/>
          <w:szCs w:val="36"/>
          <w:highlight w:val="none"/>
          <w:lang w:eastAsia="zh-CN"/>
        </w:rPr>
      </w:pPr>
      <w:r>
        <w:rPr>
          <w:rStyle w:val="35"/>
          <w:rFonts w:hint="eastAsia" w:ascii="仿宋" w:hAnsi="仿宋" w:eastAsia="仿宋" w:cs="仿宋"/>
          <w:color w:val="auto"/>
          <w:sz w:val="36"/>
          <w:szCs w:val="36"/>
          <w:highlight w:val="none"/>
          <w:lang w:eastAsia="zh-CN"/>
        </w:rPr>
        <w:t>目录</w:t>
      </w:r>
    </w:p>
    <w:p w14:paraId="2BE6911C">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Style w:val="35"/>
          <w:rFonts w:hint="eastAsia" w:ascii="仿宋" w:hAnsi="仿宋" w:eastAsia="仿宋" w:cs="仿宋"/>
          <w:color w:val="auto"/>
          <w:sz w:val="24"/>
          <w:szCs w:val="24"/>
          <w:highlight w:val="none"/>
        </w:rPr>
        <w:fldChar w:fldCharType="begin"/>
      </w:r>
      <w:r>
        <w:rPr>
          <w:rStyle w:val="35"/>
          <w:rFonts w:hint="eastAsia" w:ascii="仿宋" w:hAnsi="仿宋" w:eastAsia="仿宋" w:cs="仿宋"/>
          <w:color w:val="auto"/>
          <w:sz w:val="24"/>
          <w:szCs w:val="24"/>
          <w:highlight w:val="none"/>
          <w:lang w:eastAsia="zh-CN"/>
        </w:rPr>
        <w:instrText xml:space="preserve">TOC \o "1-3" \h \u </w:instrText>
      </w:r>
      <w:r>
        <w:rPr>
          <w:rStyle w:val="35"/>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_Toc31640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第一部分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95D8F5">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_Toc22387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w w:val="95"/>
          <w:sz w:val="28"/>
          <w:szCs w:val="28"/>
          <w:highlight w:val="none"/>
          <w:lang w:eastAsia="zh-CN"/>
        </w:rPr>
        <w:t>第二部分</w:t>
      </w:r>
      <w:r>
        <w:rPr>
          <w:rFonts w:hint="eastAsia" w:ascii="仿宋" w:hAnsi="仿宋" w:eastAsia="仿宋" w:cs="仿宋"/>
          <w:bCs/>
          <w:color w:val="auto"/>
          <w:w w:val="95"/>
          <w:sz w:val="28"/>
          <w:szCs w:val="28"/>
          <w:highlight w:val="none"/>
          <w:lang w:val="en-US" w:eastAsia="zh-CN"/>
        </w:rPr>
        <w:t xml:space="preserve"> </w:t>
      </w:r>
      <w:r>
        <w:rPr>
          <w:rFonts w:hint="eastAsia" w:ascii="仿宋" w:hAnsi="仿宋" w:eastAsia="仿宋" w:cs="仿宋"/>
          <w:bCs/>
          <w:color w:val="auto"/>
          <w:w w:val="95"/>
          <w:sz w:val="28"/>
          <w:szCs w:val="28"/>
          <w:highlight w:val="none"/>
          <w:lang w:eastAsia="zh-CN"/>
        </w:rPr>
        <w:t>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_Toc22387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20DD9EF">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_Toc12664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第一章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_Toc12664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0AAD7AFE">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_Toc26330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第二章 竞争性磋商文件的编写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_Toc26330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5A210FD">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_Toc6098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第三章 响应文件的编写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_Toc6098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46C25F4">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_Toc32571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第四章 响应文件的递交</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_Toc32571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2403CE90">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_Toc20734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第五章 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_Toc20734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1C04B4DF">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_Toc7919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第六章 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_Toc7919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0649BDA7">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_Toc6624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第七章 授予合同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_Toc6624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6922EC8">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_Toc12143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第八章 其他</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4AE0382">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_Toc32146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第九章 质疑的提出及处理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_Toc32146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A22A41E">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_Toc16613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第三部分</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lang w:val="en-US" w:eastAsia="zh-CN"/>
        </w:rPr>
        <w:t>需求</w:t>
      </w:r>
      <w:r>
        <w:rPr>
          <w:rFonts w:hint="eastAsia" w:ascii="仿宋" w:hAnsi="仿宋" w:eastAsia="仿宋" w:cs="仿宋"/>
          <w:bCs/>
          <w:color w:val="auto"/>
          <w:sz w:val="28"/>
          <w:szCs w:val="28"/>
          <w:highlight w:val="none"/>
          <w:lang w:eastAsia="zh-CN"/>
        </w:rPr>
        <w:t>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_Toc16613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45DAEFCF">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_Toc7973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第四部分 合同条款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_Toc7973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EF76C67">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_Toc14191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_Toc14191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ED7F2B0">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_Toc4704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第一部分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资格证明文件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_Toc4704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508F067E">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_Toc8013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第二部分</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_Toc8013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1DAB98BD">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_Toc17338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第三部分</w:t>
      </w:r>
      <w:r>
        <w:rPr>
          <w:rFonts w:hint="eastAsia" w:ascii="仿宋" w:hAnsi="仿宋" w:eastAsia="仿宋" w:cs="仿宋"/>
          <w:color w:val="auto"/>
          <w:sz w:val="28"/>
          <w:szCs w:val="28"/>
          <w:highlight w:val="none"/>
          <w:lang w:eastAsia="zh-CN"/>
        </w:rPr>
        <w:t>）商务及技术部分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92977EC">
      <w:pPr>
        <w:pStyle w:val="13"/>
        <w:keepNext w:val="0"/>
        <w:keepLines w:val="0"/>
        <w:pageBreakBefore w:val="0"/>
        <w:widowControl/>
        <w:tabs>
          <w:tab w:val="right" w:leader="dot" w:pos="9050"/>
        </w:tabs>
        <w:kinsoku/>
        <w:wordWrap/>
        <w:overflowPunct/>
        <w:topLinePunct w:val="0"/>
        <w:autoSpaceDE/>
        <w:autoSpaceDN/>
        <w:bidi w:val="0"/>
        <w:adjustRightInd/>
        <w:snapToGrid/>
        <w:spacing w:line="340" w:lineRule="exact"/>
        <w:textAlignment w:val="baseline"/>
        <w:rPr>
          <w:rFonts w:hint="eastAsia" w:ascii="仿宋" w:hAnsi="仿宋" w:eastAsia="仿宋" w:cs="仿宋"/>
          <w:color w:val="auto"/>
          <w:sz w:val="24"/>
          <w:szCs w:val="24"/>
          <w:highlight w:val="none"/>
        </w:rPr>
      </w:pPr>
    </w:p>
    <w:p w14:paraId="6BD56F3A">
      <w:pPr>
        <w:keepNext w:val="0"/>
        <w:keepLines w:val="0"/>
        <w:pageBreakBefore w:val="0"/>
        <w:widowControl/>
        <w:shd w:val="clear"/>
        <w:kinsoku/>
        <w:wordWrap/>
        <w:overflowPunct/>
        <w:topLinePunct w:val="0"/>
        <w:autoSpaceDE/>
        <w:autoSpaceDN/>
        <w:bidi w:val="0"/>
        <w:adjustRightInd/>
        <w:snapToGrid/>
        <w:spacing w:line="340" w:lineRule="exact"/>
        <w:ind w:left="0" w:leftChars="0"/>
        <w:jc w:val="center"/>
        <w:textAlignment w:val="baseline"/>
        <w:rPr>
          <w:rStyle w:val="35"/>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color w:val="auto"/>
          <w:sz w:val="24"/>
          <w:szCs w:val="24"/>
          <w:highlight w:val="none"/>
          <w:lang w:eastAsia="zh-CN"/>
        </w:rPr>
        <w:fldChar w:fldCharType="end"/>
      </w:r>
    </w:p>
    <w:p w14:paraId="1F482279">
      <w:pPr>
        <w:shd w:val="clear"/>
        <w:spacing w:before="108" w:line="360" w:lineRule="auto"/>
        <w:ind w:right="-29" w:rightChars="-13"/>
        <w:jc w:val="center"/>
        <w:outlineLvl w:val="0"/>
        <w:rPr>
          <w:rFonts w:ascii="仿宋" w:hAnsi="仿宋" w:eastAsia="仿宋" w:cs="仿宋"/>
          <w:color w:val="auto"/>
          <w:sz w:val="36"/>
          <w:szCs w:val="36"/>
          <w:highlight w:val="none"/>
          <w:lang w:eastAsia="zh-CN"/>
        </w:rPr>
      </w:pPr>
      <w:bookmarkStart w:id="3" w:name="_Toc20541"/>
      <w:bookmarkStart w:id="4" w:name="_Toc4733"/>
      <w:bookmarkStart w:id="5" w:name="_Toc31640"/>
      <w:bookmarkStart w:id="6" w:name="_Toc20343"/>
      <w:bookmarkStart w:id="7" w:name="_Toc25337"/>
      <w:bookmarkStart w:id="8" w:name="_Toc326"/>
      <w:bookmarkStart w:id="9" w:name="_Toc29792"/>
      <w:r>
        <w:rPr>
          <w:rStyle w:val="35"/>
          <w:rFonts w:hint="eastAsia" w:ascii="仿宋" w:hAnsi="仿宋" w:eastAsia="仿宋" w:cs="仿宋"/>
          <w:b/>
          <w:color w:val="auto"/>
          <w:sz w:val="30"/>
          <w:szCs w:val="30"/>
          <w:highlight w:val="none"/>
          <w:lang w:eastAsia="zh-CN"/>
        </w:rPr>
        <w:t>第一部分</w:t>
      </w:r>
      <w:r>
        <w:rPr>
          <w:rStyle w:val="35"/>
          <w:rFonts w:hint="eastAsia" w:ascii="仿宋" w:hAnsi="仿宋" w:eastAsia="仿宋" w:cs="仿宋"/>
          <w:b/>
          <w:color w:val="auto"/>
          <w:sz w:val="30"/>
          <w:szCs w:val="30"/>
          <w:highlight w:val="none"/>
          <w:lang w:val="en-US" w:eastAsia="zh-CN"/>
        </w:rPr>
        <w:t xml:space="preserve"> </w:t>
      </w:r>
      <w:r>
        <w:rPr>
          <w:rStyle w:val="35"/>
          <w:rFonts w:hint="eastAsia" w:ascii="仿宋" w:hAnsi="仿宋" w:eastAsia="仿宋" w:cs="仿宋"/>
          <w:b/>
          <w:color w:val="auto"/>
          <w:sz w:val="30"/>
          <w:szCs w:val="30"/>
          <w:highlight w:val="none"/>
          <w:lang w:eastAsia="zh-CN"/>
        </w:rPr>
        <w:t>竞争性磋商公告</w:t>
      </w:r>
      <w:bookmarkEnd w:id="3"/>
      <w:bookmarkEnd w:id="4"/>
      <w:bookmarkEnd w:id="5"/>
      <w:bookmarkEnd w:id="6"/>
      <w:bookmarkEnd w:id="7"/>
      <w:bookmarkEnd w:id="8"/>
    </w:p>
    <w:bookmarkEnd w:id="9"/>
    <w:p w14:paraId="6EDF4D7D">
      <w:pPr>
        <w:shd w:val="clea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0078D5CE">
      <w:pPr>
        <w:pStyle w:val="23"/>
        <w:keepNext w:val="0"/>
        <w:keepLines w:val="0"/>
        <w:pageBreakBefore w:val="0"/>
        <w:widowControl/>
        <w:shd w:val="clear"/>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2025年自治区自然资源规划研究院网络安全等级保护测评服务</w:t>
      </w:r>
      <w:r>
        <w:rPr>
          <w:rFonts w:hint="eastAsia" w:ascii="仿宋" w:hAnsi="仿宋" w:eastAsia="仿宋" w:cs="仿宋"/>
          <w:color w:val="auto"/>
          <w:highlight w:val="none"/>
        </w:rPr>
        <w:t>的潜在供应商应在中国政府采购网新疆分网（政府采购云平台）获取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（北京时间）前递交投标文件。</w:t>
      </w:r>
    </w:p>
    <w:p w14:paraId="2DA6B3D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一、项目基本情况</w:t>
      </w:r>
    </w:p>
    <w:p w14:paraId="231C95C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2025（JKJ）226</w:t>
      </w:r>
    </w:p>
    <w:p w14:paraId="791567A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2025年自治区自然资源规划研究院网络安全等级保护测评服务</w:t>
      </w:r>
    </w:p>
    <w:p w14:paraId="5A5FD2D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采购方式：竞争性磋商</w:t>
      </w:r>
    </w:p>
    <w:p w14:paraId="14CE187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180000.00</w:t>
      </w:r>
    </w:p>
    <w:p w14:paraId="554A9C6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180000.00</w:t>
      </w:r>
    </w:p>
    <w:p w14:paraId="1DA9033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30DC9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2DCF1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5A79888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180000.00</w:t>
      </w:r>
    </w:p>
    <w:p w14:paraId="4B401B8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0951C83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default" w:ascii="仿宋" w:hAnsi="仿宋" w:eastAsia="仿宋" w:cs="仿宋"/>
          <w:i w:val="0"/>
          <w:iCs w:val="0"/>
          <w:caps w:val="0"/>
          <w:color w:val="auto"/>
          <w:spacing w:val="0"/>
          <w:sz w:val="24"/>
          <w:szCs w:val="24"/>
          <w:highlight w:val="none"/>
          <w:lang w:val="en-US"/>
        </w:rPr>
      </w:pPr>
      <w:r>
        <w:rPr>
          <w:rFonts w:hint="eastAsia" w:ascii="仿宋" w:hAnsi="仿宋" w:eastAsia="仿宋" w:cs="仿宋"/>
          <w:i w:val="0"/>
          <w:iCs w:val="0"/>
          <w:caps w:val="0"/>
          <w:color w:val="auto"/>
          <w:spacing w:val="0"/>
          <w:sz w:val="24"/>
          <w:szCs w:val="24"/>
          <w:highlight w:val="none"/>
        </w:rPr>
        <w:t>   简要规格描述：依据《信息安全技术网络安全等级保护测评要求》、《信息安全技术网络安全等级保护测评过程指南》等相关国家网络安全标准和规范，开展2个信息系统（1个互联网、1个内部局域网）网络安全等级（三级）测评工作。同时按工作任务要求，开展网络安全相关技术支持工作。（详见</w:t>
      </w:r>
      <w:r>
        <w:rPr>
          <w:rFonts w:hint="eastAsia" w:ascii="仿宋" w:hAnsi="仿宋" w:eastAsia="仿宋" w:cs="仿宋"/>
          <w:i w:val="0"/>
          <w:iCs w:val="0"/>
          <w:caps w:val="0"/>
          <w:color w:val="auto"/>
          <w:spacing w:val="0"/>
          <w:sz w:val="24"/>
          <w:szCs w:val="24"/>
          <w:highlight w:val="none"/>
          <w:lang w:val="en-US" w:eastAsia="zh-CN"/>
        </w:rPr>
        <w:t>竞争性磋商</w:t>
      </w:r>
      <w:r>
        <w:rPr>
          <w:rFonts w:hint="eastAsia" w:ascii="仿宋" w:hAnsi="仿宋" w:eastAsia="仿宋" w:cs="仿宋"/>
          <w:i w:val="0"/>
          <w:iCs w:val="0"/>
          <w:caps w:val="0"/>
          <w:color w:val="auto"/>
          <w:spacing w:val="0"/>
          <w:sz w:val="24"/>
          <w:szCs w:val="24"/>
          <w:highlight w:val="none"/>
        </w:rPr>
        <w:t>文件）</w:t>
      </w:r>
      <w:r>
        <w:rPr>
          <w:rFonts w:hint="eastAsia" w:ascii="仿宋" w:hAnsi="仿宋" w:eastAsia="仿宋" w:cs="仿宋"/>
          <w:i w:val="0"/>
          <w:iCs w:val="0"/>
          <w:caps w:val="0"/>
          <w:color w:val="auto"/>
          <w:spacing w:val="0"/>
          <w:sz w:val="24"/>
          <w:szCs w:val="24"/>
          <w:highlight w:val="none"/>
          <w:lang w:val="en-US" w:eastAsia="zh-CN"/>
        </w:rPr>
        <w:t>。</w:t>
      </w:r>
    </w:p>
    <w:p w14:paraId="151A537F">
      <w:pPr>
        <w:pStyle w:val="2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备注：</w:t>
      </w:r>
    </w:p>
    <w:p w14:paraId="756ECC01">
      <w:pPr>
        <w:pStyle w:val="2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合同履约期限：标项1，在2025年11月30日前完成工作，并提供至少半年（验收之日起算）的网络安全技术服务</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因上级主管部门安排部署变化导致工作提前或延后的，工期相应提前或顺延。</w:t>
      </w:r>
    </w:p>
    <w:p w14:paraId="75AE146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标项1，本标项（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0DCF27E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二、申请人的资格要求：</w:t>
      </w:r>
    </w:p>
    <w:p w14:paraId="74DE1FC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1.满足《中华人民共和国政府采购法》第二十二条规定；</w:t>
      </w:r>
    </w:p>
    <w:p w14:paraId="64C60BE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2.落实政府采购政策需满足的资格要求：</w:t>
      </w:r>
      <w:r>
        <w:rPr>
          <w:rFonts w:hint="eastAsia" w:ascii="仿宋" w:hAnsi="仿宋" w:eastAsia="仿宋" w:cs="仿宋"/>
          <w:i w:val="0"/>
          <w:iCs w:val="0"/>
          <w:caps w:val="0"/>
          <w:color w:val="auto"/>
          <w:spacing w:val="0"/>
          <w:sz w:val="24"/>
          <w:szCs w:val="24"/>
          <w:highlight w:val="none"/>
        </w:rPr>
        <w:t>本项目为专门面向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w:t>
      </w:r>
    </w:p>
    <w:p w14:paraId="57640F8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3.本项目的特定资格要求：</w:t>
      </w:r>
    </w:p>
    <w:p w14:paraId="441580D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（1）供应商应具备有效的公安机关颁发的《网络安全等级保护测评与检测评估机构服务认证证书》；</w:t>
      </w:r>
    </w:p>
    <w:p w14:paraId="1A89928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三、获取采购文件</w:t>
      </w:r>
    </w:p>
    <w:p w14:paraId="2D63CBC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u w:val="none"/>
        </w:rPr>
        <w:t>时间：</w:t>
      </w:r>
      <w:r>
        <w:rPr>
          <w:rFonts w:hint="eastAsia" w:ascii="仿宋" w:hAnsi="仿宋" w:eastAsia="仿宋" w:cs="仿宋"/>
          <w:i w:val="0"/>
          <w:iCs w:val="0"/>
          <w:caps w:val="0"/>
          <w:color w:val="auto"/>
          <w:spacing w:val="0"/>
          <w:sz w:val="24"/>
          <w:szCs w:val="24"/>
          <w:highlight w:val="none"/>
          <w:u w:val="none"/>
        </w:rPr>
        <w:t>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11</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18</w:t>
      </w:r>
      <w:r>
        <w:rPr>
          <w:rFonts w:hint="eastAsia" w:ascii="仿宋" w:hAnsi="仿宋" w:eastAsia="仿宋" w:cs="仿宋"/>
          <w:i w:val="0"/>
          <w:iCs w:val="0"/>
          <w:caps w:val="0"/>
          <w:color w:val="auto"/>
          <w:spacing w:val="0"/>
          <w:sz w:val="24"/>
          <w:szCs w:val="24"/>
          <w:highlight w:val="none"/>
          <w:u w:val="none"/>
        </w:rPr>
        <w:t>日</w:t>
      </w:r>
      <w:r>
        <w:rPr>
          <w:rFonts w:hint="eastAsia" w:ascii="仿宋" w:hAnsi="仿宋" w:eastAsia="仿宋" w:cs="仿宋"/>
          <w:i w:val="0"/>
          <w:iCs w:val="0"/>
          <w:caps w:val="0"/>
          <w:color w:val="auto"/>
          <w:spacing w:val="0"/>
          <w:sz w:val="24"/>
          <w:szCs w:val="24"/>
          <w:highlight w:val="none"/>
          <w:u w:val="none"/>
        </w:rPr>
        <w:t>，每天上午</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00</w:t>
      </w:r>
      <w:r>
        <w:rPr>
          <w:rFonts w:hint="eastAsia" w:ascii="仿宋" w:hAnsi="仿宋" w:eastAsia="仿宋" w:cs="仿宋"/>
          <w:i w:val="0"/>
          <w:iCs w:val="0"/>
          <w:caps w:val="0"/>
          <w:color w:val="auto"/>
          <w:spacing w:val="0"/>
          <w:sz w:val="24"/>
          <w:szCs w:val="24"/>
          <w:highlight w:val="none"/>
          <w:u w:val="none"/>
        </w:rPr>
        <w:t>至</w:t>
      </w:r>
      <w:r>
        <w:rPr>
          <w:rFonts w:hint="eastAsia" w:ascii="仿宋" w:hAnsi="仿宋" w:eastAsia="仿宋" w:cs="仿宋"/>
          <w:i w:val="0"/>
          <w:iCs w:val="0"/>
          <w:caps w:val="0"/>
          <w:color w:val="auto"/>
          <w:spacing w:val="0"/>
          <w:sz w:val="24"/>
          <w:szCs w:val="24"/>
          <w:highlight w:val="none"/>
          <w:u w:val="none"/>
          <w:lang w:val="en-US" w:eastAsia="zh-CN"/>
        </w:rPr>
        <w:t>23</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59</w:t>
      </w:r>
      <w:r>
        <w:rPr>
          <w:rFonts w:hint="eastAsia" w:ascii="仿宋" w:hAnsi="仿宋" w:eastAsia="仿宋" w:cs="仿宋"/>
          <w:i w:val="0"/>
          <w:iCs w:val="0"/>
          <w:caps w:val="0"/>
          <w:color w:val="auto"/>
          <w:spacing w:val="0"/>
          <w:sz w:val="24"/>
          <w:szCs w:val="24"/>
          <w:highlight w:val="none"/>
          <w:u w:val="none"/>
        </w:rPr>
        <w:t>（北京时间，法定节假日除外）</w:t>
      </w:r>
    </w:p>
    <w:p w14:paraId="4A7D9D8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color w:val="auto"/>
          <w:highlight w:val="none"/>
        </w:rPr>
        <w:t>中国政府采购网新疆分网（政府采购云平台）</w:t>
      </w:r>
    </w:p>
    <w:p w14:paraId="5657EB6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方式：供应商登录政采云平台https://www.zcygov.cn/在线申请获取磋商文件（进入“项目采购”应用，在获取采购文件菜单中选择项目，申请获取采购文件）</w:t>
      </w:r>
    </w:p>
    <w:p w14:paraId="2CD9576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售价（元）：</w:t>
      </w:r>
      <w:r>
        <w:rPr>
          <w:rFonts w:hint="eastAsia" w:ascii="仿宋" w:hAnsi="仿宋" w:eastAsia="仿宋" w:cs="仿宋"/>
          <w:i w:val="0"/>
          <w:iCs w:val="0"/>
          <w:caps w:val="0"/>
          <w:color w:val="auto"/>
          <w:spacing w:val="0"/>
          <w:sz w:val="24"/>
          <w:szCs w:val="24"/>
          <w:highlight w:val="none"/>
          <w:lang w:val="en-US" w:eastAsia="zh-CN"/>
        </w:rPr>
        <w:t>0</w:t>
      </w:r>
    </w:p>
    <w:p w14:paraId="54A4C6A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四、响应文件提交</w:t>
      </w:r>
      <w:r>
        <w:rPr>
          <w:rFonts w:hint="eastAsia" w:ascii="仿宋" w:hAnsi="仿宋" w:eastAsia="仿宋" w:cs="仿宋"/>
          <w:i w:val="0"/>
          <w:iCs w:val="0"/>
          <w:caps w:val="0"/>
          <w:color w:val="auto"/>
          <w:spacing w:val="0"/>
          <w:sz w:val="24"/>
          <w:szCs w:val="24"/>
          <w:highlight w:val="none"/>
        </w:rPr>
        <w:t> </w:t>
      </w:r>
    </w:p>
    <w:p w14:paraId="4BBB2AF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lang w:eastAsia="zh-CN"/>
        </w:rPr>
        <w:t>日11:00</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北京时间）</w:t>
      </w:r>
    </w:p>
    <w:p w14:paraId="5CBCD3D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地点：政采云平台http://www.zcygov.cn </w:t>
      </w:r>
    </w:p>
    <w:p w14:paraId="0DA4494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五、响应文件开启</w:t>
      </w:r>
      <w:r>
        <w:rPr>
          <w:rFonts w:hint="eastAsia" w:ascii="仿宋" w:hAnsi="仿宋" w:eastAsia="仿宋" w:cs="仿宋"/>
          <w:i w:val="0"/>
          <w:iCs w:val="0"/>
          <w:caps w:val="0"/>
          <w:color w:val="auto"/>
          <w:spacing w:val="0"/>
          <w:sz w:val="24"/>
          <w:szCs w:val="24"/>
          <w:highlight w:val="none"/>
        </w:rPr>
        <w:t> </w:t>
      </w:r>
    </w:p>
    <w:p w14:paraId="2BA4D8F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i w:val="0"/>
          <w:iCs w:val="0"/>
          <w:caps w:val="0"/>
          <w:color w:val="auto"/>
          <w:spacing w:val="0"/>
          <w:sz w:val="24"/>
          <w:szCs w:val="24"/>
          <w:highlight w:val="none"/>
        </w:rPr>
        <w:t>（北京时间）</w:t>
      </w:r>
    </w:p>
    <w:p w14:paraId="18A1DB6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地点：政采云网上不见面开标系统</w:t>
      </w:r>
    </w:p>
    <w:p w14:paraId="5B56507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六、公告期限</w:t>
      </w:r>
    </w:p>
    <w:p w14:paraId="7BF8B2A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自本公告发布之日起3个工作日。</w:t>
      </w:r>
    </w:p>
    <w:p w14:paraId="7FF0DBD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1F4E222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（1）本项目采用全流程不见面电子开评标，供应商需要使用CA加密设备，供应商可通过新疆数字证书认证中心官网（https://www.xjca.com.cn/）或下载“新疆政务通”APP自行进行申领。</w:t>
      </w:r>
    </w:p>
    <w:p w14:paraId="58AE813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（2）本项目实行网上投标，采用加密电子投标响应文件(供应商须使用CA加密设备通过政采云电子投标客户端制作投标响应文件)。若供应商参与投标，自行承担投标一切费用。</w:t>
      </w:r>
    </w:p>
    <w:p w14:paraId="5C2BF7C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57919DD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7EE80D1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D6F526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0CE3932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八、凡对本次招标提出询问，请按以下方式联系</w:t>
      </w:r>
    </w:p>
    <w:p w14:paraId="4ECA00A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5202374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2"/>
          <w:rFonts w:hint="eastAsia" w:ascii="仿宋" w:hAnsi="仿宋" w:eastAsia="仿宋" w:cs="仿宋"/>
          <w:i w:val="0"/>
          <w:iCs w:val="0"/>
          <w:caps w:val="0"/>
          <w:color w:val="auto"/>
          <w:spacing w:val="0"/>
          <w:sz w:val="24"/>
          <w:szCs w:val="24"/>
          <w:highlight w:val="none"/>
          <w:lang w:eastAsia="zh-CN"/>
        </w:rPr>
        <w:t>新疆维吾尔自治区自然资源规划研究院</w:t>
      </w:r>
    </w:p>
    <w:p w14:paraId="15F80322">
      <w:pPr>
        <w:shd w:val="clear"/>
        <w:spacing w:line="579"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 崔思怡</w:t>
      </w:r>
    </w:p>
    <w:p w14:paraId="6A31AE75">
      <w:pPr>
        <w:shd w:val="clear"/>
        <w:spacing w:line="579"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 19999125379</w:t>
      </w:r>
    </w:p>
    <w:p w14:paraId="54E6DE0F">
      <w:pPr>
        <w:shd w:val="clear"/>
        <w:spacing w:line="579"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地址：新市区北京南路广安街199号</w:t>
      </w:r>
    </w:p>
    <w:p w14:paraId="350388C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D863D1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新疆君凯杰工程项目管理有限公司</w:t>
      </w:r>
    </w:p>
    <w:p w14:paraId="004CF85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w:t>
      </w:r>
      <w:bookmarkStart w:id="10" w:name="OLE_LINK4"/>
      <w:r>
        <w:rPr>
          <w:rFonts w:hint="eastAsia" w:ascii="仿宋" w:hAnsi="仿宋" w:eastAsia="仿宋" w:cs="仿宋"/>
          <w:i w:val="0"/>
          <w:iCs w:val="0"/>
          <w:caps w:val="0"/>
          <w:color w:val="auto"/>
          <w:spacing w:val="0"/>
          <w:sz w:val="24"/>
          <w:szCs w:val="24"/>
          <w:highlight w:val="none"/>
          <w:lang w:eastAsia="zh-CN"/>
        </w:rPr>
        <w:t>乌鲁木齐市水磨沟区会展大道1119号大成尔雅A座80</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lang w:eastAsia="zh-CN"/>
        </w:rPr>
        <w:t>室</w:t>
      </w:r>
      <w:bookmarkEnd w:id="10"/>
    </w:p>
    <w:p w14:paraId="5355EA4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18199860236</w:t>
      </w:r>
    </w:p>
    <w:p w14:paraId="737CCC1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00CF71E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Style w:val="32"/>
          <w:rFonts w:hint="eastAsia" w:ascii="仿宋" w:hAnsi="仿宋" w:eastAsia="仿宋" w:cs="仿宋"/>
          <w:i w:val="0"/>
          <w:iCs w:val="0"/>
          <w:caps w:val="0"/>
          <w:color w:val="auto"/>
          <w:spacing w:val="0"/>
          <w:sz w:val="24"/>
          <w:szCs w:val="24"/>
          <w:highlight w:val="none"/>
          <w:lang w:eastAsia="zh-CN"/>
        </w:rPr>
        <w:t>海宏、崔海燕</w:t>
      </w:r>
    </w:p>
    <w:p w14:paraId="5D04D5A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val="en-US" w:eastAsia="zh-CN"/>
        </w:rPr>
        <w:t>18199860236</w:t>
      </w:r>
    </w:p>
    <w:p w14:paraId="66336AA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27B2645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4F77B46C">
      <w:pPr>
        <w:rPr>
          <w:rStyle w:val="32"/>
          <w:rFonts w:hint="eastAsia" w:ascii="仿宋" w:hAnsi="仿宋" w:eastAsia="仿宋" w:cs="仿宋"/>
          <w:i w:val="0"/>
          <w:iCs w:val="0"/>
          <w:caps w:val="0"/>
          <w:color w:val="auto"/>
          <w:spacing w:val="0"/>
          <w:sz w:val="24"/>
          <w:szCs w:val="24"/>
          <w:highlight w:val="none"/>
        </w:rPr>
      </w:pPr>
      <w:r>
        <w:rPr>
          <w:rStyle w:val="32"/>
          <w:rFonts w:hint="eastAsia" w:ascii="仿宋" w:hAnsi="仿宋" w:eastAsia="仿宋" w:cs="仿宋"/>
          <w:i w:val="0"/>
          <w:iCs w:val="0"/>
          <w:caps w:val="0"/>
          <w:color w:val="auto"/>
          <w:spacing w:val="0"/>
          <w:sz w:val="24"/>
          <w:szCs w:val="24"/>
          <w:highlight w:val="none"/>
        </w:rPr>
        <w:br w:type="page"/>
      </w:r>
    </w:p>
    <w:p w14:paraId="2F62995E">
      <w:pPr>
        <w:shd w:val="clear"/>
        <w:tabs>
          <w:tab w:val="left" w:pos="1809"/>
        </w:tabs>
        <w:spacing w:line="433" w:lineRule="exact"/>
        <w:ind w:right="187"/>
        <w:jc w:val="center"/>
        <w:outlineLvl w:val="0"/>
        <w:rPr>
          <w:rStyle w:val="35"/>
          <w:rFonts w:ascii="仿宋" w:hAnsi="仿宋" w:eastAsia="仿宋" w:cs="仿宋"/>
          <w:b/>
          <w:bCs/>
          <w:color w:val="auto"/>
          <w:w w:val="95"/>
          <w:sz w:val="30"/>
          <w:szCs w:val="30"/>
          <w:highlight w:val="none"/>
          <w:lang w:eastAsia="zh-CN"/>
        </w:rPr>
      </w:pPr>
      <w:bookmarkStart w:id="11" w:name="_Toc22514"/>
      <w:bookmarkStart w:id="12" w:name="_Toc9771"/>
      <w:bookmarkStart w:id="13" w:name="_Toc29809"/>
      <w:bookmarkStart w:id="14" w:name="_Toc19379"/>
      <w:bookmarkStart w:id="15" w:name="_Toc22440"/>
      <w:bookmarkStart w:id="16" w:name="_Toc22387"/>
      <w:r>
        <w:rPr>
          <w:rStyle w:val="35"/>
          <w:rFonts w:hint="eastAsia" w:ascii="仿宋" w:hAnsi="仿宋" w:eastAsia="仿宋" w:cs="仿宋"/>
          <w:b/>
          <w:bCs/>
          <w:color w:val="auto"/>
          <w:w w:val="95"/>
          <w:sz w:val="30"/>
          <w:szCs w:val="30"/>
          <w:highlight w:val="none"/>
          <w:lang w:eastAsia="zh-CN"/>
        </w:rPr>
        <w:t>第二部分</w:t>
      </w:r>
      <w:r>
        <w:rPr>
          <w:rStyle w:val="35"/>
          <w:rFonts w:hint="eastAsia" w:ascii="仿宋" w:hAnsi="仿宋" w:eastAsia="仿宋" w:cs="仿宋"/>
          <w:b/>
          <w:bCs/>
          <w:color w:val="auto"/>
          <w:w w:val="95"/>
          <w:sz w:val="30"/>
          <w:szCs w:val="30"/>
          <w:highlight w:val="none"/>
          <w:lang w:val="en-US" w:eastAsia="zh-CN"/>
        </w:rPr>
        <w:t xml:space="preserve"> </w:t>
      </w:r>
      <w:r>
        <w:rPr>
          <w:rStyle w:val="35"/>
          <w:rFonts w:hint="eastAsia" w:ascii="仿宋" w:hAnsi="仿宋" w:eastAsia="仿宋" w:cs="仿宋"/>
          <w:b/>
          <w:bCs/>
          <w:color w:val="auto"/>
          <w:w w:val="95"/>
          <w:sz w:val="30"/>
          <w:szCs w:val="30"/>
          <w:highlight w:val="none"/>
          <w:lang w:eastAsia="zh-CN"/>
        </w:rPr>
        <w:t>供应商须知</w:t>
      </w:r>
      <w:bookmarkEnd w:id="11"/>
      <w:bookmarkEnd w:id="12"/>
      <w:bookmarkEnd w:id="13"/>
      <w:bookmarkEnd w:id="14"/>
      <w:bookmarkEnd w:id="15"/>
      <w:bookmarkEnd w:id="16"/>
    </w:p>
    <w:p w14:paraId="3229E2CC">
      <w:pPr>
        <w:pStyle w:val="42"/>
        <w:shd w:val="clear"/>
        <w:spacing w:before="98" w:after="58"/>
        <w:ind w:left="0" w:right="186"/>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供应商须知前附表</w:t>
      </w:r>
    </w:p>
    <w:tbl>
      <w:tblPr>
        <w:tblStyle w:val="27"/>
        <w:tblW w:w="963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6"/>
        <w:gridCol w:w="1310"/>
        <w:gridCol w:w="6523"/>
      </w:tblGrid>
      <w:tr w14:paraId="43530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1806" w:type="dxa"/>
            <w:tcBorders>
              <w:tl2br w:val="nil"/>
              <w:tr2bl w:val="nil"/>
            </w:tcBorders>
            <w:vAlign w:val="center"/>
          </w:tcPr>
          <w:p w14:paraId="42563D4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条款号</w:t>
            </w:r>
          </w:p>
        </w:tc>
        <w:tc>
          <w:tcPr>
            <w:tcW w:w="1310" w:type="dxa"/>
            <w:tcBorders>
              <w:tl2br w:val="nil"/>
              <w:tr2bl w:val="nil"/>
            </w:tcBorders>
            <w:vAlign w:val="center"/>
          </w:tcPr>
          <w:p w14:paraId="4D82511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条款名称</w:t>
            </w:r>
          </w:p>
        </w:tc>
        <w:tc>
          <w:tcPr>
            <w:tcW w:w="6523" w:type="dxa"/>
            <w:tcBorders>
              <w:tl2br w:val="nil"/>
              <w:tr2bl w:val="nil"/>
            </w:tcBorders>
            <w:vAlign w:val="center"/>
          </w:tcPr>
          <w:p w14:paraId="1CF8C3D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编列内容</w:t>
            </w:r>
          </w:p>
        </w:tc>
      </w:tr>
      <w:tr w14:paraId="08401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7406C4C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第一章1.1款</w:t>
            </w:r>
          </w:p>
        </w:tc>
        <w:tc>
          <w:tcPr>
            <w:tcW w:w="1310" w:type="dxa"/>
            <w:tcBorders>
              <w:tl2br w:val="nil"/>
              <w:tr2bl w:val="nil"/>
            </w:tcBorders>
            <w:vAlign w:val="center"/>
          </w:tcPr>
          <w:p w14:paraId="1A7341C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项目名称</w:t>
            </w:r>
          </w:p>
        </w:tc>
        <w:tc>
          <w:tcPr>
            <w:tcW w:w="6523" w:type="dxa"/>
            <w:tcBorders>
              <w:tl2br w:val="nil"/>
              <w:tr2bl w:val="nil"/>
            </w:tcBorders>
          </w:tcPr>
          <w:p w14:paraId="6C3F176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r>
              <w:rPr>
                <w:rFonts w:hint="eastAsia" w:ascii="仿宋" w:hAnsi="仿宋" w:eastAsia="仿宋" w:cs="仿宋"/>
                <w:bCs/>
                <w:color w:val="auto"/>
                <w:sz w:val="24"/>
                <w:szCs w:val="24"/>
                <w:highlight w:val="none"/>
                <w:lang w:eastAsia="zh-CN"/>
              </w:rPr>
              <w:t>2025年自治区自然资源规划研究院网络安全等级保护测评服务</w:t>
            </w:r>
          </w:p>
          <w:p w14:paraId="5986EC7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2025（JKJ）226</w:t>
            </w:r>
          </w:p>
        </w:tc>
      </w:tr>
      <w:tr w14:paraId="579EF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6" w:hRule="atLeast"/>
        </w:trPr>
        <w:tc>
          <w:tcPr>
            <w:tcW w:w="1806" w:type="dxa"/>
            <w:tcBorders>
              <w:tl2br w:val="nil"/>
              <w:tr2bl w:val="nil"/>
            </w:tcBorders>
            <w:vAlign w:val="center"/>
          </w:tcPr>
          <w:p w14:paraId="3164CD9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第一章1.2款</w:t>
            </w:r>
          </w:p>
        </w:tc>
        <w:tc>
          <w:tcPr>
            <w:tcW w:w="1310" w:type="dxa"/>
            <w:tcBorders>
              <w:tl2br w:val="nil"/>
              <w:tr2bl w:val="nil"/>
            </w:tcBorders>
            <w:vAlign w:val="center"/>
          </w:tcPr>
          <w:p w14:paraId="3ABA875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采购方式</w:t>
            </w:r>
          </w:p>
        </w:tc>
        <w:tc>
          <w:tcPr>
            <w:tcW w:w="6523" w:type="dxa"/>
            <w:tcBorders>
              <w:tl2br w:val="nil"/>
              <w:tr2bl w:val="nil"/>
            </w:tcBorders>
            <w:vAlign w:val="center"/>
          </w:tcPr>
          <w:p w14:paraId="4B88302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竞争性磋商；</w:t>
            </w:r>
          </w:p>
          <w:p w14:paraId="6DC8B72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待评审小组与供应商对采购标的的技术、服务等磋商结束后，评审小</w:t>
            </w:r>
            <w:r>
              <w:rPr>
                <w:rStyle w:val="35"/>
                <w:rFonts w:hint="eastAsia" w:ascii="仿宋" w:hAnsi="仿宋" w:eastAsia="仿宋" w:cs="仿宋"/>
                <w:color w:val="auto"/>
                <w:spacing w:val="-6"/>
                <w:sz w:val="24"/>
                <w:szCs w:val="24"/>
                <w:highlight w:val="none"/>
                <w:lang w:eastAsia="zh-CN"/>
              </w:rPr>
              <w:t>组要求所有实质性响应的供应商，在规定的时间内提交最后报价</w:t>
            </w:r>
            <w:r>
              <w:rPr>
                <w:rStyle w:val="35"/>
                <w:rFonts w:hint="eastAsia" w:ascii="仿宋" w:hAnsi="仿宋" w:eastAsia="仿宋" w:cs="仿宋"/>
                <w:color w:val="auto"/>
                <w:spacing w:val="-4"/>
                <w:sz w:val="24"/>
                <w:szCs w:val="24"/>
                <w:highlight w:val="none"/>
                <w:lang w:eastAsia="zh-CN"/>
              </w:rPr>
              <w:t>。</w:t>
            </w:r>
          </w:p>
        </w:tc>
      </w:tr>
      <w:tr w14:paraId="2DF6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7B1779B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第一章1.3款</w:t>
            </w:r>
          </w:p>
        </w:tc>
        <w:tc>
          <w:tcPr>
            <w:tcW w:w="1310" w:type="dxa"/>
            <w:tcBorders>
              <w:tl2br w:val="nil"/>
              <w:tr2bl w:val="nil"/>
            </w:tcBorders>
            <w:vAlign w:val="center"/>
          </w:tcPr>
          <w:p w14:paraId="1F3BAAE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采购内容</w:t>
            </w:r>
          </w:p>
        </w:tc>
        <w:tc>
          <w:tcPr>
            <w:tcW w:w="6523" w:type="dxa"/>
            <w:tcBorders>
              <w:tl2br w:val="nil"/>
              <w:tr2bl w:val="nil"/>
            </w:tcBorders>
            <w:vAlign w:val="center"/>
          </w:tcPr>
          <w:p w14:paraId="1038BE8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依据《信息安全技术网络安全等级保护测评要求》、《信息安全技术网络安全等级保护测评过程指南》等相关国家网络安全标准和规范，开展2个信息系统（1个互联网、1个内部局域网）网络安全等级（三级）测评工作。同时按工作任务要求，开展网络安全相关技术支持工作。（详细要求见</w:t>
            </w:r>
            <w:r>
              <w:rPr>
                <w:rFonts w:hint="eastAsia" w:ascii="仿宋" w:hAnsi="仿宋" w:eastAsia="仿宋" w:cs="仿宋"/>
                <w:i w:val="0"/>
                <w:iCs w:val="0"/>
                <w:caps w:val="0"/>
                <w:color w:val="auto"/>
                <w:spacing w:val="0"/>
                <w:sz w:val="24"/>
                <w:szCs w:val="24"/>
                <w:highlight w:val="none"/>
                <w:lang w:val="en-US" w:eastAsia="zh-CN"/>
              </w:rPr>
              <w:t>第三部分采购需求</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w:t>
            </w:r>
          </w:p>
        </w:tc>
      </w:tr>
      <w:tr w14:paraId="75B9C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166EB53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第一章1.4款</w:t>
            </w:r>
          </w:p>
        </w:tc>
        <w:tc>
          <w:tcPr>
            <w:tcW w:w="1310" w:type="dxa"/>
            <w:tcBorders>
              <w:tl2br w:val="nil"/>
              <w:tr2bl w:val="nil"/>
            </w:tcBorders>
            <w:vAlign w:val="center"/>
          </w:tcPr>
          <w:p w14:paraId="3F1AD62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资金来源</w:t>
            </w:r>
          </w:p>
        </w:tc>
        <w:tc>
          <w:tcPr>
            <w:tcW w:w="6523" w:type="dxa"/>
            <w:tcBorders>
              <w:tl2br w:val="nil"/>
              <w:tr2bl w:val="nil"/>
            </w:tcBorders>
            <w:vAlign w:val="center"/>
          </w:tcPr>
          <w:p w14:paraId="43C3974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left"/>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财政资金</w:t>
            </w:r>
          </w:p>
        </w:tc>
      </w:tr>
      <w:tr w14:paraId="3555F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2BC4A06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第一章1.5款</w:t>
            </w:r>
          </w:p>
        </w:tc>
        <w:tc>
          <w:tcPr>
            <w:tcW w:w="1310" w:type="dxa"/>
            <w:tcBorders>
              <w:tl2br w:val="nil"/>
              <w:tr2bl w:val="nil"/>
            </w:tcBorders>
            <w:vAlign w:val="center"/>
          </w:tcPr>
          <w:p w14:paraId="39D5C43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w:t>
            </w:r>
          </w:p>
        </w:tc>
        <w:tc>
          <w:tcPr>
            <w:tcW w:w="6523" w:type="dxa"/>
            <w:tcBorders>
              <w:tl2br w:val="nil"/>
              <w:tr2bl w:val="nil"/>
            </w:tcBorders>
            <w:vAlign w:val="center"/>
          </w:tcPr>
          <w:p w14:paraId="4283E3D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采购人指定地点</w:t>
            </w:r>
          </w:p>
        </w:tc>
      </w:tr>
      <w:tr w14:paraId="0AB4C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806" w:type="dxa"/>
            <w:tcBorders>
              <w:tl2br w:val="nil"/>
              <w:tr2bl w:val="nil"/>
            </w:tcBorders>
            <w:vAlign w:val="center"/>
          </w:tcPr>
          <w:p w14:paraId="458CE02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第一章1.6款</w:t>
            </w:r>
          </w:p>
        </w:tc>
        <w:tc>
          <w:tcPr>
            <w:tcW w:w="1310" w:type="dxa"/>
            <w:tcBorders>
              <w:tl2br w:val="nil"/>
              <w:tr2bl w:val="nil"/>
            </w:tcBorders>
            <w:vAlign w:val="center"/>
          </w:tcPr>
          <w:p w14:paraId="39700C0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合同履行期限</w:t>
            </w:r>
          </w:p>
        </w:tc>
        <w:tc>
          <w:tcPr>
            <w:tcW w:w="6523" w:type="dxa"/>
            <w:tcBorders>
              <w:tl2br w:val="nil"/>
              <w:tr2bl w:val="nil"/>
            </w:tcBorders>
            <w:vAlign w:val="center"/>
          </w:tcPr>
          <w:p w14:paraId="4BBDF79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hint="default" w:ascii="仿宋" w:hAnsi="仿宋" w:eastAsia="仿宋" w:cs="仿宋"/>
                <w:color w:val="auto"/>
                <w:sz w:val="24"/>
                <w:szCs w:val="24"/>
                <w:highlight w:val="none"/>
                <w:lang w:val="en-US" w:eastAsia="zh-CN"/>
              </w:rPr>
            </w:pPr>
            <w:r>
              <w:rPr>
                <w:rStyle w:val="35"/>
                <w:rFonts w:hint="default" w:ascii="仿宋" w:hAnsi="仿宋" w:eastAsia="仿宋" w:cs="仿宋"/>
                <w:color w:val="auto"/>
                <w:sz w:val="24"/>
                <w:szCs w:val="24"/>
                <w:highlight w:val="none"/>
                <w:lang w:val="en-US" w:eastAsia="zh-CN"/>
              </w:rPr>
              <w:t>在2025年11月30日前完成工作，并提供至少半年（验收之日起算）的网络安全技术服务，因上级主管部门安排部署变化导致工作提前或延后的，工期相应提前或顺延。</w:t>
            </w:r>
          </w:p>
        </w:tc>
      </w:tr>
      <w:tr w14:paraId="1758C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806" w:type="dxa"/>
            <w:tcBorders>
              <w:tl2br w:val="nil"/>
              <w:tr2bl w:val="nil"/>
            </w:tcBorders>
            <w:vAlign w:val="center"/>
          </w:tcPr>
          <w:p w14:paraId="43EC75D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第一章2.1款</w:t>
            </w:r>
          </w:p>
        </w:tc>
        <w:tc>
          <w:tcPr>
            <w:tcW w:w="1310" w:type="dxa"/>
            <w:tcBorders>
              <w:tl2br w:val="nil"/>
              <w:tr2bl w:val="nil"/>
            </w:tcBorders>
            <w:vAlign w:val="center"/>
          </w:tcPr>
          <w:p w14:paraId="6C23F6E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采购人</w:t>
            </w:r>
          </w:p>
        </w:tc>
        <w:tc>
          <w:tcPr>
            <w:tcW w:w="6523" w:type="dxa"/>
            <w:tcBorders>
              <w:tl2br w:val="nil"/>
              <w:tr2bl w:val="nil"/>
            </w:tcBorders>
            <w:vAlign w:val="center"/>
          </w:tcPr>
          <w:p w14:paraId="70482F9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采购人：</w:t>
            </w:r>
            <w:r>
              <w:rPr>
                <w:rStyle w:val="32"/>
                <w:rFonts w:hint="eastAsia" w:ascii="仿宋" w:hAnsi="仿宋" w:eastAsia="仿宋" w:cs="仿宋"/>
                <w:i w:val="0"/>
                <w:iCs w:val="0"/>
                <w:caps w:val="0"/>
                <w:color w:val="auto"/>
                <w:spacing w:val="0"/>
                <w:sz w:val="24"/>
                <w:szCs w:val="24"/>
                <w:highlight w:val="none"/>
                <w:lang w:eastAsia="zh-CN"/>
              </w:rPr>
              <w:t>新疆维吾尔自治区自然资源规划研究院</w:t>
            </w:r>
          </w:p>
          <w:p w14:paraId="2FED92F9">
            <w:pPr>
              <w:shd w:val="clear"/>
              <w:spacing w:line="579" w:lineRule="exact"/>
              <w:rPr>
                <w:rStyle w:val="35"/>
                <w:rFonts w:hint="default" w:ascii="仿宋" w:hAnsi="仿宋" w:eastAsia="仿宋" w:cs="仿宋"/>
                <w:color w:val="auto"/>
                <w:sz w:val="24"/>
                <w:szCs w:val="24"/>
                <w:highlight w:val="none"/>
                <w:lang w:val="en-US" w:eastAsia="zh-CN"/>
              </w:rPr>
            </w:pPr>
            <w:r>
              <w:rPr>
                <w:rStyle w:val="35"/>
                <w:rFonts w:hint="default" w:ascii="仿宋" w:hAnsi="仿宋" w:eastAsia="仿宋" w:cs="仿宋"/>
                <w:color w:val="auto"/>
                <w:sz w:val="24"/>
                <w:szCs w:val="24"/>
                <w:highlight w:val="none"/>
                <w:lang w:val="en-US" w:eastAsia="zh-CN"/>
              </w:rPr>
              <w:t>联 系 人：崔思怡</w:t>
            </w:r>
          </w:p>
          <w:p w14:paraId="0A93AEAD">
            <w:pPr>
              <w:shd w:val="clear"/>
              <w:spacing w:line="579" w:lineRule="exact"/>
              <w:rPr>
                <w:rStyle w:val="35"/>
                <w:rFonts w:hint="default" w:ascii="仿宋" w:hAnsi="仿宋" w:eastAsia="仿宋" w:cs="仿宋"/>
                <w:color w:val="auto"/>
                <w:sz w:val="24"/>
                <w:szCs w:val="24"/>
                <w:highlight w:val="none"/>
                <w:lang w:val="en-US" w:eastAsia="zh-CN"/>
              </w:rPr>
            </w:pPr>
            <w:r>
              <w:rPr>
                <w:rStyle w:val="35"/>
                <w:rFonts w:hint="default" w:ascii="仿宋" w:hAnsi="仿宋" w:eastAsia="仿宋" w:cs="仿宋"/>
                <w:color w:val="auto"/>
                <w:sz w:val="24"/>
                <w:szCs w:val="24"/>
                <w:highlight w:val="none"/>
                <w:lang w:val="en-US" w:eastAsia="zh-CN"/>
              </w:rPr>
              <w:t>联系电话：19999125379</w:t>
            </w:r>
          </w:p>
        </w:tc>
      </w:tr>
      <w:tr w14:paraId="7BF2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5ABE76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第一章2.2款</w:t>
            </w:r>
          </w:p>
        </w:tc>
        <w:tc>
          <w:tcPr>
            <w:tcW w:w="1310" w:type="dxa"/>
            <w:tcBorders>
              <w:tl2br w:val="nil"/>
              <w:tr2bl w:val="nil"/>
            </w:tcBorders>
            <w:vAlign w:val="center"/>
          </w:tcPr>
          <w:p w14:paraId="0A6318A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代理机构</w:t>
            </w:r>
          </w:p>
        </w:tc>
        <w:tc>
          <w:tcPr>
            <w:tcW w:w="6523" w:type="dxa"/>
            <w:tcBorders>
              <w:tl2br w:val="nil"/>
              <w:tr2bl w:val="nil"/>
            </w:tcBorders>
          </w:tcPr>
          <w:p w14:paraId="4300B61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名称：新疆君凯杰工程项目管理有限公司</w:t>
            </w:r>
          </w:p>
          <w:p w14:paraId="0F28F21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地址：乌鲁木齐市水磨沟区会展大道1119号大成尔雅A座80</w:t>
            </w:r>
            <w:r>
              <w:rPr>
                <w:rStyle w:val="35"/>
                <w:rFonts w:hint="eastAsia" w:ascii="仿宋" w:hAnsi="仿宋" w:eastAsia="仿宋" w:cs="仿宋"/>
                <w:color w:val="auto"/>
                <w:spacing w:val="-7"/>
                <w:sz w:val="24"/>
                <w:szCs w:val="24"/>
                <w:highlight w:val="none"/>
                <w:lang w:val="en-US" w:eastAsia="zh-CN"/>
              </w:rPr>
              <w:t>7</w:t>
            </w:r>
            <w:r>
              <w:rPr>
                <w:rStyle w:val="35"/>
                <w:rFonts w:hint="eastAsia" w:ascii="仿宋" w:hAnsi="仿宋" w:eastAsia="仿宋" w:cs="仿宋"/>
                <w:color w:val="auto"/>
                <w:spacing w:val="-7"/>
                <w:sz w:val="24"/>
                <w:szCs w:val="24"/>
                <w:highlight w:val="none"/>
                <w:lang w:eastAsia="zh-CN"/>
              </w:rPr>
              <w:t>室</w:t>
            </w:r>
          </w:p>
          <w:p w14:paraId="2ED3E84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联系人：海宏、崔海燕</w:t>
            </w:r>
          </w:p>
          <w:p w14:paraId="0BA24C13">
            <w:pPr>
              <w:pStyle w:val="43"/>
              <w:keepNext w:val="0"/>
              <w:keepLines w:val="0"/>
              <w:pageBreakBefore w:val="0"/>
              <w:widowControl/>
              <w:shd w:val="clear"/>
              <w:tabs>
                <w:tab w:val="left" w:pos="3706"/>
              </w:tabs>
              <w:kinsoku/>
              <w:wordWrap/>
              <w:overflowPunct/>
              <w:topLinePunct w:val="0"/>
              <w:autoSpaceDE/>
              <w:autoSpaceDN/>
              <w:bidi w:val="0"/>
              <w:adjustRightInd/>
              <w:snapToGrid/>
              <w:spacing w:line="579" w:lineRule="exact"/>
              <w:ind w:left="0" w:leftChars="0" w:right="0" w:rightChars="0"/>
              <w:textAlignment w:val="baseline"/>
              <w:rPr>
                <w:rStyle w:val="35"/>
                <w:rFonts w:hint="default" w:ascii="仿宋" w:hAnsi="仿宋" w:eastAsia="仿宋" w:cs="仿宋"/>
                <w:color w:val="auto"/>
                <w:spacing w:val="-7"/>
                <w:sz w:val="24"/>
                <w:szCs w:val="24"/>
                <w:highlight w:val="none"/>
                <w:lang w:val="en-US" w:eastAsia="zh-CN"/>
              </w:rPr>
            </w:pPr>
            <w:r>
              <w:rPr>
                <w:rStyle w:val="35"/>
                <w:rFonts w:hint="eastAsia" w:ascii="仿宋" w:hAnsi="仿宋" w:eastAsia="仿宋" w:cs="仿宋"/>
                <w:color w:val="auto"/>
                <w:spacing w:val="-7"/>
                <w:sz w:val="24"/>
                <w:szCs w:val="24"/>
                <w:highlight w:val="none"/>
                <w:lang w:eastAsia="zh-CN"/>
              </w:rPr>
              <w:t>电话：</w:t>
            </w:r>
            <w:r>
              <w:rPr>
                <w:rStyle w:val="35"/>
                <w:rFonts w:hint="eastAsia" w:ascii="仿宋" w:hAnsi="仿宋" w:eastAsia="仿宋" w:cs="仿宋"/>
                <w:color w:val="auto"/>
                <w:spacing w:val="-7"/>
                <w:sz w:val="24"/>
                <w:szCs w:val="24"/>
                <w:highlight w:val="none"/>
                <w:lang w:val="en-US" w:eastAsia="zh-CN"/>
              </w:rPr>
              <w:t>18199860236</w:t>
            </w:r>
          </w:p>
        </w:tc>
      </w:tr>
      <w:tr w14:paraId="27B70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0FFA2E0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第一章2.8款</w:t>
            </w:r>
          </w:p>
        </w:tc>
        <w:tc>
          <w:tcPr>
            <w:tcW w:w="1310" w:type="dxa"/>
            <w:tcBorders>
              <w:tl2br w:val="nil"/>
              <w:tr2bl w:val="nil"/>
            </w:tcBorders>
            <w:vAlign w:val="center"/>
          </w:tcPr>
          <w:p w14:paraId="3AE06F7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偏离</w:t>
            </w:r>
          </w:p>
        </w:tc>
        <w:tc>
          <w:tcPr>
            <w:tcW w:w="6523" w:type="dxa"/>
            <w:tcBorders>
              <w:tl2br w:val="nil"/>
              <w:tr2bl w:val="nil"/>
            </w:tcBorders>
            <w:vAlign w:val="center"/>
          </w:tcPr>
          <w:p w14:paraId="31421D25">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不接受实质性负偏离</w:t>
            </w:r>
          </w:p>
        </w:tc>
      </w:tr>
      <w:tr w14:paraId="5FE1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115C036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第一章3.1款</w:t>
            </w:r>
          </w:p>
        </w:tc>
        <w:tc>
          <w:tcPr>
            <w:tcW w:w="1310" w:type="dxa"/>
            <w:tcBorders>
              <w:tl2br w:val="nil"/>
              <w:tr2bl w:val="nil"/>
            </w:tcBorders>
            <w:vAlign w:val="center"/>
          </w:tcPr>
          <w:p w14:paraId="6881ED6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供应商资格</w:t>
            </w:r>
          </w:p>
        </w:tc>
        <w:tc>
          <w:tcPr>
            <w:tcW w:w="6523" w:type="dxa"/>
            <w:tcBorders>
              <w:tl2br w:val="nil"/>
              <w:tr2bl w:val="nil"/>
            </w:tcBorders>
            <w:vAlign w:val="center"/>
          </w:tcPr>
          <w:p w14:paraId="6761ED0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详见竞争性磋商公告</w:t>
            </w:r>
          </w:p>
        </w:tc>
      </w:tr>
      <w:tr w14:paraId="68271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1806" w:type="dxa"/>
            <w:tcBorders>
              <w:tl2br w:val="nil"/>
              <w:tr2bl w:val="nil"/>
            </w:tcBorders>
            <w:vAlign w:val="center"/>
          </w:tcPr>
          <w:p w14:paraId="12026FC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第一章5.1款</w:t>
            </w:r>
          </w:p>
        </w:tc>
        <w:tc>
          <w:tcPr>
            <w:tcW w:w="1310" w:type="dxa"/>
            <w:tcBorders>
              <w:tl2br w:val="nil"/>
              <w:tr2bl w:val="nil"/>
            </w:tcBorders>
            <w:vAlign w:val="center"/>
          </w:tcPr>
          <w:p w14:paraId="44BC7D52">
            <w:pPr>
              <w:pStyle w:val="43"/>
              <w:keepNext w:val="0"/>
              <w:keepLines w:val="0"/>
              <w:pageBreakBefore w:val="0"/>
              <w:widowControl/>
              <w:shd w:val="clear"/>
              <w:kinsoku/>
              <w:wordWrap/>
              <w:overflowPunct/>
              <w:topLinePunct w:val="0"/>
              <w:autoSpaceDE/>
              <w:autoSpaceDN/>
              <w:bidi w:val="0"/>
              <w:adjustRightInd/>
              <w:snapToGrid/>
              <w:spacing w:line="579" w:lineRule="exact"/>
              <w:ind w:left="108" w:leftChars="0" w:right="0" w:rightChars="0" w:hanging="108"/>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是否接受联合体投标</w:t>
            </w:r>
          </w:p>
        </w:tc>
        <w:tc>
          <w:tcPr>
            <w:tcW w:w="6523" w:type="dxa"/>
            <w:tcBorders>
              <w:tl2br w:val="nil"/>
              <w:tr2bl w:val="nil"/>
            </w:tcBorders>
            <w:vAlign w:val="center"/>
          </w:tcPr>
          <w:p w14:paraId="7408E34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不</w:t>
            </w:r>
            <w:r>
              <w:rPr>
                <w:rStyle w:val="35"/>
                <w:rFonts w:hint="eastAsia" w:ascii="仿宋" w:hAnsi="仿宋" w:eastAsia="仿宋" w:cs="仿宋"/>
                <w:color w:val="auto"/>
                <w:sz w:val="24"/>
                <w:szCs w:val="24"/>
                <w:highlight w:val="none"/>
                <w:lang w:eastAsia="zh-CN"/>
              </w:rPr>
              <w:t>接受。</w:t>
            </w:r>
          </w:p>
        </w:tc>
      </w:tr>
      <w:tr w14:paraId="5D323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6FA79A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第一章6.1款</w:t>
            </w:r>
          </w:p>
        </w:tc>
        <w:tc>
          <w:tcPr>
            <w:tcW w:w="1310" w:type="dxa"/>
            <w:tcBorders>
              <w:tl2br w:val="nil"/>
              <w:tr2bl w:val="nil"/>
            </w:tcBorders>
            <w:vAlign w:val="center"/>
          </w:tcPr>
          <w:p w14:paraId="25BA0C7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踏勘现场</w:t>
            </w:r>
          </w:p>
        </w:tc>
        <w:tc>
          <w:tcPr>
            <w:tcW w:w="6523" w:type="dxa"/>
            <w:tcBorders>
              <w:tl2br w:val="nil"/>
              <w:tr2bl w:val="nil"/>
            </w:tcBorders>
            <w:vAlign w:val="center"/>
          </w:tcPr>
          <w:p w14:paraId="21B7F17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不组织</w:t>
            </w:r>
          </w:p>
        </w:tc>
      </w:tr>
      <w:tr w14:paraId="4A65B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4F8D8F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8.3</w:t>
            </w:r>
            <w:r>
              <w:rPr>
                <w:rStyle w:val="35"/>
                <w:rFonts w:hint="eastAsia" w:ascii="仿宋" w:hAnsi="仿宋" w:eastAsia="仿宋" w:cs="仿宋"/>
                <w:color w:val="auto"/>
                <w:sz w:val="24"/>
                <w:szCs w:val="24"/>
                <w:highlight w:val="none"/>
              </w:rPr>
              <w:t>款</w:t>
            </w:r>
          </w:p>
        </w:tc>
        <w:tc>
          <w:tcPr>
            <w:tcW w:w="1310" w:type="dxa"/>
            <w:tcBorders>
              <w:tl2br w:val="nil"/>
              <w:tr2bl w:val="nil"/>
            </w:tcBorders>
            <w:vAlign w:val="center"/>
          </w:tcPr>
          <w:p w14:paraId="23FCF83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政府采购支持中小企业发展</w:t>
            </w:r>
          </w:p>
        </w:tc>
        <w:tc>
          <w:tcPr>
            <w:tcW w:w="6523" w:type="dxa"/>
            <w:tcBorders>
              <w:tl2br w:val="nil"/>
              <w:tr2bl w:val="nil"/>
            </w:tcBorders>
            <w:vAlign w:val="center"/>
          </w:tcPr>
          <w:p w14:paraId="296E9356">
            <w:pPr>
              <w:shd w:val="clear"/>
              <w:tabs>
                <w:tab w:val="center" w:pos="4153"/>
                <w:tab w:val="right" w:pos="8306"/>
              </w:tabs>
              <w:snapToGrid w:val="0"/>
              <w:spacing w:line="440" w:lineRule="exact"/>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专门面向中小企业采购的项目或者采购包，不再执行价格评审优惠的扶持政策。</w:t>
            </w:r>
          </w:p>
          <w:p w14:paraId="40528130">
            <w:pPr>
              <w:shd w:val="clear"/>
              <w:tabs>
                <w:tab w:val="center" w:pos="4153"/>
                <w:tab w:val="right" w:pos="8306"/>
              </w:tabs>
              <w:snapToGrid w:val="0"/>
              <w:spacing w:line="440" w:lineRule="exact"/>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b/>
                <w:bCs/>
                <w:color w:val="auto"/>
                <w:sz w:val="24"/>
                <w:szCs w:val="24"/>
                <w:highlight w:val="none"/>
              </w:rPr>
              <w:t>本项目所属行业：</w:t>
            </w:r>
            <w:r>
              <w:rPr>
                <w:rStyle w:val="35"/>
                <w:rFonts w:hint="eastAsia" w:ascii="仿宋" w:hAnsi="仿宋" w:eastAsia="仿宋" w:cs="仿宋"/>
                <w:b/>
                <w:bCs/>
                <w:color w:val="auto"/>
                <w:sz w:val="24"/>
                <w:szCs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081A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6F6AF1E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8.5</w:t>
            </w:r>
            <w:r>
              <w:rPr>
                <w:rStyle w:val="35"/>
                <w:rFonts w:hint="eastAsia" w:ascii="仿宋" w:hAnsi="仿宋" w:eastAsia="仿宋" w:cs="仿宋"/>
                <w:color w:val="auto"/>
                <w:sz w:val="24"/>
                <w:szCs w:val="24"/>
                <w:highlight w:val="none"/>
              </w:rPr>
              <w:t>款</w:t>
            </w:r>
          </w:p>
        </w:tc>
        <w:tc>
          <w:tcPr>
            <w:tcW w:w="1310" w:type="dxa"/>
            <w:tcBorders>
              <w:tl2br w:val="nil"/>
              <w:tr2bl w:val="nil"/>
            </w:tcBorders>
            <w:vAlign w:val="center"/>
          </w:tcPr>
          <w:p w14:paraId="78F1023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政府采购支持中小企业融资</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rPr>
              <w:t>信用担保</w:t>
            </w:r>
          </w:p>
        </w:tc>
        <w:tc>
          <w:tcPr>
            <w:tcW w:w="6523" w:type="dxa"/>
            <w:tcBorders>
              <w:tl2br w:val="nil"/>
              <w:tr2bl w:val="nil"/>
            </w:tcBorders>
            <w:vAlign w:val="center"/>
          </w:tcPr>
          <w:p w14:paraId="47E1903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中小企业在融资、保证金、履约保证等方面有需求的，可查询当地政府采购管理部门相关政策，通过专业化的担保途径解决。</w:t>
            </w:r>
          </w:p>
        </w:tc>
      </w:tr>
      <w:tr w14:paraId="35D84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1806" w:type="dxa"/>
            <w:tcBorders>
              <w:tl2br w:val="nil"/>
              <w:tr2bl w:val="nil"/>
            </w:tcBorders>
            <w:vAlign w:val="center"/>
          </w:tcPr>
          <w:p w14:paraId="1E89E85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16.3</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00B24BE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最高投标限价（采</w:t>
            </w:r>
          </w:p>
          <w:p w14:paraId="63E0994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购预算）</w:t>
            </w:r>
          </w:p>
        </w:tc>
        <w:tc>
          <w:tcPr>
            <w:tcW w:w="6523" w:type="dxa"/>
            <w:tcBorders>
              <w:tl2br w:val="nil"/>
              <w:tr2bl w:val="nil"/>
            </w:tcBorders>
          </w:tcPr>
          <w:p w14:paraId="7D5F3DB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最高投标限价(即采购预算)为</w:t>
            </w:r>
            <w:r>
              <w:rPr>
                <w:rStyle w:val="35"/>
                <w:rFonts w:hint="eastAsia" w:ascii="仿宋" w:hAnsi="仿宋" w:eastAsia="仿宋" w:cs="仿宋"/>
                <w:color w:val="auto"/>
                <w:sz w:val="24"/>
                <w:szCs w:val="24"/>
                <w:highlight w:val="none"/>
                <w:lang w:val="en-US" w:eastAsia="zh-CN"/>
              </w:rPr>
              <w:t>180000.00</w:t>
            </w:r>
            <w:r>
              <w:rPr>
                <w:rStyle w:val="35"/>
                <w:rFonts w:hint="eastAsia" w:ascii="仿宋" w:hAnsi="仿宋" w:eastAsia="仿宋" w:cs="仿宋"/>
                <w:color w:val="auto"/>
                <w:sz w:val="24"/>
                <w:szCs w:val="24"/>
                <w:highlight w:val="none"/>
                <w:lang w:eastAsia="zh-CN"/>
              </w:rPr>
              <w:t>元</w:t>
            </w:r>
          </w:p>
          <w:p w14:paraId="525A07C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pacing w:val="-10"/>
                <w:sz w:val="24"/>
                <w:szCs w:val="24"/>
                <w:highlight w:val="none"/>
                <w:lang w:eastAsia="zh-CN"/>
              </w:rPr>
            </w:pPr>
            <w:r>
              <w:rPr>
                <w:rStyle w:val="35"/>
                <w:rFonts w:hint="eastAsia" w:ascii="仿宋" w:hAnsi="仿宋" w:eastAsia="仿宋" w:cs="仿宋"/>
                <w:b/>
                <w:color w:val="auto"/>
                <w:sz w:val="24"/>
                <w:szCs w:val="24"/>
                <w:highlight w:val="none"/>
                <w:lang w:eastAsia="zh-CN"/>
              </w:rPr>
              <w:t>供应商的投标报价不得超过最高投标限价，否则其响应文件按否决投标处理。</w:t>
            </w:r>
          </w:p>
        </w:tc>
      </w:tr>
      <w:tr w14:paraId="02BC6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A5E9C4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17.1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58A56F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投标有效期</w:t>
            </w:r>
          </w:p>
        </w:tc>
        <w:tc>
          <w:tcPr>
            <w:tcW w:w="6523" w:type="dxa"/>
            <w:tcBorders>
              <w:tl2br w:val="nil"/>
              <w:tr2bl w:val="nil"/>
            </w:tcBorders>
            <w:vAlign w:val="center"/>
          </w:tcPr>
          <w:p w14:paraId="44DD33F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90日历天（从投标截止之日算起）。</w:t>
            </w:r>
          </w:p>
        </w:tc>
      </w:tr>
      <w:tr w14:paraId="11D3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0BC535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6D7F53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w:t>
            </w:r>
          </w:p>
        </w:tc>
        <w:tc>
          <w:tcPr>
            <w:tcW w:w="6523" w:type="dxa"/>
            <w:tcBorders>
              <w:tl2br w:val="nil"/>
              <w:tr2bl w:val="nil"/>
            </w:tcBorders>
            <w:vAlign w:val="center"/>
          </w:tcPr>
          <w:p w14:paraId="372DBAB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磋商保证金的金额：</w:t>
            </w:r>
            <w:r>
              <w:rPr>
                <w:rStyle w:val="35"/>
                <w:rFonts w:hint="eastAsia" w:ascii="仿宋" w:hAnsi="仿宋" w:eastAsia="仿宋" w:cs="仿宋"/>
                <w:color w:val="auto"/>
                <w:sz w:val="24"/>
                <w:szCs w:val="24"/>
                <w:highlight w:val="none"/>
                <w:lang w:val="en-US" w:eastAsia="zh-CN"/>
              </w:rPr>
              <w:t>3000.00</w:t>
            </w:r>
            <w:r>
              <w:rPr>
                <w:rStyle w:val="35"/>
                <w:rFonts w:hint="eastAsia" w:ascii="仿宋" w:hAnsi="仿宋" w:eastAsia="仿宋" w:cs="仿宋"/>
                <w:color w:val="auto"/>
                <w:sz w:val="24"/>
                <w:szCs w:val="24"/>
                <w:highlight w:val="none"/>
                <w:lang w:eastAsia="zh-CN"/>
              </w:rPr>
              <w:t>元（大写：叁仟元整）</w:t>
            </w:r>
          </w:p>
          <w:p w14:paraId="46D639F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磋商保证金的形式：银行电汇或银行转账</w:t>
            </w:r>
            <w:r>
              <w:rPr>
                <w:rStyle w:val="35"/>
                <w:rFonts w:hint="eastAsia" w:ascii="仿宋" w:hAnsi="仿宋" w:eastAsia="仿宋" w:cs="仿宋"/>
                <w:color w:val="auto"/>
                <w:sz w:val="24"/>
                <w:szCs w:val="24"/>
                <w:highlight w:val="none"/>
                <w:lang w:val="en-US" w:eastAsia="zh-CN"/>
              </w:rPr>
              <w:t>或保函</w:t>
            </w:r>
            <w:r>
              <w:rPr>
                <w:rStyle w:val="35"/>
                <w:rFonts w:hint="eastAsia" w:ascii="仿宋" w:hAnsi="仿宋" w:eastAsia="仿宋" w:cs="仿宋"/>
                <w:color w:val="auto"/>
                <w:sz w:val="24"/>
                <w:szCs w:val="24"/>
                <w:highlight w:val="none"/>
                <w:lang w:eastAsia="zh-CN"/>
              </w:rPr>
              <w:t>等</w:t>
            </w:r>
            <w:r>
              <w:rPr>
                <w:rStyle w:val="35"/>
                <w:rFonts w:hint="eastAsia" w:ascii="仿宋" w:hAnsi="仿宋" w:eastAsia="仿宋" w:cs="仿宋"/>
                <w:color w:val="auto"/>
                <w:sz w:val="24"/>
                <w:szCs w:val="24"/>
                <w:highlight w:val="none"/>
                <w:lang w:val="en-US" w:eastAsia="zh-CN"/>
              </w:rPr>
              <w:t>形式</w:t>
            </w:r>
            <w:r>
              <w:rPr>
                <w:rStyle w:val="35"/>
                <w:rFonts w:hint="eastAsia" w:ascii="仿宋" w:hAnsi="仿宋" w:eastAsia="仿宋" w:cs="仿宋"/>
                <w:color w:val="auto"/>
                <w:sz w:val="24"/>
                <w:szCs w:val="24"/>
                <w:highlight w:val="none"/>
                <w:lang w:eastAsia="zh-CN"/>
              </w:rPr>
              <w:t>。</w:t>
            </w:r>
          </w:p>
          <w:p w14:paraId="0564FDC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开户名称：新疆君凯杰工程项目管理有限公司</w:t>
            </w:r>
          </w:p>
          <w:p w14:paraId="02D9583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开户银行：中国农业银行乌鲁木齐昆仑路支行</w:t>
            </w:r>
          </w:p>
          <w:p w14:paraId="69AFBD5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帐    号：30006 4010 400 10690</w:t>
            </w:r>
          </w:p>
          <w:p w14:paraId="3516479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行    号：10388 1000 646</w:t>
            </w:r>
          </w:p>
          <w:p w14:paraId="2CA6175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咨询电话：0991-4639846（财务室）</w:t>
            </w:r>
          </w:p>
          <w:p w14:paraId="56C6FFF6">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附注：（</w:t>
            </w:r>
            <w:r>
              <w:rPr>
                <w:rStyle w:val="35"/>
                <w:rFonts w:hint="eastAsia" w:ascii="仿宋" w:hAnsi="仿宋" w:eastAsia="仿宋" w:cs="仿宋"/>
                <w:b/>
                <w:bCs/>
                <w:color w:val="auto"/>
                <w:sz w:val="24"/>
                <w:szCs w:val="24"/>
                <w:highlight w:val="none"/>
                <w:lang w:eastAsia="zh-CN"/>
              </w:rPr>
              <w:t>项目名称简称或项目编号</w:t>
            </w:r>
            <w:r>
              <w:rPr>
                <w:rStyle w:val="35"/>
                <w:rFonts w:hint="eastAsia" w:ascii="仿宋" w:hAnsi="仿宋" w:eastAsia="仿宋" w:cs="仿宋"/>
                <w:color w:val="auto"/>
                <w:sz w:val="24"/>
                <w:szCs w:val="24"/>
                <w:highlight w:val="none"/>
                <w:lang w:eastAsia="zh-CN"/>
              </w:rPr>
              <w:t>）磋商保证金</w:t>
            </w:r>
          </w:p>
          <w:p w14:paraId="0BF642D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磋商保证金必须在响应文件递交截止时间前确保到帐；供应商未按竞争性磋商文件要求提交磋商保证金的，响应文件无效。</w:t>
            </w:r>
          </w:p>
        </w:tc>
      </w:tr>
      <w:tr w14:paraId="46507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A014EA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18.2</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7B487F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磋商保证金的退还</w:t>
            </w:r>
          </w:p>
        </w:tc>
        <w:tc>
          <w:tcPr>
            <w:tcW w:w="6523" w:type="dxa"/>
            <w:tcBorders>
              <w:tl2br w:val="nil"/>
              <w:tr2bl w:val="nil"/>
            </w:tcBorders>
          </w:tcPr>
          <w:p w14:paraId="6FF3F2E9">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保证金的退还：</w:t>
            </w:r>
          </w:p>
          <w:p w14:paraId="63147A78">
            <w:pPr>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14:paraId="6DDD61F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（2）采购人或者采购代理机构应当自中标通知书发出之日起5个工作日内退还未中标人的磋商保证金，自采购合同签订之日起5个工作日内退还中标人的磋商保证金或者转为中标人的履约保证金。</w:t>
            </w:r>
          </w:p>
          <w:p w14:paraId="117E53D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退还中标方磋商保证金时，中标方须提供与采购人签订的合同原</w:t>
            </w:r>
            <w:r>
              <w:rPr>
                <w:rStyle w:val="35"/>
                <w:rFonts w:hint="eastAsia" w:ascii="仿宋" w:hAnsi="仿宋" w:eastAsia="仿宋" w:cs="仿宋"/>
                <w:b/>
                <w:color w:val="auto"/>
                <w:spacing w:val="-8"/>
                <w:sz w:val="24"/>
                <w:szCs w:val="24"/>
                <w:highlight w:val="none"/>
                <w:lang w:eastAsia="zh-CN"/>
              </w:rPr>
              <w:t>件一份</w:t>
            </w:r>
            <w:r>
              <w:rPr>
                <w:rStyle w:val="35"/>
                <w:rFonts w:hint="eastAsia" w:ascii="仿宋" w:hAnsi="仿宋" w:eastAsia="仿宋" w:cs="仿宋"/>
                <w:b/>
                <w:color w:val="auto"/>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原件核查无误后退还</w:t>
            </w:r>
            <w:r>
              <w:rPr>
                <w:rStyle w:val="35"/>
                <w:rFonts w:hint="eastAsia" w:ascii="仿宋" w:hAnsi="仿宋" w:eastAsia="仿宋" w:cs="仿宋"/>
                <w:b/>
                <w:color w:val="auto"/>
                <w:spacing w:val="-22"/>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及已加盖中标方公章的合同全本复印</w:t>
            </w:r>
            <w:r>
              <w:rPr>
                <w:rStyle w:val="35"/>
                <w:rFonts w:hint="eastAsia" w:ascii="仿宋" w:hAnsi="仿宋" w:eastAsia="仿宋" w:cs="仿宋"/>
                <w:b/>
                <w:color w:val="auto"/>
                <w:sz w:val="24"/>
                <w:szCs w:val="24"/>
                <w:highlight w:val="none"/>
                <w:lang w:eastAsia="zh-CN"/>
              </w:rPr>
              <w:t>件一份（由代理机构存档备查）</w:t>
            </w:r>
            <w:r>
              <w:rPr>
                <w:rStyle w:val="35"/>
                <w:rFonts w:hint="eastAsia" w:ascii="仿宋" w:hAnsi="仿宋" w:eastAsia="仿宋" w:cs="仿宋"/>
                <w:b/>
                <w:bCs/>
                <w:color w:val="auto"/>
                <w:sz w:val="24"/>
                <w:szCs w:val="24"/>
                <w:highlight w:val="none"/>
                <w:lang w:eastAsia="zh-CN"/>
              </w:rPr>
              <w:t>。</w:t>
            </w:r>
          </w:p>
        </w:tc>
      </w:tr>
      <w:tr w14:paraId="2DBE9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44" w:hRule="atLeast"/>
        </w:trPr>
        <w:tc>
          <w:tcPr>
            <w:tcW w:w="1806" w:type="dxa"/>
            <w:tcBorders>
              <w:tl2br w:val="nil"/>
              <w:tr2bl w:val="nil"/>
            </w:tcBorders>
            <w:vAlign w:val="center"/>
          </w:tcPr>
          <w:p w14:paraId="0077A94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18.3</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10F15CD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不予退还保证金的情形</w:t>
            </w:r>
          </w:p>
        </w:tc>
        <w:tc>
          <w:tcPr>
            <w:tcW w:w="6523" w:type="dxa"/>
            <w:tcBorders>
              <w:tl2br w:val="nil"/>
              <w:tr2bl w:val="nil"/>
            </w:tcBorders>
          </w:tcPr>
          <w:p w14:paraId="6B17D43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有下列情形之一的，保证金不予退还：</w:t>
            </w:r>
          </w:p>
          <w:p w14:paraId="7B87D30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（1）供应商在提交响应文件截止时间后撤回响应文件的；</w:t>
            </w:r>
          </w:p>
          <w:p w14:paraId="551B2E4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（2）供应商在响应文件中提供虚假材料的；</w:t>
            </w:r>
          </w:p>
          <w:p w14:paraId="3E0E4DD3">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（3）除因不可抗力或竞争性磋商文件认可的情形以外，成交供应商不与采购人签订合同的；</w:t>
            </w:r>
          </w:p>
          <w:p w14:paraId="55A36DD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（4）供应商与采购人、其他供应商或者采购代理机构恶意串通的；</w:t>
            </w:r>
          </w:p>
          <w:p w14:paraId="6E84759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（5）竞争性磋商文件规定的其他情形。</w:t>
            </w:r>
          </w:p>
        </w:tc>
      </w:tr>
      <w:tr w14:paraId="752F6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806" w:type="dxa"/>
            <w:tcBorders>
              <w:tl2br w:val="nil"/>
              <w:tr2bl w:val="nil"/>
            </w:tcBorders>
            <w:vAlign w:val="center"/>
          </w:tcPr>
          <w:p w14:paraId="651305F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19.1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3FA2616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响应文件份数</w:t>
            </w:r>
          </w:p>
        </w:tc>
        <w:tc>
          <w:tcPr>
            <w:tcW w:w="6523" w:type="dxa"/>
            <w:tcBorders>
              <w:tl2br w:val="nil"/>
              <w:tr2bl w:val="nil"/>
            </w:tcBorders>
          </w:tcPr>
          <w:p w14:paraId="2A91022A">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ind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加密的电子响应文件壹份(.jmbs格式)在政采云平台指定位置上传；</w:t>
            </w:r>
          </w:p>
        </w:tc>
      </w:tr>
      <w:tr w14:paraId="57AA0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3B4C3FE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第四章</w:t>
            </w:r>
            <w:r>
              <w:rPr>
                <w:rStyle w:val="35"/>
                <w:rFonts w:hint="eastAsia" w:ascii="仿宋" w:hAnsi="仿宋" w:eastAsia="仿宋" w:cs="仿宋"/>
                <w:color w:val="auto"/>
                <w:sz w:val="24"/>
                <w:szCs w:val="24"/>
                <w:highlight w:val="none"/>
              </w:rPr>
              <w:t>21.1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25A89C7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响应文件递交截止时间及地点</w:t>
            </w:r>
          </w:p>
        </w:tc>
        <w:tc>
          <w:tcPr>
            <w:tcW w:w="6523" w:type="dxa"/>
            <w:tcBorders>
              <w:tl2br w:val="nil"/>
              <w:tr2bl w:val="nil"/>
            </w:tcBorders>
            <w:vAlign w:val="center"/>
          </w:tcPr>
          <w:p w14:paraId="40F2D51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w:t>
            </w:r>
            <w:r>
              <w:rPr>
                <w:rStyle w:val="35"/>
                <w:rFonts w:hint="eastAsia" w:ascii="仿宋" w:hAnsi="仿宋" w:eastAsia="仿宋" w:cs="仿宋"/>
                <w:b/>
                <w:bCs/>
                <w:color w:val="auto"/>
                <w:sz w:val="24"/>
                <w:szCs w:val="24"/>
                <w:highlight w:val="none"/>
                <w:lang w:eastAsia="zh-CN"/>
              </w:rPr>
              <w:t>2025年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23</w:t>
            </w:r>
            <w:r>
              <w:rPr>
                <w:rStyle w:val="35"/>
                <w:rFonts w:hint="eastAsia" w:ascii="仿宋" w:hAnsi="仿宋" w:eastAsia="仿宋" w:cs="仿宋"/>
                <w:b/>
                <w:bCs/>
                <w:color w:val="auto"/>
                <w:sz w:val="24"/>
                <w:szCs w:val="24"/>
                <w:highlight w:val="none"/>
                <w:lang w:eastAsia="zh-CN"/>
              </w:rPr>
              <w:t>日11:00</w:t>
            </w:r>
            <w:r>
              <w:rPr>
                <w:rFonts w:hint="eastAsia" w:ascii="仿宋" w:hAnsi="仿宋" w:eastAsia="仿宋" w:cs="仿宋"/>
                <w:b/>
                <w:bCs/>
                <w:color w:val="auto"/>
                <w:sz w:val="24"/>
                <w:szCs w:val="24"/>
                <w:highlight w:val="none"/>
                <w:lang w:eastAsia="zh-CN"/>
              </w:rPr>
              <w:t>（北京时间）</w:t>
            </w:r>
          </w:p>
          <w:p w14:paraId="6DB6B74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地点：政采云平台http://www.zcygov.cn </w:t>
            </w:r>
          </w:p>
        </w:tc>
      </w:tr>
      <w:tr w14:paraId="7BEF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1806" w:type="dxa"/>
            <w:tcBorders>
              <w:tl2br w:val="nil"/>
              <w:tr2bl w:val="nil"/>
            </w:tcBorders>
            <w:vAlign w:val="center"/>
          </w:tcPr>
          <w:p w14:paraId="3E06B80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6A35014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开标时间及地点</w:t>
            </w:r>
          </w:p>
        </w:tc>
        <w:tc>
          <w:tcPr>
            <w:tcW w:w="6523" w:type="dxa"/>
            <w:tcBorders>
              <w:tl2br w:val="nil"/>
              <w:tr2bl w:val="nil"/>
            </w:tcBorders>
            <w:vAlign w:val="center"/>
          </w:tcPr>
          <w:p w14:paraId="43AA43F0">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w:t>
            </w:r>
            <w:r>
              <w:rPr>
                <w:rStyle w:val="35"/>
                <w:rFonts w:hint="eastAsia" w:ascii="仿宋" w:hAnsi="仿宋" w:eastAsia="仿宋" w:cs="仿宋"/>
                <w:b/>
                <w:bCs/>
                <w:color w:val="auto"/>
                <w:sz w:val="24"/>
                <w:szCs w:val="24"/>
                <w:highlight w:val="none"/>
                <w:lang w:eastAsia="zh-CN"/>
              </w:rPr>
              <w:t>2025年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23</w:t>
            </w:r>
            <w:r>
              <w:rPr>
                <w:rStyle w:val="35"/>
                <w:rFonts w:hint="eastAsia" w:ascii="仿宋" w:hAnsi="仿宋" w:eastAsia="仿宋" w:cs="仿宋"/>
                <w:b/>
                <w:bCs/>
                <w:color w:val="auto"/>
                <w:sz w:val="24"/>
                <w:szCs w:val="24"/>
                <w:highlight w:val="none"/>
                <w:lang w:eastAsia="zh-CN"/>
              </w:rPr>
              <w:t>日11:00</w:t>
            </w:r>
            <w:r>
              <w:rPr>
                <w:rFonts w:hint="eastAsia" w:ascii="仿宋" w:hAnsi="仿宋" w:eastAsia="仿宋" w:cs="仿宋"/>
                <w:b/>
                <w:bCs/>
                <w:color w:val="auto"/>
                <w:sz w:val="24"/>
                <w:szCs w:val="24"/>
                <w:highlight w:val="none"/>
                <w:lang w:eastAsia="zh-CN"/>
              </w:rPr>
              <w:t>（北京时间）</w:t>
            </w:r>
          </w:p>
          <w:p w14:paraId="4270AF05">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地点：政采云网上不见面开标系统</w:t>
            </w:r>
          </w:p>
        </w:tc>
      </w:tr>
      <w:tr w14:paraId="4B70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1806" w:type="dxa"/>
            <w:tcBorders>
              <w:tl2br w:val="nil"/>
              <w:tr2bl w:val="nil"/>
            </w:tcBorders>
            <w:vAlign w:val="center"/>
          </w:tcPr>
          <w:p w14:paraId="02953B2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78039F8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开标</w:t>
            </w:r>
          </w:p>
        </w:tc>
        <w:tc>
          <w:tcPr>
            <w:tcW w:w="6523" w:type="dxa"/>
            <w:tcBorders>
              <w:tl2br w:val="nil"/>
              <w:tr2bl w:val="nil"/>
            </w:tcBorders>
            <w:vAlign w:val="center"/>
          </w:tcPr>
          <w:p w14:paraId="0E423220">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53F4DF5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E3F75B5">
            <w:pPr>
              <w:shd w:val="clear"/>
              <w:spacing w:line="579" w:lineRule="exact"/>
              <w:rPr>
                <w:rStyle w:val="35"/>
                <w:rFonts w:hint="eastAsia"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8E968E0">
            <w:pPr>
              <w:shd w:val="clear"/>
              <w:spacing w:line="579" w:lineRule="exact"/>
              <w:rPr>
                <w:rStyle w:val="35"/>
                <w:rFonts w:hint="default"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 xml:space="preserve"> 4、参与竞争性谈判和竞争性磋商项目供应商，开标结束后，请及时进入“网上报价”页面（详见操作手册），等待最终报价通知。如未在系统提示的报价时限内报价，则视为上一轮报价为最终报价。</w:t>
            </w:r>
          </w:p>
          <w:p w14:paraId="169FF721">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5、</w:t>
            </w:r>
            <w:r>
              <w:rPr>
                <w:rStyle w:val="35"/>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4F54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4880CD2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26.2</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4441579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评标方法</w:t>
            </w:r>
          </w:p>
        </w:tc>
        <w:tc>
          <w:tcPr>
            <w:tcW w:w="6523" w:type="dxa"/>
            <w:tcBorders>
              <w:tl2br w:val="nil"/>
              <w:tr2bl w:val="nil"/>
            </w:tcBorders>
            <w:vAlign w:val="center"/>
          </w:tcPr>
          <w:p w14:paraId="3B8768E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rPr>
              <w:t>综合评分法</w:t>
            </w:r>
          </w:p>
        </w:tc>
      </w:tr>
      <w:tr w14:paraId="3DBBA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07963D9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30.1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282ADF3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推荐的中标候选人</w:t>
            </w:r>
          </w:p>
        </w:tc>
        <w:tc>
          <w:tcPr>
            <w:tcW w:w="6523" w:type="dxa"/>
            <w:tcBorders>
              <w:tl2br w:val="nil"/>
              <w:tr2bl w:val="nil"/>
            </w:tcBorders>
            <w:vAlign w:val="center"/>
          </w:tcPr>
          <w:p w14:paraId="11FAD1B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数量</w:t>
            </w:r>
            <w:r>
              <w:rPr>
                <w:rStyle w:val="35"/>
                <w:rFonts w:hint="eastAsia" w:ascii="仿宋" w:hAnsi="仿宋" w:eastAsia="仿宋" w:cs="仿宋"/>
                <w:color w:val="auto"/>
                <w:sz w:val="24"/>
                <w:szCs w:val="24"/>
                <w:highlight w:val="none"/>
                <w:u w:val="single"/>
                <w:lang w:eastAsia="zh-CN"/>
              </w:rPr>
              <w:t>3</w:t>
            </w:r>
            <w:r>
              <w:rPr>
                <w:rStyle w:val="35"/>
                <w:rFonts w:hint="eastAsia" w:ascii="仿宋" w:hAnsi="仿宋" w:eastAsia="仿宋" w:cs="仿宋"/>
                <w:color w:val="auto"/>
                <w:sz w:val="24"/>
                <w:szCs w:val="24"/>
                <w:highlight w:val="none"/>
                <w:lang w:eastAsia="zh-CN"/>
              </w:rPr>
              <w:t>人</w:t>
            </w:r>
          </w:p>
        </w:tc>
      </w:tr>
      <w:tr w14:paraId="0CDFF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1806" w:type="dxa"/>
            <w:tcBorders>
              <w:tl2br w:val="nil"/>
              <w:tr2bl w:val="nil"/>
            </w:tcBorders>
            <w:vAlign w:val="center"/>
          </w:tcPr>
          <w:p w14:paraId="1CAE469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第七章</w:t>
            </w:r>
            <w:r>
              <w:rPr>
                <w:rStyle w:val="35"/>
                <w:rFonts w:hint="eastAsia" w:ascii="仿宋" w:hAnsi="仿宋" w:eastAsia="仿宋" w:cs="仿宋"/>
                <w:color w:val="auto"/>
                <w:sz w:val="24"/>
                <w:szCs w:val="24"/>
                <w:highlight w:val="none"/>
              </w:rPr>
              <w:t>34.1</w:t>
            </w:r>
            <w:r>
              <w:rPr>
                <w:rStyle w:val="35"/>
                <w:rFonts w:hint="eastAsia" w:ascii="仿宋" w:hAnsi="仿宋" w:eastAsia="仿宋" w:cs="仿宋"/>
                <w:color w:val="auto"/>
                <w:spacing w:val="-35"/>
                <w:sz w:val="24"/>
                <w:szCs w:val="24"/>
                <w:highlight w:val="none"/>
              </w:rPr>
              <w:t>款</w:t>
            </w:r>
          </w:p>
        </w:tc>
        <w:tc>
          <w:tcPr>
            <w:tcW w:w="1310" w:type="dxa"/>
            <w:tcBorders>
              <w:tl2br w:val="nil"/>
              <w:tr2bl w:val="nil"/>
            </w:tcBorders>
            <w:vAlign w:val="center"/>
          </w:tcPr>
          <w:p w14:paraId="620BC5A6">
            <w:pPr>
              <w:pStyle w:val="43"/>
              <w:keepNext w:val="0"/>
              <w:keepLines w:val="0"/>
              <w:pageBreakBefore w:val="0"/>
              <w:widowControl/>
              <w:shd w:val="clear"/>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履约担保</w:t>
            </w:r>
          </w:p>
        </w:tc>
        <w:tc>
          <w:tcPr>
            <w:tcW w:w="6523" w:type="dxa"/>
            <w:tcBorders>
              <w:tl2br w:val="nil"/>
              <w:tr2bl w:val="nil"/>
            </w:tcBorders>
            <w:vAlign w:val="center"/>
          </w:tcPr>
          <w:p w14:paraId="65005C7B">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8"/>
                <w:sz w:val="24"/>
                <w:szCs w:val="24"/>
                <w:highlight w:val="none"/>
                <w:lang w:eastAsia="zh-CN"/>
              </w:rPr>
              <w:t>合同价款的</w:t>
            </w:r>
            <w:r>
              <w:rPr>
                <w:rStyle w:val="35"/>
                <w:rFonts w:hint="eastAsia" w:ascii="仿宋" w:hAnsi="仿宋" w:eastAsia="仿宋" w:cs="仿宋"/>
                <w:color w:val="auto"/>
                <w:spacing w:val="-6"/>
                <w:sz w:val="24"/>
                <w:szCs w:val="24"/>
                <w:highlight w:val="none"/>
                <w:u w:val="single"/>
                <w:lang w:val="en-US" w:eastAsia="zh-CN"/>
              </w:rPr>
              <w:t>/</w:t>
            </w:r>
            <w:r>
              <w:rPr>
                <w:rStyle w:val="35"/>
                <w:rFonts w:hint="eastAsia" w:ascii="仿宋" w:hAnsi="仿宋" w:eastAsia="仿宋" w:cs="仿宋"/>
                <w:color w:val="auto"/>
                <w:sz w:val="24"/>
                <w:szCs w:val="24"/>
                <w:highlight w:val="none"/>
                <w:lang w:eastAsia="zh-CN"/>
              </w:rPr>
              <w:t>。</w:t>
            </w:r>
          </w:p>
        </w:tc>
      </w:tr>
      <w:tr w14:paraId="29230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66E1DC8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10" w:type="dxa"/>
            <w:tcBorders>
              <w:tl2br w:val="nil"/>
              <w:tr2bl w:val="nil"/>
            </w:tcBorders>
            <w:vAlign w:val="center"/>
          </w:tcPr>
          <w:p w14:paraId="2FA948B4">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付款方式：</w:t>
            </w:r>
          </w:p>
        </w:tc>
        <w:tc>
          <w:tcPr>
            <w:tcW w:w="6523" w:type="dxa"/>
            <w:tcBorders>
              <w:tl2br w:val="nil"/>
              <w:tr2bl w:val="nil"/>
            </w:tcBorders>
            <w:vAlign w:val="center"/>
          </w:tcPr>
          <w:p w14:paraId="34E037A8">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合同签定后，采购人按照合同约定向中标人预付合同款的</w:t>
            </w:r>
            <w:r>
              <w:rPr>
                <w:rStyle w:val="35"/>
                <w:rFonts w:hint="eastAsia" w:ascii="仿宋" w:hAnsi="仿宋" w:eastAsia="仿宋" w:cs="仿宋"/>
                <w:color w:val="auto"/>
                <w:sz w:val="24"/>
                <w:szCs w:val="24"/>
                <w:highlight w:val="none"/>
                <w:lang w:val="en-US" w:eastAsia="zh-CN"/>
              </w:rPr>
              <w:t>80</w:t>
            </w:r>
            <w:r>
              <w:rPr>
                <w:rStyle w:val="35"/>
                <w:rFonts w:hint="eastAsia" w:ascii="仿宋" w:hAnsi="仿宋" w:eastAsia="仿宋" w:cs="仿宋"/>
                <w:color w:val="auto"/>
                <w:sz w:val="24"/>
                <w:szCs w:val="24"/>
                <w:highlight w:val="none"/>
                <w:lang w:eastAsia="zh-CN"/>
              </w:rPr>
              <w:t>%，项目执行完毕且验收合格后付合同款的</w:t>
            </w:r>
            <w:r>
              <w:rPr>
                <w:rStyle w:val="35"/>
                <w:rFonts w:hint="eastAsia" w:ascii="仿宋" w:hAnsi="仿宋" w:eastAsia="仿宋" w:cs="仿宋"/>
                <w:color w:val="auto"/>
                <w:sz w:val="24"/>
                <w:szCs w:val="24"/>
                <w:highlight w:val="none"/>
                <w:lang w:val="en-US" w:eastAsia="zh-CN"/>
              </w:rPr>
              <w:t>20</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lang w:eastAsia="zh-CN"/>
              </w:rPr>
              <w:t>付款前，中标人须提供合法的当届结算金额全额增值税发票并经采购人财务审核后方可付款（最终付款方式以和采购单位签订合同为准）。</w:t>
            </w:r>
          </w:p>
        </w:tc>
      </w:tr>
      <w:tr w14:paraId="5B81C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06" w:type="dxa"/>
            <w:tcBorders>
              <w:tl2br w:val="nil"/>
              <w:tr2bl w:val="nil"/>
            </w:tcBorders>
            <w:vAlign w:val="center"/>
          </w:tcPr>
          <w:p w14:paraId="57AA3EDA">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10" w:type="dxa"/>
            <w:tcBorders>
              <w:tl2br w:val="nil"/>
              <w:tr2bl w:val="nil"/>
            </w:tcBorders>
            <w:vAlign w:val="center"/>
          </w:tcPr>
          <w:p w14:paraId="373C6052">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特别提示</w:t>
            </w:r>
          </w:p>
        </w:tc>
        <w:tc>
          <w:tcPr>
            <w:tcW w:w="6523" w:type="dxa"/>
            <w:tcBorders>
              <w:tl2br w:val="nil"/>
              <w:tr2bl w:val="nil"/>
            </w:tcBorders>
            <w:vAlign w:val="center"/>
          </w:tcPr>
          <w:p w14:paraId="77E87BC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1：供应商须自行查询信用记录；</w:t>
            </w:r>
          </w:p>
          <w:p w14:paraId="08E8EC3D">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查询时间为：自公告发布之日起至响应文件递交截止时间止（该时间段内任一时间</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pacing w:val="-3"/>
                <w:sz w:val="24"/>
                <w:szCs w:val="24"/>
                <w:highlight w:val="none"/>
                <w:lang w:eastAsia="zh-CN"/>
              </w:rPr>
              <w:t>。查询渠道为：“信用中国”网站及“中国政府采购网”。</w:t>
            </w:r>
          </w:p>
          <w:p w14:paraId="0294688F">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）对列入失信被执行人、</w:t>
            </w:r>
            <w:r>
              <w:rPr>
                <w:rFonts w:hint="eastAsia" w:ascii="仿宋" w:hAnsi="仿宋" w:eastAsia="仿宋" w:cs="仿宋"/>
                <w:i w:val="0"/>
                <w:iCs w:val="0"/>
                <w:caps w:val="0"/>
                <w:color w:val="auto"/>
                <w:spacing w:val="0"/>
                <w:sz w:val="24"/>
                <w:szCs w:val="24"/>
                <w:highlight w:val="none"/>
              </w:rPr>
              <w:t>重大税收违法</w:t>
            </w:r>
            <w:r>
              <w:rPr>
                <w:rFonts w:hint="eastAsia" w:ascii="仿宋" w:hAnsi="仿宋" w:eastAsia="仿宋" w:cs="仿宋"/>
                <w:i w:val="0"/>
                <w:iCs w:val="0"/>
                <w:caps w:val="0"/>
                <w:color w:val="auto"/>
                <w:spacing w:val="0"/>
                <w:sz w:val="24"/>
                <w:szCs w:val="24"/>
                <w:highlight w:val="none"/>
                <w:lang w:val="en-US" w:eastAsia="zh-CN"/>
              </w:rPr>
              <w:t>失信主体</w:t>
            </w:r>
            <w:r>
              <w:rPr>
                <w:rFonts w:hint="eastAsia" w:ascii="仿宋" w:hAnsi="仿宋" w:eastAsia="仿宋" w:cs="仿宋"/>
                <w:i w:val="0"/>
                <w:iCs w:val="0"/>
                <w:caps w:val="0"/>
                <w:color w:val="auto"/>
                <w:spacing w:val="0"/>
                <w:sz w:val="24"/>
                <w:szCs w:val="24"/>
                <w:highlight w:val="none"/>
              </w:rPr>
              <w:t>、</w:t>
            </w:r>
            <w:r>
              <w:rPr>
                <w:rStyle w:val="35"/>
                <w:rFonts w:hint="eastAsia" w:ascii="仿宋" w:hAnsi="仿宋" w:eastAsia="仿宋" w:cs="仿宋"/>
                <w:color w:val="auto"/>
                <w:sz w:val="24"/>
                <w:szCs w:val="24"/>
                <w:highlight w:val="none"/>
                <w:lang w:eastAsia="zh-CN"/>
              </w:rPr>
              <w:t>政府采购严重违法失信行为记录名单及其他不符合《中华人民共和国政府采购法》第二十二条规定条件的供应商，其响应文件将被拒绝。</w:t>
            </w:r>
          </w:p>
        </w:tc>
      </w:tr>
      <w:tr w14:paraId="71CA3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806" w:type="dxa"/>
            <w:tcBorders>
              <w:tl2br w:val="nil"/>
              <w:tr2bl w:val="nil"/>
            </w:tcBorders>
            <w:vAlign w:val="center"/>
          </w:tcPr>
          <w:p w14:paraId="0CFC9F3C">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10" w:type="dxa"/>
            <w:tcBorders>
              <w:tl2br w:val="nil"/>
              <w:tr2bl w:val="nil"/>
            </w:tcBorders>
            <w:vAlign w:val="center"/>
          </w:tcPr>
          <w:p w14:paraId="508DF44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代理服务费</w:t>
            </w:r>
          </w:p>
        </w:tc>
        <w:tc>
          <w:tcPr>
            <w:tcW w:w="6523" w:type="dxa"/>
            <w:tcBorders>
              <w:tl2br w:val="nil"/>
              <w:tr2bl w:val="nil"/>
            </w:tcBorders>
            <w:vAlign w:val="center"/>
          </w:tcPr>
          <w:p w14:paraId="6B14E19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本项目招标代理服务费参考发改价格[2011]534号及计价格[2002]1980号文件计算的招标代理服务收费标准收取。由中标（成交）人支付。</w:t>
            </w:r>
          </w:p>
        </w:tc>
      </w:tr>
      <w:tr w14:paraId="40F2A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806" w:type="dxa"/>
            <w:tcBorders>
              <w:tl2br w:val="nil"/>
              <w:tr2bl w:val="nil"/>
            </w:tcBorders>
            <w:vAlign w:val="center"/>
          </w:tcPr>
          <w:p w14:paraId="3967D5B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833" w:type="dxa"/>
            <w:gridSpan w:val="2"/>
            <w:tcBorders>
              <w:tl2br w:val="nil"/>
              <w:tr2bl w:val="nil"/>
            </w:tcBorders>
            <w:vAlign w:val="center"/>
          </w:tcPr>
          <w:p w14:paraId="05408F7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或服务。</w:t>
            </w:r>
          </w:p>
        </w:tc>
      </w:tr>
      <w:tr w14:paraId="4AEC6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1806" w:type="dxa"/>
            <w:tcBorders>
              <w:tl2br w:val="nil"/>
              <w:tr2bl w:val="nil"/>
            </w:tcBorders>
            <w:vAlign w:val="center"/>
          </w:tcPr>
          <w:p w14:paraId="7188EB3E">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833" w:type="dxa"/>
            <w:gridSpan w:val="2"/>
            <w:tcBorders>
              <w:tl2br w:val="nil"/>
              <w:tr2bl w:val="nil"/>
            </w:tcBorders>
            <w:vAlign w:val="center"/>
          </w:tcPr>
          <w:p w14:paraId="074714E7">
            <w:pPr>
              <w:pStyle w:val="43"/>
              <w:keepNext w:val="0"/>
              <w:keepLines w:val="0"/>
              <w:pageBreakBefore w:val="0"/>
              <w:widowControl/>
              <w:shd w:val="clear"/>
              <w:kinsoku/>
              <w:wordWrap/>
              <w:overflowPunct/>
              <w:topLinePunct w:val="0"/>
              <w:autoSpaceDE/>
              <w:autoSpaceDN/>
              <w:bidi w:val="0"/>
              <w:adjustRightInd/>
              <w:snapToGrid/>
              <w:spacing w:line="579" w:lineRule="exac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注：如本《供应商须知前附表》相关内容与竞争性磋商文件中的相关内容如有不一致处，则以本《供应商须知前附表》相关内容为准。</w:t>
            </w:r>
          </w:p>
        </w:tc>
      </w:tr>
    </w:tbl>
    <w:p w14:paraId="4D66BD30">
      <w:pPr>
        <w:keepNext w:val="0"/>
        <w:keepLines w:val="0"/>
        <w:pageBreakBefore w:val="0"/>
        <w:widowControl/>
        <w:shd w:val="clear"/>
        <w:kinsoku/>
        <w:wordWrap/>
        <w:overflowPunct/>
        <w:topLinePunct w:val="0"/>
        <w:autoSpaceDE/>
        <w:autoSpaceDN/>
        <w:bidi w:val="0"/>
        <w:adjustRightInd/>
        <w:snapToGrid/>
        <w:spacing w:line="579" w:lineRule="exact"/>
        <w:ind w:firstLine="643" w:firstLineChars="200"/>
        <w:jc w:val="center"/>
        <w:textAlignment w:val="baseline"/>
        <w:outlineLvl w:val="9"/>
        <w:rPr>
          <w:rStyle w:val="35"/>
          <w:rFonts w:hint="eastAsia" w:ascii="仿宋" w:hAnsi="仿宋" w:eastAsia="仿宋" w:cs="仿宋"/>
          <w:b/>
          <w:color w:val="auto"/>
          <w:sz w:val="32"/>
          <w:highlight w:val="none"/>
          <w:lang w:eastAsia="zh-CN"/>
        </w:rPr>
      </w:pPr>
      <w:bookmarkStart w:id="17" w:name="_Toc1619"/>
      <w:bookmarkStart w:id="18" w:name="_Toc12436"/>
      <w:bookmarkStart w:id="19" w:name="_Toc3325"/>
      <w:bookmarkStart w:id="20" w:name="_Toc7923"/>
      <w:bookmarkStart w:id="21" w:name="_Toc28100"/>
    </w:p>
    <w:p w14:paraId="7D0FE7D1">
      <w:pPr>
        <w:rPr>
          <w:rStyle w:val="35"/>
          <w:rFonts w:hint="eastAsia" w:ascii="仿宋" w:hAnsi="仿宋" w:eastAsia="仿宋" w:cs="仿宋"/>
          <w:b/>
          <w:color w:val="auto"/>
          <w:sz w:val="32"/>
          <w:highlight w:val="none"/>
          <w:lang w:eastAsia="zh-CN"/>
        </w:rPr>
      </w:pPr>
      <w:bookmarkStart w:id="22" w:name="_Toc12664"/>
      <w:r>
        <w:rPr>
          <w:rStyle w:val="35"/>
          <w:rFonts w:hint="eastAsia" w:ascii="仿宋" w:hAnsi="仿宋" w:eastAsia="仿宋" w:cs="仿宋"/>
          <w:b/>
          <w:color w:val="auto"/>
          <w:sz w:val="32"/>
          <w:highlight w:val="none"/>
          <w:lang w:eastAsia="zh-CN"/>
        </w:rPr>
        <w:br w:type="page"/>
      </w:r>
    </w:p>
    <w:p w14:paraId="7E1FAD3B">
      <w:pPr>
        <w:shd w:val="clear"/>
        <w:spacing w:line="579" w:lineRule="exact"/>
        <w:ind w:firstLine="643" w:firstLineChars="200"/>
        <w:jc w:val="center"/>
        <w:outlineLvl w:val="1"/>
        <w:rPr>
          <w:rStyle w:val="35"/>
          <w:rFonts w:ascii="仿宋" w:hAnsi="仿宋" w:eastAsia="仿宋" w:cs="仿宋"/>
          <w:b/>
          <w:color w:val="auto"/>
          <w:sz w:val="32"/>
          <w:highlight w:val="none"/>
          <w:lang w:eastAsia="zh-CN"/>
        </w:rPr>
      </w:pPr>
      <w:r>
        <w:rPr>
          <w:rStyle w:val="35"/>
          <w:rFonts w:hint="eastAsia" w:ascii="仿宋" w:hAnsi="仿宋" w:eastAsia="仿宋" w:cs="仿宋"/>
          <w:b/>
          <w:color w:val="auto"/>
          <w:sz w:val="32"/>
          <w:highlight w:val="none"/>
          <w:lang w:eastAsia="zh-CN"/>
        </w:rPr>
        <w:t>第一章供应商须知</w:t>
      </w:r>
      <w:bookmarkEnd w:id="17"/>
      <w:bookmarkEnd w:id="18"/>
      <w:bookmarkEnd w:id="19"/>
      <w:bookmarkEnd w:id="20"/>
      <w:bookmarkEnd w:id="21"/>
      <w:bookmarkEnd w:id="22"/>
    </w:p>
    <w:p w14:paraId="06B598A7">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1.项目概况</w:t>
      </w:r>
    </w:p>
    <w:p w14:paraId="0379281C">
      <w:pPr>
        <w:shd w:val="clear"/>
        <w:spacing w:line="579" w:lineRule="exact"/>
        <w:ind w:firstLine="480" w:firstLineChars="200"/>
        <w:rPr>
          <w:rStyle w:val="35"/>
          <w:rFonts w:ascii="仿宋" w:hAnsi="仿宋" w:eastAsia="仿宋" w:cs="仿宋"/>
          <w:b/>
          <w:color w:val="auto"/>
          <w:sz w:val="32"/>
          <w:highlight w:val="none"/>
          <w:lang w:eastAsia="zh-CN"/>
        </w:rPr>
      </w:pPr>
      <w:r>
        <w:rPr>
          <w:rStyle w:val="35"/>
          <w:rFonts w:hint="eastAsia" w:ascii="仿宋" w:hAnsi="仿宋" w:eastAsia="仿宋" w:cs="仿宋"/>
          <w:color w:val="auto"/>
          <w:sz w:val="24"/>
          <w:szCs w:val="24"/>
          <w:highlight w:val="none"/>
          <w:lang w:eastAsia="zh-CN"/>
        </w:rPr>
        <w:t>1.1项目名称：详见供应商须知前附表；</w:t>
      </w:r>
    </w:p>
    <w:p w14:paraId="006C937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1.2招标方式：详见供应商须知前附表；</w:t>
      </w:r>
    </w:p>
    <w:p w14:paraId="7422FB8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1.3采购内容：详见供应商须知前附表；</w:t>
      </w:r>
    </w:p>
    <w:p w14:paraId="21A4B16E">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1.4资金来源：详见供应商须知前附表；</w:t>
      </w:r>
    </w:p>
    <w:p w14:paraId="76E42C4A">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w:t>
      </w: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地点：详见供应商须知前附表；</w:t>
      </w:r>
    </w:p>
    <w:p w14:paraId="1D234A41">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1.6合同履行期限：详见供应商须知前附表；</w:t>
      </w:r>
    </w:p>
    <w:p w14:paraId="499E58E2">
      <w:pPr>
        <w:shd w:val="clear"/>
        <w:spacing w:line="579" w:lineRule="exact"/>
        <w:ind w:firstLine="45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pacing w:val="-8"/>
          <w:sz w:val="24"/>
          <w:szCs w:val="24"/>
          <w:highlight w:val="none"/>
          <w:lang w:eastAsia="zh-CN"/>
        </w:rPr>
        <w:t>2</w:t>
      </w:r>
      <w:r>
        <w:rPr>
          <w:rStyle w:val="35"/>
          <w:rFonts w:hint="eastAsia" w:ascii="仿宋" w:hAnsi="仿宋" w:eastAsia="仿宋" w:cs="仿宋"/>
          <w:b/>
          <w:color w:val="auto"/>
          <w:spacing w:val="-3"/>
          <w:sz w:val="24"/>
          <w:szCs w:val="24"/>
          <w:highlight w:val="none"/>
          <w:lang w:eastAsia="zh-CN"/>
        </w:rPr>
        <w:t>.定义</w:t>
      </w:r>
    </w:p>
    <w:p w14:paraId="15A60E2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下述术语和缩写的定义为：</w:t>
      </w:r>
    </w:p>
    <w:p w14:paraId="1B3DE1E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2.1“招标人”“采购人”系指依法进行政府采购的国家机关、事业单位、团体组织。本次政府采购的采购人名称、地址、联系人、电话详见供应商须知前附表。</w:t>
      </w:r>
    </w:p>
    <w:p w14:paraId="757EA3E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2.2“采购代理机构”“采购代理机构”系指接受采购人委托，代理采购项目的采购代理机构。本次政府采购的采购代理机构名称、地址、联系人、电话详见供应商须知前附表。</w:t>
      </w:r>
    </w:p>
    <w:p w14:paraId="45CF5305">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2.3“供应商”系指向采购人提供货物、工程或者服务的法人、其他组织或者自然人。</w:t>
      </w:r>
    </w:p>
    <w:p w14:paraId="04CCB0C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2.4“货物”系指各种形态和种类的物品，包括原材料、设备、产品等。</w:t>
      </w:r>
    </w:p>
    <w:p w14:paraId="57ADBD5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2.5“工程”系指建设工程，包括建筑物和构筑物的新建、改建、扩建，装修、拆除，修缮等。</w:t>
      </w:r>
    </w:p>
    <w:p w14:paraId="283A758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2.6“服务”系指除货物和工程以外的其他政府采购对象。</w:t>
      </w:r>
    </w:p>
    <w:p w14:paraId="71237506">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偏离</w:t>
      </w:r>
    </w:p>
    <w:p w14:paraId="159685A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.1本条所称偏离为响应文件对竞争性磋商文件的偏离，即不满足、或不响应竞争性磋商文件的要求。偏离分为对竞争性磋商文件的实质性要求条款偏离和对竞争性磋商文件的一般商务和技术条款偏离。</w:t>
      </w:r>
    </w:p>
    <w:p w14:paraId="612C394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2除法律、法规和规章规定外。竞争性磋商文件中加下划线、“拒绝”“不接受”“无效”“不得”“投标被否决”等文字规定的条款为实质性要求条款（即重要条款），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14:paraId="262DBDC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特别说明</w:t>
      </w:r>
    </w:p>
    <w:p w14:paraId="68AB0E7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.1供应商所使用的资格、信誉、荣誉、业绩与企业认证等必须为供应商所拥有。</w:t>
      </w:r>
    </w:p>
    <w:p w14:paraId="316955E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.2供应商应仔细阅读竞争性磋商文件中的所有内容，按照竞争性磋商文件的要求编制、提交响应文件，并对其所提供的全部资料的真实性承担法律责任。</w:t>
      </w:r>
    </w:p>
    <w:p w14:paraId="571EC906">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.3竞争性磋商文件所提供的资料，是采购人现有的能被供应商利用的资料，采购人对供应商做出的任何推论、理解和结论均不负任何责任。</w:t>
      </w:r>
    </w:p>
    <w:p w14:paraId="5B87FC56">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3.供应商资格</w:t>
      </w:r>
    </w:p>
    <w:p w14:paraId="4E26DE06">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3.1供应商资格：详见供应商须知前附表。</w:t>
      </w:r>
    </w:p>
    <w:p w14:paraId="50F0BE9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3.2供应商应遵守中华人民共和国法律、法规和行政规章。</w:t>
      </w:r>
    </w:p>
    <w:p w14:paraId="397BABD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3.3供应商不得存在下列情形之一：</w:t>
      </w:r>
    </w:p>
    <w:p w14:paraId="0C45C017">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（1）与采购人、代理机构存在利害关系。</w:t>
      </w:r>
    </w:p>
    <w:p w14:paraId="1BC7CE3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7067916E">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4.投标费用</w:t>
      </w:r>
    </w:p>
    <w:p w14:paraId="7C7E46F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25A7E1A3">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5.联合体形式</w:t>
      </w:r>
    </w:p>
    <w:p w14:paraId="5EDCCE0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5.1除供应商须知前附表中另有规定，本次招标不接受为联合体形式的供应商。</w:t>
      </w:r>
    </w:p>
    <w:p w14:paraId="57572CD3">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6．现场勘察</w:t>
      </w:r>
    </w:p>
    <w:p w14:paraId="5FEF2E9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6.1供应商应按供应商须知前附表中规定对采购项目现场和周围环境进行考察。</w:t>
      </w:r>
    </w:p>
    <w:p w14:paraId="65BFA821">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6E4E1EF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5F78F2BD">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7.采购进口产品</w:t>
      </w:r>
    </w:p>
    <w:p w14:paraId="1C1F5F0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7.1除供应商须知前附表另有规定外，本项目不接受进口产品参加采购活动。</w:t>
      </w:r>
    </w:p>
    <w:p w14:paraId="1BA388F2">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8.政府采购政策的支持</w:t>
      </w:r>
    </w:p>
    <w:p w14:paraId="670F9B6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6375E3F1">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6050C1F3">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8.3供应商符合支持中小企业发展优惠政策的，报价可以优惠扣除。本项目价格扣除比例见</w:t>
      </w:r>
      <w:r>
        <w:rPr>
          <w:rStyle w:val="35"/>
          <w:rFonts w:hint="eastAsia" w:ascii="仿宋" w:hAnsi="仿宋" w:eastAsia="仿宋" w:cs="仿宋"/>
          <w:b/>
          <w:bCs/>
          <w:color w:val="auto"/>
          <w:sz w:val="24"/>
          <w:szCs w:val="24"/>
          <w:highlight w:val="none"/>
          <w:lang w:val="en-US" w:eastAsia="zh-CN"/>
        </w:rPr>
        <w:t>供应商</w:t>
      </w:r>
      <w:r>
        <w:rPr>
          <w:rStyle w:val="35"/>
          <w:rFonts w:hint="eastAsia" w:ascii="仿宋" w:hAnsi="仿宋" w:eastAsia="仿宋" w:cs="仿宋"/>
          <w:b/>
          <w:bCs/>
          <w:color w:val="auto"/>
          <w:sz w:val="24"/>
          <w:szCs w:val="24"/>
          <w:highlight w:val="none"/>
          <w:lang w:eastAsia="zh-CN"/>
        </w:rPr>
        <w:t>须知前附表</w:t>
      </w:r>
      <w:r>
        <w:rPr>
          <w:rStyle w:val="35"/>
          <w:rFonts w:hint="eastAsia" w:ascii="仿宋" w:hAnsi="仿宋" w:eastAsia="仿宋" w:cs="仿宋"/>
          <w:color w:val="auto"/>
          <w:sz w:val="24"/>
          <w:szCs w:val="24"/>
          <w:highlight w:val="none"/>
          <w:lang w:eastAsia="zh-CN"/>
        </w:rPr>
        <w:t>。</w:t>
      </w:r>
    </w:p>
    <w:p w14:paraId="0F4769D0">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8.4供应商在签署相关承诺、提供相关信息前，应当认真阅读财政部门的相关政策规定。符合本章第8.1-8.3款规定的，应当提供相关的证明材料。</w:t>
      </w:r>
    </w:p>
    <w:p w14:paraId="2789CD6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4EBD9086">
      <w:pPr>
        <w:rPr>
          <w:rStyle w:val="35"/>
          <w:rFonts w:hint="eastAsia" w:ascii="仿宋" w:hAnsi="仿宋" w:eastAsia="仿宋" w:cs="仿宋"/>
          <w:b/>
          <w:color w:val="auto"/>
          <w:sz w:val="32"/>
          <w:highlight w:val="none"/>
          <w:lang w:eastAsia="zh-CN"/>
        </w:rPr>
      </w:pPr>
      <w:bookmarkStart w:id="23" w:name="_Toc26330"/>
      <w:bookmarkStart w:id="24" w:name="_Toc12869"/>
      <w:bookmarkStart w:id="25" w:name="_Toc29622"/>
      <w:bookmarkStart w:id="26" w:name="_Toc7015"/>
      <w:bookmarkStart w:id="27" w:name="_Toc18208"/>
      <w:bookmarkStart w:id="28" w:name="_Toc29726"/>
      <w:r>
        <w:rPr>
          <w:rStyle w:val="35"/>
          <w:rFonts w:hint="eastAsia" w:ascii="仿宋" w:hAnsi="仿宋" w:eastAsia="仿宋" w:cs="仿宋"/>
          <w:b/>
          <w:color w:val="auto"/>
          <w:sz w:val="32"/>
          <w:highlight w:val="none"/>
          <w:lang w:eastAsia="zh-CN"/>
        </w:rPr>
        <w:br w:type="page"/>
      </w:r>
    </w:p>
    <w:p w14:paraId="654F6DE9">
      <w:pPr>
        <w:shd w:val="clear"/>
        <w:spacing w:before="20" w:line="579" w:lineRule="exact"/>
        <w:ind w:left="1933" w:right="1780"/>
        <w:jc w:val="center"/>
        <w:outlineLvl w:val="1"/>
        <w:rPr>
          <w:rStyle w:val="35"/>
          <w:rFonts w:ascii="仿宋" w:hAnsi="仿宋" w:eastAsia="仿宋" w:cs="仿宋"/>
          <w:b/>
          <w:color w:val="auto"/>
          <w:sz w:val="32"/>
          <w:highlight w:val="none"/>
          <w:lang w:eastAsia="zh-CN"/>
        </w:rPr>
      </w:pPr>
      <w:r>
        <w:rPr>
          <w:rStyle w:val="35"/>
          <w:rFonts w:hint="eastAsia" w:ascii="仿宋" w:hAnsi="仿宋" w:eastAsia="仿宋" w:cs="仿宋"/>
          <w:b/>
          <w:color w:val="auto"/>
          <w:sz w:val="32"/>
          <w:highlight w:val="none"/>
          <w:lang w:eastAsia="zh-CN"/>
        </w:rPr>
        <w:t>第二章 竞争性磋商文件的编写</w:t>
      </w:r>
      <w:bookmarkEnd w:id="23"/>
      <w:bookmarkEnd w:id="24"/>
      <w:bookmarkEnd w:id="25"/>
      <w:bookmarkEnd w:id="26"/>
      <w:bookmarkEnd w:id="27"/>
      <w:bookmarkEnd w:id="28"/>
    </w:p>
    <w:p w14:paraId="07D33BC8">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9.竞争性磋商文件的构成</w:t>
      </w:r>
    </w:p>
    <w:p w14:paraId="62321DE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9.1竞争性磋商文件由下述部分组成：</w:t>
      </w:r>
    </w:p>
    <w:p w14:paraId="7A01A22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第一部分竞争性磋商公告</w:t>
      </w:r>
    </w:p>
    <w:p w14:paraId="5CB011DD">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第二部分供应商须知</w:t>
      </w:r>
    </w:p>
    <w:p w14:paraId="506D662F">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第三部分采购内容及参数要求</w:t>
      </w:r>
    </w:p>
    <w:p w14:paraId="4D4728AB">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第四部分合同条款</w:t>
      </w:r>
    </w:p>
    <w:p w14:paraId="0534982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第五部分附件</w:t>
      </w:r>
    </w:p>
    <w:p w14:paraId="721AC193">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9.2竞争性磋商文件以中文书写。</w:t>
      </w:r>
    </w:p>
    <w:p w14:paraId="684785A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9.3供应商被视为熟悉本招标项目的各种情况以及与履行合同有关的一切其他情况。</w:t>
      </w:r>
    </w:p>
    <w:p w14:paraId="1E0B896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024CFA01">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10.竞争性磋商文件的澄清、标前会议</w:t>
      </w:r>
    </w:p>
    <w:p w14:paraId="6E486A1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5151E545">
      <w:pPr>
        <w:pStyle w:val="45"/>
        <w:shd w:val="clear"/>
        <w:spacing w:before="111"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11.竞争性磋商文件的修改或补充</w:t>
      </w:r>
    </w:p>
    <w:p w14:paraId="1A7B0630">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11.1在投标截止期5日前的任何时间，采购人可主动或依据供应商要求澄清的问题而修改或补充竞争性磋商文件，并以书面形式通知所有供应商，供应商在收到该通知后应立即以电报或传真的形式予以确认。</w:t>
      </w:r>
    </w:p>
    <w:p w14:paraId="428A30C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11.2为使供应商在准备投标时有适当的时间考虑响应文件的修改，采购人有权决定推迟投标截止日期和开标日期，并将此变更通知所有的供应商。</w:t>
      </w:r>
    </w:p>
    <w:p w14:paraId="5549946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11.3竞争性磋商文件的修改书和补充文件将构成竞争性磋商文件的一部分，并且比竞争性磋商文件对供应商具有优先的约束力。</w:t>
      </w:r>
    </w:p>
    <w:p w14:paraId="4B798032">
      <w:pPr>
        <w:pStyle w:val="46"/>
        <w:shd w:val="clear"/>
        <w:spacing w:line="579" w:lineRule="exact"/>
        <w:ind w:left="52" w:firstLine="482" w:firstLineChars="200"/>
        <w:rPr>
          <w:rStyle w:val="35"/>
          <w:rFonts w:ascii="仿宋" w:hAnsi="仿宋" w:eastAsia="仿宋" w:cs="仿宋"/>
          <w:color w:val="auto"/>
          <w:sz w:val="24"/>
          <w:szCs w:val="24"/>
          <w:highlight w:val="none"/>
          <w:lang w:eastAsia="zh-CN"/>
        </w:rPr>
      </w:pPr>
    </w:p>
    <w:p w14:paraId="4C47E76D">
      <w:pPr>
        <w:shd w:val="clear"/>
        <w:spacing w:before="21" w:line="579" w:lineRule="exact"/>
        <w:ind w:left="1043" w:right="992"/>
        <w:jc w:val="center"/>
        <w:outlineLvl w:val="1"/>
        <w:rPr>
          <w:rStyle w:val="35"/>
          <w:rFonts w:ascii="仿宋" w:hAnsi="仿宋" w:eastAsia="仿宋" w:cs="仿宋"/>
          <w:b/>
          <w:color w:val="auto"/>
          <w:sz w:val="32"/>
          <w:highlight w:val="none"/>
          <w:lang w:eastAsia="zh-CN"/>
        </w:rPr>
      </w:pPr>
      <w:bookmarkStart w:id="29" w:name="_Toc25160"/>
      <w:bookmarkStart w:id="30" w:name="_Toc16274"/>
      <w:bookmarkStart w:id="31" w:name="_Toc11037"/>
      <w:bookmarkStart w:id="32" w:name="_Toc7496"/>
      <w:bookmarkStart w:id="33" w:name="_Toc6098"/>
      <w:bookmarkStart w:id="34" w:name="_Toc9127"/>
      <w:r>
        <w:rPr>
          <w:rStyle w:val="35"/>
          <w:rFonts w:hint="eastAsia" w:ascii="仿宋" w:hAnsi="仿宋" w:eastAsia="仿宋" w:cs="仿宋"/>
          <w:b/>
          <w:color w:val="auto"/>
          <w:sz w:val="32"/>
          <w:highlight w:val="none"/>
          <w:lang w:eastAsia="zh-CN"/>
        </w:rPr>
        <w:t>第三章 响应文件的编写</w:t>
      </w:r>
      <w:bookmarkEnd w:id="29"/>
      <w:bookmarkEnd w:id="30"/>
      <w:bookmarkEnd w:id="31"/>
      <w:bookmarkEnd w:id="32"/>
      <w:bookmarkEnd w:id="33"/>
      <w:bookmarkEnd w:id="34"/>
    </w:p>
    <w:p w14:paraId="5BEFBA04">
      <w:pPr>
        <w:pStyle w:val="45"/>
        <w:shd w:val="clear"/>
        <w:snapToGrid w:val="0"/>
        <w:spacing w:before="114"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12.要求</w:t>
      </w:r>
    </w:p>
    <w:p w14:paraId="096C0E8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12.1供应商应详细阅读竞争性磋商文件中的条款、格式、表示、条件和规范等所有内容，按竞争性磋商文件的要求提供响应文件，并保证所提供的全部材料的真实性，以使其投标对竞争性磋商文件做出实质性响应。否则，其投标可能被拒绝。</w:t>
      </w:r>
    </w:p>
    <w:p w14:paraId="1C7F3342">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13.响应文件语言和度量单位</w:t>
      </w:r>
    </w:p>
    <w:p w14:paraId="79069F6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13.1响应文件及供应商和采购人就招标、投标交换的文件和往来信件，须以中文书写。供应商可提交其他语言的资料，但应附中文注释，在有差异时，以中文为主。</w:t>
      </w:r>
    </w:p>
    <w:p w14:paraId="1BBBB88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13.2除在竞争性磋商文件的技术规格中另有规定外，计量单位应使用中华人民共和国法定计量单位（国际单位制和国家选定的其它计量单位）。</w:t>
      </w:r>
    </w:p>
    <w:p w14:paraId="28D42C11">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14.响应文件的组成</w:t>
      </w:r>
    </w:p>
    <w:p w14:paraId="3C423866">
      <w:pPr>
        <w:shd w:val="clear"/>
        <w:snapToGrid w:val="0"/>
        <w:spacing w:line="579" w:lineRule="exact"/>
        <w:ind w:firstLine="480" w:firstLineChars="200"/>
        <w:rPr>
          <w:rStyle w:val="35"/>
          <w:rFonts w:hint="eastAsia" w:ascii="仿宋" w:hAnsi="仿宋" w:eastAsia="仿宋" w:cs="仿宋"/>
          <w:b/>
          <w:bCs/>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14.1</w:t>
      </w:r>
      <w:r>
        <w:rPr>
          <w:rStyle w:val="35"/>
          <w:rFonts w:hint="eastAsia" w:ascii="仿宋" w:hAnsi="仿宋" w:eastAsia="仿宋" w:cs="仿宋"/>
          <w:b/>
          <w:bCs/>
          <w:color w:val="auto"/>
          <w:sz w:val="24"/>
          <w:szCs w:val="24"/>
          <w:highlight w:val="none"/>
          <w:lang w:eastAsia="zh-CN"/>
        </w:rPr>
        <w:t>响应文件</w:t>
      </w:r>
      <w:r>
        <w:rPr>
          <w:rStyle w:val="35"/>
          <w:rFonts w:hint="eastAsia" w:ascii="仿宋" w:hAnsi="仿宋" w:eastAsia="仿宋" w:cs="仿宋"/>
          <w:b/>
          <w:bCs/>
          <w:color w:val="auto"/>
          <w:sz w:val="24"/>
          <w:szCs w:val="24"/>
          <w:highlight w:val="none"/>
          <w:lang w:val="en-US" w:eastAsia="zh-CN"/>
        </w:rPr>
        <w:t>组成内容</w:t>
      </w:r>
    </w:p>
    <w:p w14:paraId="62F56B20">
      <w:pPr>
        <w:shd w:val="clear"/>
        <w:snapToGrid w:val="0"/>
        <w:spacing w:line="579" w:lineRule="exact"/>
        <w:ind w:firstLine="480" w:firstLineChars="200"/>
        <w:rPr>
          <w:rStyle w:val="35"/>
          <w:rFonts w:hint="eastAsia" w:ascii="仿宋" w:hAnsi="仿宋" w:eastAsia="仿宋" w:cs="仿宋"/>
          <w:b w:val="0"/>
          <w:bCs w:val="0"/>
          <w:color w:val="auto"/>
          <w:sz w:val="24"/>
          <w:szCs w:val="24"/>
          <w:highlight w:val="none"/>
          <w:lang w:val="en-US" w:eastAsia="zh-CN"/>
        </w:rPr>
      </w:pPr>
      <w:r>
        <w:rPr>
          <w:rStyle w:val="35"/>
          <w:rFonts w:hint="eastAsia" w:ascii="仿宋" w:hAnsi="仿宋" w:eastAsia="仿宋" w:cs="仿宋"/>
          <w:b w:val="0"/>
          <w:bCs w:val="0"/>
          <w:color w:val="auto"/>
          <w:sz w:val="24"/>
          <w:szCs w:val="24"/>
          <w:highlight w:val="none"/>
          <w:lang w:val="en-US" w:eastAsia="zh-CN"/>
        </w:rPr>
        <w:t>第一部分 资格证明文件</w:t>
      </w:r>
    </w:p>
    <w:p w14:paraId="29F674D8">
      <w:pPr>
        <w:shd w:val="clear"/>
        <w:snapToGrid w:val="0"/>
        <w:spacing w:line="579" w:lineRule="exact"/>
        <w:ind w:firstLine="480" w:firstLineChars="200"/>
        <w:rPr>
          <w:rStyle w:val="35"/>
          <w:rFonts w:hint="eastAsia" w:ascii="仿宋" w:hAnsi="仿宋" w:eastAsia="仿宋" w:cs="仿宋"/>
          <w:b w:val="0"/>
          <w:bCs w:val="0"/>
          <w:color w:val="auto"/>
          <w:sz w:val="24"/>
          <w:szCs w:val="24"/>
          <w:highlight w:val="none"/>
          <w:lang w:val="en-US" w:eastAsia="zh-CN"/>
        </w:rPr>
      </w:pPr>
      <w:r>
        <w:rPr>
          <w:rStyle w:val="35"/>
          <w:rFonts w:hint="eastAsia" w:ascii="仿宋" w:hAnsi="仿宋" w:eastAsia="仿宋" w:cs="仿宋"/>
          <w:b w:val="0"/>
          <w:bCs w:val="0"/>
          <w:color w:val="auto"/>
          <w:sz w:val="24"/>
          <w:szCs w:val="24"/>
          <w:highlight w:val="none"/>
          <w:lang w:val="en-US" w:eastAsia="zh-CN"/>
        </w:rPr>
        <w:t>第二部分 报价文件</w:t>
      </w:r>
    </w:p>
    <w:p w14:paraId="225ECC54">
      <w:pPr>
        <w:shd w:val="clear"/>
        <w:snapToGrid w:val="0"/>
        <w:spacing w:line="579" w:lineRule="exact"/>
        <w:ind w:firstLine="480" w:firstLineChars="200"/>
        <w:rPr>
          <w:rStyle w:val="35"/>
          <w:rFonts w:hint="eastAsia" w:ascii="仿宋" w:hAnsi="仿宋" w:eastAsia="仿宋" w:cs="仿宋"/>
          <w:b w:val="0"/>
          <w:bCs w:val="0"/>
          <w:color w:val="auto"/>
          <w:sz w:val="24"/>
          <w:szCs w:val="24"/>
          <w:highlight w:val="none"/>
          <w:lang w:val="en-US" w:eastAsia="zh-CN"/>
        </w:rPr>
      </w:pPr>
      <w:r>
        <w:rPr>
          <w:rStyle w:val="35"/>
          <w:rFonts w:hint="eastAsia" w:ascii="仿宋" w:hAnsi="仿宋" w:eastAsia="仿宋" w:cs="仿宋"/>
          <w:b w:val="0"/>
          <w:bCs w:val="0"/>
          <w:color w:val="auto"/>
          <w:sz w:val="24"/>
          <w:szCs w:val="24"/>
          <w:highlight w:val="none"/>
          <w:lang w:val="en-US" w:eastAsia="zh-CN"/>
        </w:rPr>
        <w:t>第三部分 商务及技术部分</w:t>
      </w:r>
    </w:p>
    <w:p w14:paraId="159F2A64">
      <w:pPr>
        <w:shd w:val="clear"/>
        <w:snapToGrid w:val="0"/>
        <w:spacing w:line="579" w:lineRule="exact"/>
        <w:ind w:firstLine="482" w:firstLineChars="200"/>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14.</w:t>
      </w:r>
      <w:r>
        <w:rPr>
          <w:rStyle w:val="35"/>
          <w:rFonts w:hint="eastAsia" w:ascii="仿宋" w:hAnsi="仿宋" w:eastAsia="仿宋" w:cs="仿宋"/>
          <w:b/>
          <w:bCs/>
          <w:color w:val="auto"/>
          <w:sz w:val="24"/>
          <w:szCs w:val="24"/>
          <w:highlight w:val="none"/>
          <w:lang w:val="en-US" w:eastAsia="zh-CN"/>
        </w:rPr>
        <w:t>2评审前，根据供应商提供的资格证明文件对其进行资格审查。</w:t>
      </w:r>
      <w:r>
        <w:rPr>
          <w:rStyle w:val="35"/>
          <w:rFonts w:hint="eastAsia" w:ascii="仿宋" w:hAnsi="仿宋" w:eastAsia="仿宋" w:cs="仿宋"/>
          <w:b/>
          <w:bCs/>
          <w:color w:val="auto"/>
          <w:sz w:val="24"/>
          <w:szCs w:val="24"/>
          <w:highlight w:val="none"/>
          <w:lang w:eastAsia="zh-CN"/>
        </w:rPr>
        <w:t>所有资格证明文件必须满足竞争性磋商文件的要求，否则将导致投标被否决。</w:t>
      </w:r>
    </w:p>
    <w:p w14:paraId="0D377C0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w:t>
      </w:r>
      <w:r>
        <w:rPr>
          <w:rStyle w:val="35"/>
          <w:rFonts w:hint="eastAsia" w:ascii="仿宋" w:hAnsi="仿宋" w:eastAsia="仿宋" w:cs="仿宋"/>
          <w:color w:val="auto"/>
          <w:sz w:val="24"/>
          <w:szCs w:val="24"/>
          <w:highlight w:val="none"/>
          <w:lang w:val="en-US" w:eastAsia="zh-CN"/>
        </w:rPr>
        <w:t>3</w:t>
      </w:r>
      <w:r>
        <w:rPr>
          <w:rStyle w:val="35"/>
          <w:rFonts w:hint="eastAsia" w:ascii="仿宋" w:hAnsi="仿宋" w:eastAsia="仿宋" w:cs="仿宋"/>
          <w:color w:val="auto"/>
          <w:sz w:val="24"/>
          <w:szCs w:val="24"/>
          <w:highlight w:val="none"/>
          <w:lang w:eastAsia="zh-CN"/>
        </w:rPr>
        <w:t>供应商可按竞争性磋商文件的范本格式中提供的响应文件格式填写响应文件；如提供的范本格式有不完善之处，请自行补充完善。</w:t>
      </w:r>
    </w:p>
    <w:p w14:paraId="43C358DF">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15.符合竞争性磋商文件规定的证明文件</w:t>
      </w:r>
    </w:p>
    <w:p w14:paraId="3FFD410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15.1供应商提供的资格证明材料，须满足供应商须知前附表的要求。</w:t>
      </w:r>
    </w:p>
    <w:p w14:paraId="4B7627B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7ABE382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7C03EB2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15.4供应商须提交证明拟供货物（或服务）符合竞争性磋商文件规定的技术响应文件，作为响应文件的一部分。</w:t>
      </w:r>
    </w:p>
    <w:p w14:paraId="403AB10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15.5提供的货物（或服务）符合规定的相应技术标准、环保及节能标准等。</w:t>
      </w:r>
    </w:p>
    <w:p w14:paraId="41DF62B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15.6对照采购人的采购内容及技术要求，逐条确定，指出所提供的货物（或服务）是否实质性响应竞争性磋商文件的要求，如有偏离，须填报偏离表（见附件）。</w:t>
      </w:r>
    </w:p>
    <w:p w14:paraId="1B9C704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14:paraId="12B2238A">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16.投标报价</w:t>
      </w:r>
    </w:p>
    <w:p w14:paraId="7EA8B70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CDD914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16.2其报价须保证在投标有效期及交付期内固定不变。采购人不接受有任何选择性报价。</w:t>
      </w:r>
    </w:p>
    <w:p w14:paraId="3100E81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3B56B53E">
      <w:pPr>
        <w:shd w:val="clear"/>
        <w:spacing w:line="579" w:lineRule="exact"/>
        <w:ind w:firstLine="480" w:firstLineChars="200"/>
        <w:rPr>
          <w:rFonts w:hint="eastAsia" w:ascii="仿宋" w:hAnsi="仿宋" w:eastAsia="仿宋" w:cs="仿宋"/>
          <w:color w:val="auto"/>
          <w:kern w:val="0"/>
          <w:sz w:val="24"/>
          <w:szCs w:val="20"/>
          <w:highlight w:val="none"/>
          <w:lang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 xml:space="preserve"> 磋商结束后，磋商小组可根据磋商情况，要求</w:t>
      </w:r>
      <w:r>
        <w:rPr>
          <w:rFonts w:hint="eastAsia" w:ascii="仿宋" w:hAnsi="仿宋" w:eastAsia="仿宋" w:cs="仿宋"/>
          <w:color w:val="auto"/>
          <w:kern w:val="0"/>
          <w:sz w:val="24"/>
          <w:szCs w:val="20"/>
          <w:highlight w:val="none"/>
          <w:lang w:val="en-US" w:eastAsia="zh-CN" w:bidi="ar"/>
        </w:rPr>
        <w:t>供应商</w:t>
      </w:r>
      <w:r>
        <w:rPr>
          <w:rFonts w:hint="eastAsia" w:ascii="仿宋" w:hAnsi="仿宋" w:eastAsia="仿宋" w:cs="仿宋"/>
          <w:color w:val="auto"/>
          <w:kern w:val="0"/>
          <w:sz w:val="24"/>
          <w:szCs w:val="20"/>
          <w:highlight w:val="none"/>
          <w:lang w:bidi="ar"/>
        </w:rPr>
        <w:t>进行第</w:t>
      </w:r>
      <w:r>
        <w:rPr>
          <w:rFonts w:hint="eastAsia" w:ascii="仿宋" w:hAnsi="仿宋" w:eastAsia="仿宋" w:cs="仿宋"/>
          <w:color w:val="auto"/>
          <w:kern w:val="0"/>
          <w:sz w:val="24"/>
          <w:szCs w:val="20"/>
          <w:highlight w:val="none"/>
          <w:lang w:eastAsia="zh-CN" w:bidi="ar"/>
        </w:rPr>
        <w:t>二次</w:t>
      </w:r>
      <w:r>
        <w:rPr>
          <w:rFonts w:hint="eastAsia" w:ascii="仿宋" w:hAnsi="仿宋" w:eastAsia="仿宋" w:cs="仿宋"/>
          <w:color w:val="auto"/>
          <w:kern w:val="0"/>
          <w:sz w:val="24"/>
          <w:szCs w:val="20"/>
          <w:highlight w:val="none"/>
          <w:lang w:bidi="ar"/>
        </w:rPr>
        <w:t>报价和第三次报价</w:t>
      </w:r>
      <w:r>
        <w:rPr>
          <w:rFonts w:hint="eastAsia" w:ascii="仿宋" w:hAnsi="仿宋" w:eastAsia="仿宋" w:cs="仿宋"/>
          <w:color w:val="auto"/>
          <w:kern w:val="0"/>
          <w:sz w:val="24"/>
          <w:szCs w:val="20"/>
          <w:highlight w:val="none"/>
          <w:lang w:eastAsia="zh-CN" w:bidi="ar"/>
        </w:rPr>
        <w:t>等多轮报价</w:t>
      </w:r>
      <w:r>
        <w:rPr>
          <w:rFonts w:hint="eastAsia" w:ascii="仿宋" w:hAnsi="仿宋" w:eastAsia="仿宋" w:cs="仿宋"/>
          <w:color w:val="auto"/>
          <w:kern w:val="0"/>
          <w:sz w:val="24"/>
          <w:szCs w:val="20"/>
          <w:highlight w:val="none"/>
          <w:lang w:bidi="ar"/>
        </w:rPr>
        <w:t>，并确定最终报价。最终报价是响应文件的有效组成部分。</w:t>
      </w:r>
    </w:p>
    <w:p w14:paraId="3E0B2A08">
      <w:pPr>
        <w:shd w:val="clear"/>
        <w:spacing w:line="579" w:lineRule="exact"/>
        <w:ind w:firstLine="480" w:firstLineChars="200"/>
        <w:rPr>
          <w:rStyle w:val="35"/>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5</w:t>
      </w:r>
      <w:r>
        <w:rPr>
          <w:rFonts w:hint="eastAsia" w:ascii="仿宋" w:hAnsi="仿宋" w:eastAsia="仿宋" w:cs="仿宋"/>
          <w:color w:val="auto"/>
          <w:kern w:val="0"/>
          <w:sz w:val="24"/>
          <w:szCs w:val="20"/>
          <w:highlight w:val="none"/>
          <w:lang w:bidi="ar"/>
        </w:rPr>
        <w:t xml:space="preserve"> </w:t>
      </w:r>
      <w:r>
        <w:rPr>
          <w:rFonts w:hint="eastAsia" w:ascii="仿宋" w:hAnsi="仿宋" w:eastAsia="仿宋" w:cs="仿宋"/>
          <w:color w:val="auto"/>
          <w:kern w:val="0"/>
          <w:sz w:val="24"/>
          <w:szCs w:val="20"/>
          <w:highlight w:val="none"/>
          <w:lang w:eastAsia="zh-CN" w:bidi="ar"/>
        </w:rPr>
        <w:t>参与竞争性谈判和竞争性磋商项目供应商，开标结束后，请及时进入“网上报价”页面（详见操作手册），等待最终报价通知。如未在系统提示的报价时限内报价，则视为上一轮报价为最终报价</w:t>
      </w:r>
      <w:r>
        <w:rPr>
          <w:rFonts w:hint="eastAsia" w:ascii="仿宋" w:hAnsi="仿宋" w:eastAsia="仿宋" w:cs="仿宋"/>
          <w:color w:val="auto"/>
          <w:kern w:val="0"/>
          <w:sz w:val="24"/>
          <w:szCs w:val="20"/>
          <w:highlight w:val="none"/>
          <w:lang w:bidi="ar"/>
        </w:rPr>
        <w:t>。</w:t>
      </w:r>
    </w:p>
    <w:p w14:paraId="7D3F140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w:t>
      </w:r>
      <w:r>
        <w:rPr>
          <w:rStyle w:val="35"/>
          <w:rFonts w:hint="eastAsia" w:ascii="仿宋" w:hAnsi="仿宋" w:eastAsia="仿宋" w:cs="仿宋"/>
          <w:color w:val="auto"/>
          <w:sz w:val="24"/>
          <w:szCs w:val="24"/>
          <w:highlight w:val="none"/>
          <w:lang w:val="en-US" w:eastAsia="zh-CN"/>
        </w:rPr>
        <w:t>6</w:t>
      </w:r>
      <w:r>
        <w:rPr>
          <w:rStyle w:val="35"/>
          <w:rFonts w:hint="eastAsia" w:ascii="仿宋" w:hAnsi="仿宋" w:eastAsia="仿宋" w:cs="仿宋"/>
          <w:color w:val="auto"/>
          <w:sz w:val="24"/>
          <w:szCs w:val="24"/>
          <w:highlight w:val="none"/>
          <w:lang w:eastAsia="zh-CN"/>
        </w:rPr>
        <w:t>投标报价货币单位：人民币。</w:t>
      </w:r>
    </w:p>
    <w:p w14:paraId="16DF4601">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17.投标有效期</w:t>
      </w:r>
    </w:p>
    <w:p w14:paraId="3459C8A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17.1投标有效期详见供应商须知前附表，如不满足其投标将被否决。</w:t>
      </w:r>
    </w:p>
    <w:p w14:paraId="1B74DF3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119A4515">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18．磋商保证金</w:t>
      </w:r>
    </w:p>
    <w:p w14:paraId="0260E61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18.1磋商保证金的缴纳详见供应商须知前附表。未按规定提交磋商保证金的投标，将被视为投标无效。</w:t>
      </w:r>
    </w:p>
    <w:p w14:paraId="03A9FC7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18.2磋商保证金的退还详见供应商须知前附表。</w:t>
      </w:r>
    </w:p>
    <w:p w14:paraId="7736347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18.3不予退还保证金的情形，详见供应商须知前附表。</w:t>
      </w:r>
    </w:p>
    <w:p w14:paraId="44142435">
      <w:pPr>
        <w:pStyle w:val="45"/>
        <w:shd w:val="clear"/>
        <w:snapToGrid w:val="0"/>
        <w:spacing w:before="114"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19.响应文件的签署及规定</w:t>
      </w:r>
    </w:p>
    <w:p w14:paraId="78651CA7">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19.1电子响应文件使用政采云平台响应文件制作工具以及磋商文件要求进行制作编制。响应文件制作时，按照磋商文件中明确的响应文件目录和格式进行编制，保证目录清晰、内容完整。</w:t>
      </w:r>
    </w:p>
    <w:p w14:paraId="15706463">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19.2电子响应文件须使用供应商电子公章及法定代表人的电子签名。若无电子签章和签名，则视为无效响应。</w:t>
      </w:r>
    </w:p>
    <w:p w14:paraId="754AB2E9">
      <w:pPr>
        <w:shd w:val="clear"/>
        <w:snapToGrid w:val="0"/>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13418B9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p>
    <w:p w14:paraId="379245A5">
      <w:pPr>
        <w:pStyle w:val="46"/>
        <w:shd w:val="clear"/>
        <w:spacing w:before="30" w:line="579" w:lineRule="exact"/>
        <w:ind w:left="2874"/>
        <w:jc w:val="left"/>
        <w:outlineLvl w:val="1"/>
        <w:rPr>
          <w:rStyle w:val="35"/>
          <w:rFonts w:ascii="仿宋" w:hAnsi="仿宋" w:eastAsia="仿宋" w:cs="仿宋"/>
          <w:color w:val="auto"/>
          <w:highlight w:val="none"/>
          <w:lang w:eastAsia="zh-CN"/>
        </w:rPr>
      </w:pPr>
      <w:bookmarkStart w:id="35" w:name="_Toc10035"/>
      <w:bookmarkStart w:id="36" w:name="_Toc32571"/>
      <w:bookmarkStart w:id="37" w:name="_Toc8392"/>
      <w:bookmarkStart w:id="38" w:name="_Toc1653"/>
      <w:bookmarkStart w:id="39" w:name="_Toc895"/>
      <w:bookmarkStart w:id="40" w:name="_Toc2843"/>
      <w:r>
        <w:rPr>
          <w:rStyle w:val="35"/>
          <w:rFonts w:hint="eastAsia" w:ascii="仿宋" w:hAnsi="仿宋" w:eastAsia="仿宋" w:cs="仿宋"/>
          <w:color w:val="auto"/>
          <w:highlight w:val="none"/>
          <w:lang w:eastAsia="zh-CN"/>
        </w:rPr>
        <w:t>第四章 响应文件的递交</w:t>
      </w:r>
      <w:bookmarkEnd w:id="35"/>
      <w:bookmarkEnd w:id="36"/>
      <w:bookmarkEnd w:id="37"/>
      <w:bookmarkEnd w:id="38"/>
      <w:bookmarkEnd w:id="39"/>
      <w:bookmarkEnd w:id="40"/>
    </w:p>
    <w:p w14:paraId="7E7BD8A1">
      <w:pPr>
        <w:pStyle w:val="45"/>
        <w:shd w:val="clear"/>
        <w:spacing w:before="26"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20.响应性文件的密封与标记</w:t>
      </w:r>
    </w:p>
    <w:p w14:paraId="430143FE">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20.1加密的电子响应文件（.jmbs格式）应在响应文件递交截止时间前通过政采云平台上传完成。</w:t>
      </w:r>
    </w:p>
    <w:p w14:paraId="278CFF8A">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20.2逾期上传或者未上传指定地点的响应文件，采购人不予受理。</w:t>
      </w:r>
    </w:p>
    <w:p w14:paraId="27C93FC4">
      <w:pPr>
        <w:shd w:val="clear"/>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21.响应文件递交截止时间</w:t>
      </w:r>
    </w:p>
    <w:p w14:paraId="2EBC02E7">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1</w:t>
      </w:r>
      <w:r>
        <w:rPr>
          <w:rStyle w:val="35"/>
          <w:rFonts w:hint="eastAsia" w:ascii="仿宋" w:hAnsi="仿宋" w:eastAsia="仿宋" w:cs="仿宋"/>
          <w:color w:val="auto"/>
          <w:sz w:val="24"/>
          <w:szCs w:val="24"/>
          <w:highlight w:val="none"/>
          <w:lang w:eastAsia="zh-CN"/>
        </w:rPr>
        <w:t>.1 供应商应在供应商须知前附表规定的提交响应文件截止时间前，将响应文件上传至平台。逾期上传或者未上传指定地点的响应文件，采购人不予受理。</w:t>
      </w:r>
    </w:p>
    <w:p w14:paraId="07E533FC">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出现因竞争性磋商文件的修改推迟投标截止时间时，则按采购人修改通知规定的时间递交。</w:t>
      </w:r>
    </w:p>
    <w:p w14:paraId="6CC6ED2F">
      <w:pPr>
        <w:shd w:val="clear"/>
        <w:spacing w:line="579" w:lineRule="exact"/>
        <w:ind w:firstLine="482"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22.响应文件的修改和撤回</w:t>
      </w:r>
    </w:p>
    <w:p w14:paraId="68120698">
      <w:pPr>
        <w:shd w:val="clear"/>
        <w:spacing w:line="579" w:lineRule="exac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156340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供应商不得在开标时间起至投标有效期期满前撤销响应文件。</w:t>
      </w:r>
    </w:p>
    <w:p w14:paraId="4F674FC5">
      <w:pPr>
        <w:pStyle w:val="46"/>
        <w:shd w:val="clear"/>
        <w:spacing w:before="34" w:line="579" w:lineRule="exact"/>
        <w:ind w:left="153"/>
        <w:outlineLvl w:val="1"/>
        <w:rPr>
          <w:rStyle w:val="35"/>
          <w:rFonts w:ascii="仿宋" w:hAnsi="仿宋" w:eastAsia="仿宋" w:cs="仿宋"/>
          <w:color w:val="auto"/>
          <w:highlight w:val="none"/>
          <w:lang w:eastAsia="zh-CN"/>
        </w:rPr>
      </w:pPr>
      <w:bookmarkStart w:id="41" w:name="_Toc19864"/>
      <w:bookmarkStart w:id="42" w:name="_Toc2807"/>
      <w:bookmarkStart w:id="43" w:name="_Toc15274"/>
      <w:bookmarkStart w:id="44" w:name="_Toc5219"/>
      <w:bookmarkStart w:id="45" w:name="_Toc20734"/>
      <w:bookmarkStart w:id="46" w:name="_Toc13653"/>
      <w:r>
        <w:rPr>
          <w:rStyle w:val="35"/>
          <w:rFonts w:hint="eastAsia" w:ascii="仿宋" w:hAnsi="仿宋" w:eastAsia="仿宋" w:cs="仿宋"/>
          <w:color w:val="auto"/>
          <w:highlight w:val="none"/>
          <w:lang w:eastAsia="zh-CN"/>
        </w:rPr>
        <w:t>第五章 开标</w:t>
      </w:r>
      <w:bookmarkEnd w:id="41"/>
      <w:bookmarkEnd w:id="42"/>
      <w:bookmarkEnd w:id="43"/>
      <w:bookmarkEnd w:id="44"/>
      <w:bookmarkEnd w:id="45"/>
      <w:bookmarkEnd w:id="46"/>
    </w:p>
    <w:p w14:paraId="408AAD4E">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eastAsia="zh-CN"/>
        </w:rPr>
        <w:t>23．</w:t>
      </w:r>
      <w:r>
        <w:rPr>
          <w:rStyle w:val="35"/>
          <w:rFonts w:hint="eastAsia" w:ascii="仿宋" w:hAnsi="仿宋" w:eastAsia="仿宋" w:cs="仿宋"/>
          <w:b/>
          <w:color w:val="auto"/>
          <w:w w:val="95"/>
          <w:sz w:val="24"/>
          <w:szCs w:val="24"/>
          <w:highlight w:val="none"/>
          <w:lang w:val="en-US" w:eastAsia="zh-CN"/>
        </w:rPr>
        <w:t>1</w:t>
      </w:r>
      <w:r>
        <w:rPr>
          <w:rStyle w:val="35"/>
          <w:rFonts w:hint="eastAsia" w:ascii="仿宋" w:hAnsi="仿宋" w:eastAsia="仿宋" w:cs="仿宋"/>
          <w:b/>
          <w:color w:val="auto"/>
          <w:w w:val="95"/>
          <w:sz w:val="24"/>
          <w:szCs w:val="24"/>
          <w:highlight w:val="none"/>
          <w:lang w:eastAsia="zh-CN"/>
        </w:rPr>
        <w:t>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3A1B9F5">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23.2</w:t>
      </w:r>
      <w:r>
        <w:rPr>
          <w:rStyle w:val="35"/>
          <w:rFonts w:hint="eastAsia" w:ascii="仿宋" w:hAnsi="仿宋" w:eastAsia="仿宋" w:cs="仿宋"/>
          <w:b/>
          <w:color w:val="auto"/>
          <w:w w:val="95"/>
          <w:sz w:val="24"/>
          <w:szCs w:val="24"/>
          <w:highlight w:val="none"/>
          <w:lang w:eastAsia="zh-CN"/>
        </w:rPr>
        <w:t>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A335A5E">
      <w:pPr>
        <w:shd w:val="clear"/>
        <w:spacing w:line="579" w:lineRule="exac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23.3</w:t>
      </w:r>
      <w:r>
        <w:rPr>
          <w:rStyle w:val="35"/>
          <w:rFonts w:hint="eastAsia" w:ascii="仿宋" w:hAnsi="仿宋" w:eastAsia="仿宋" w:cs="仿宋"/>
          <w:b/>
          <w:color w:val="auto"/>
          <w:w w:val="95"/>
          <w:sz w:val="24"/>
          <w:szCs w:val="24"/>
          <w:highlight w:val="none"/>
          <w:lang w:eastAsia="zh-CN"/>
        </w:rPr>
        <w:t>参与竞争性谈判和竞争性磋商项目供应商，开标结束后，请及时进入“网上报价”页面（详见操作手册），等待最终报价通知。如未在系统提示的报价时限内报价，则视为上一轮报价为最终报价。</w:t>
      </w:r>
    </w:p>
    <w:p w14:paraId="40F76E31">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val="en-US" w:eastAsia="zh-CN"/>
        </w:rPr>
      </w:pPr>
    </w:p>
    <w:p w14:paraId="3D8CBB9E">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Style w:val="35"/>
          <w:rFonts w:hint="eastAsia" w:ascii="仿宋" w:hAnsi="仿宋" w:eastAsia="仿宋" w:cs="仿宋"/>
          <w:b/>
          <w:color w:val="auto"/>
          <w:sz w:val="32"/>
          <w:highlight w:val="none"/>
          <w:lang w:eastAsia="zh-CN"/>
        </w:rPr>
      </w:pPr>
      <w:bookmarkStart w:id="47" w:name="_Toc7217"/>
    </w:p>
    <w:p w14:paraId="3ACBA951">
      <w:pPr>
        <w:rPr>
          <w:rStyle w:val="35"/>
          <w:rFonts w:hint="eastAsia" w:ascii="仿宋" w:hAnsi="仿宋" w:eastAsia="仿宋" w:cs="仿宋"/>
          <w:b/>
          <w:color w:val="auto"/>
          <w:sz w:val="32"/>
          <w:highlight w:val="none"/>
          <w:lang w:eastAsia="zh-CN"/>
        </w:rPr>
      </w:pPr>
      <w:bookmarkStart w:id="48" w:name="_Toc21833"/>
      <w:bookmarkStart w:id="49" w:name="_Toc25316"/>
      <w:bookmarkStart w:id="50" w:name="_Toc3015"/>
      <w:bookmarkStart w:id="51" w:name="_Toc2700"/>
      <w:bookmarkStart w:id="52" w:name="_Toc7919"/>
      <w:r>
        <w:rPr>
          <w:rStyle w:val="35"/>
          <w:rFonts w:hint="eastAsia" w:ascii="仿宋" w:hAnsi="仿宋" w:eastAsia="仿宋" w:cs="仿宋"/>
          <w:b/>
          <w:color w:val="auto"/>
          <w:sz w:val="32"/>
          <w:highlight w:val="none"/>
          <w:lang w:eastAsia="zh-CN"/>
        </w:rPr>
        <w:br w:type="page"/>
      </w:r>
    </w:p>
    <w:p w14:paraId="21CDD31E">
      <w:pPr>
        <w:shd w:val="clear"/>
        <w:spacing w:line="579" w:lineRule="exact"/>
        <w:jc w:val="center"/>
        <w:outlineLvl w:val="1"/>
        <w:rPr>
          <w:rStyle w:val="35"/>
          <w:rFonts w:ascii="仿宋" w:hAnsi="仿宋" w:eastAsia="仿宋" w:cs="仿宋"/>
          <w:b/>
          <w:color w:val="auto"/>
          <w:sz w:val="32"/>
          <w:highlight w:val="none"/>
          <w:lang w:eastAsia="zh-CN"/>
        </w:rPr>
      </w:pPr>
      <w:r>
        <w:rPr>
          <w:rStyle w:val="35"/>
          <w:rFonts w:hint="eastAsia" w:ascii="仿宋" w:hAnsi="仿宋" w:eastAsia="仿宋" w:cs="仿宋"/>
          <w:b/>
          <w:color w:val="auto"/>
          <w:sz w:val="32"/>
          <w:highlight w:val="none"/>
          <w:lang w:eastAsia="zh-CN"/>
        </w:rPr>
        <w:t>第六章 评标</w:t>
      </w:r>
      <w:bookmarkEnd w:id="47"/>
      <w:bookmarkEnd w:id="48"/>
      <w:bookmarkEnd w:id="49"/>
      <w:bookmarkEnd w:id="50"/>
      <w:bookmarkEnd w:id="51"/>
      <w:bookmarkEnd w:id="52"/>
    </w:p>
    <w:p w14:paraId="537224AF">
      <w:pPr>
        <w:pStyle w:val="45"/>
        <w:shd w:val="clear"/>
        <w:snapToGrid w:val="0"/>
        <w:spacing w:before="113"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24.评审小组</w:t>
      </w:r>
    </w:p>
    <w:p w14:paraId="3F6D888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59FBEC7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24.2评审小组成员名单在评标结果公告前应当保密。</w:t>
      </w:r>
    </w:p>
    <w:p w14:paraId="2F8150B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24.3评审小组由采购人代表和评审专家组成，成员人数应当为3人或以上单数，其中评审专家不得少于成员总数的三分之二。</w:t>
      </w:r>
    </w:p>
    <w:p w14:paraId="7500B74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3E55E79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14:paraId="758F073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24.6评标专家应符合下列条件：</w:t>
      </w:r>
    </w:p>
    <w:p w14:paraId="54F881D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05592CA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52DE409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24.6.3熟悉政府采购相关政策法规；</w:t>
      </w:r>
    </w:p>
    <w:p w14:paraId="1092841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71197126">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24.6.5身体健康，能够承担评审工作；</w:t>
      </w:r>
    </w:p>
    <w:p w14:paraId="645C673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36FACC4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有下列情形之一的，不得担任评审小组成员：</w:t>
      </w:r>
    </w:p>
    <w:p w14:paraId="41A74FF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0EABE5B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58A5AF7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(3)与供应商有其他可能影响政府采购活动公平、公正进行的关系。</w:t>
      </w:r>
    </w:p>
    <w:p w14:paraId="45D7506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24.7评审小组负责具体评标事务，并独立履行下列职责：</w:t>
      </w:r>
    </w:p>
    <w:p w14:paraId="46C4D0F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(1)审查、评价响应文件是否符合竞争性磋商文件的商务、技术等实质性要求；</w:t>
      </w:r>
    </w:p>
    <w:p w14:paraId="1AEEC40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(2)要求供应商对响应文件的有关事项作出澄清或者说明；</w:t>
      </w:r>
    </w:p>
    <w:p w14:paraId="66D194E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(3)对响应文件进行比较和评价；</w:t>
      </w:r>
    </w:p>
    <w:p w14:paraId="2161495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(4)确定中标候选人名单，以及根据采购人委托直接确定中标人；</w:t>
      </w:r>
    </w:p>
    <w:p w14:paraId="2FABC5A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(5)向采购人、采购代理机构或者有关部门报告评标中发现的违法行为。</w:t>
      </w:r>
    </w:p>
    <w:p w14:paraId="5C3187E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24.8评审小组及其成员不得有下列行为：</w:t>
      </w:r>
    </w:p>
    <w:p w14:paraId="1FCDDC4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(1)确定参与评标至评标结束前私自接触供应商；</w:t>
      </w:r>
    </w:p>
    <w:p w14:paraId="564A999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(2)接受供应商提出的与响应文件不一致的澄清或者说明，本竞争性磋商文件第</w:t>
      </w:r>
    </w:p>
    <w:p w14:paraId="2761139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27.1款规定的情形除外；</w:t>
      </w:r>
    </w:p>
    <w:p w14:paraId="0B15105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(3)违反评标纪律发表倾向性意见或者征询采购人的倾向性意见；</w:t>
      </w:r>
    </w:p>
    <w:p w14:paraId="5DB4CA6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(4)对需要专业判断的主观评审因素协商评分；</w:t>
      </w:r>
    </w:p>
    <w:p w14:paraId="5C1A17D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(5)在评标过程中擅离职守，影响评标程序正常进行的；</w:t>
      </w:r>
    </w:p>
    <w:p w14:paraId="7AACBCC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(6)记录、复制或者带走任何评标资料；</w:t>
      </w:r>
    </w:p>
    <w:p w14:paraId="1258BA4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(7)其他不遵守评标纪律的行为。</w:t>
      </w:r>
    </w:p>
    <w:p w14:paraId="1A988E9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评审小组成员有前款第(1)至(5)项行为之一的，其评审意见无效，并不得获取评审劳务报酬和报销异地评审差旅费。</w:t>
      </w:r>
    </w:p>
    <w:p w14:paraId="32A9E096">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25.评审过程的保密性</w:t>
      </w:r>
    </w:p>
    <w:p w14:paraId="08EE35F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41743EF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514C031B">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12C4FC66">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26.评审依据及评标办法</w:t>
      </w:r>
    </w:p>
    <w:p w14:paraId="349C6BE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26.1评审的依据：采购人的竞争性磋商文件和供应商的响应文件。</w:t>
      </w:r>
    </w:p>
    <w:p w14:paraId="2C193324">
      <w:pPr>
        <w:shd w:val="clear"/>
        <w:snapToGrid w:val="0"/>
        <w:spacing w:line="579" w:lineRule="exact"/>
        <w:ind w:firstLine="480"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26.2评标办法：</w:t>
      </w:r>
      <w:r>
        <w:rPr>
          <w:rStyle w:val="35"/>
          <w:rFonts w:hint="eastAsia" w:ascii="仿宋" w:hAnsi="仿宋" w:eastAsia="仿宋" w:cs="仿宋"/>
          <w:b/>
          <w:color w:val="auto"/>
          <w:sz w:val="24"/>
          <w:szCs w:val="24"/>
          <w:highlight w:val="none"/>
          <w:lang w:eastAsia="zh-CN"/>
        </w:rPr>
        <w:t>综合评分法</w:t>
      </w:r>
    </w:p>
    <w:p w14:paraId="67417DF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综合评分法，是指响应文件满足竞争性磋商文件全部实质性要求，且按照评审因素的量化指标评审得分最高的供应商为中标候选人的评标方法。</w:t>
      </w:r>
    </w:p>
    <w:p w14:paraId="0457857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26.3评审程序：</w:t>
      </w:r>
    </w:p>
    <w:p w14:paraId="32818D63">
      <w:pPr>
        <w:shd w:val="clear"/>
        <w:snapToGrid w:val="0"/>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7DA2C3F4">
      <w:pPr>
        <w:shd w:val="clear"/>
        <w:snapToGrid w:val="0"/>
        <w:spacing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通过初步评审的响应文件，方可进入下一环节的评审。</w:t>
      </w:r>
    </w:p>
    <w:p w14:paraId="5CB1F372">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27.初步评审</w:t>
      </w:r>
    </w:p>
    <w:p w14:paraId="1237337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13FC22C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供应商的澄清、说明或补正应以书面方式进行，并加盖公章，或者由法定代表人或其授权的代表签字。供应商的澄清、说明或者补正不得超出响应文件的范围或者改变竞争性磋商文件的实质性内容。</w:t>
      </w:r>
    </w:p>
    <w:p w14:paraId="5A2071B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0E27F0A5">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27.2采购方不接受不符合国家有关部门相关规定的投标报价或优惠方案。</w:t>
      </w:r>
    </w:p>
    <w:p w14:paraId="6C0CF70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27.3在评审过程中，评审小组发现供应商以他人名义投标、串通投标、以行贿手段谋取中标或者以其他弄虚作假方式投标的，该供应商的投标将被否决。</w:t>
      </w:r>
    </w:p>
    <w:p w14:paraId="0AD4EC50">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27.4有下列情形之一的，视为供应商串通投标，其投标无效：</w:t>
      </w:r>
    </w:p>
    <w:p w14:paraId="116FD29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(1)不同供应商的响应文件由同一单位或者个人编制；</w:t>
      </w:r>
    </w:p>
    <w:p w14:paraId="2404664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(2)不同供应商委托同一单位或者个人办理投标事宜；</w:t>
      </w:r>
    </w:p>
    <w:p w14:paraId="67A4FA3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(3)不同供应商的响应文件载明的项目管理成员或者联系人员为同一人；</w:t>
      </w:r>
    </w:p>
    <w:p w14:paraId="02B52C8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(4)不同供应商的响应文件异常一致或者投标报价呈规律性差异；</w:t>
      </w:r>
    </w:p>
    <w:p w14:paraId="54E5EE8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(5)不同供应商的响应文件相互混装；</w:t>
      </w:r>
    </w:p>
    <w:p w14:paraId="47AB374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(6)不同供应商的磋商保证金从同一单位或者个人的账户转出。</w:t>
      </w:r>
    </w:p>
    <w:p w14:paraId="1F70002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27.5供应商存在下列情况之一的，投标无效：</w:t>
      </w:r>
    </w:p>
    <w:p w14:paraId="4F8D033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(1)未按照竞争性磋商文件的规定提交磋商保证金的；</w:t>
      </w:r>
    </w:p>
    <w:p w14:paraId="7FA44A3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(2)响应文件未按竞争性磋商文件要求签署、盖章的；</w:t>
      </w:r>
    </w:p>
    <w:p w14:paraId="1F5C5CCC">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(3)不具备竞争性磋商文件中规定的资格要求的；</w:t>
      </w:r>
    </w:p>
    <w:p w14:paraId="4BB0ED9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(4)报价超过竞争性磋商文件中规定的预算金额或者最高限价的；</w:t>
      </w:r>
    </w:p>
    <w:p w14:paraId="5BC81121">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(5)响应文件含有采购人不能接受的附加条件的；</w:t>
      </w:r>
    </w:p>
    <w:p w14:paraId="133754B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(6)法律、法规和竞争性磋商文件规定的其他无效情形。</w:t>
      </w:r>
    </w:p>
    <w:p w14:paraId="52A6BD8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27.6评审小组应当审查每一响应文件是否对竞争性磋商文件提出的所有实质性要求和条件做出响应。未能在实质上响应的投标，其投标将被否决。</w:t>
      </w:r>
    </w:p>
    <w:p w14:paraId="4DC66232">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27.7供应商不得误导、干扰采购方的评审活动，否则将废除其投标。</w:t>
      </w:r>
    </w:p>
    <w:p w14:paraId="77FEAC16">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27.8评审小组根据上述规定否决不合格投标，因有效投标不足本次评审办法规定数量而使得投标明显缺乏竞争性时，根据《中华人民共和国政府采购法》的相关规定，将作流标处理。</w:t>
      </w:r>
    </w:p>
    <w:p w14:paraId="1BDDC583">
      <w:pPr>
        <w:shd w:val="clear"/>
        <w:snapToGrid w:val="0"/>
        <w:spacing w:line="579" w:lineRule="exact"/>
        <w:ind w:firstLine="482" w:firstLineChars="200"/>
        <w:rPr>
          <w:rStyle w:val="35"/>
          <w:rFonts w:hint="default" w:ascii="仿宋" w:hAnsi="仿宋" w:eastAsia="仿宋" w:cs="仿宋"/>
          <w:b/>
          <w:color w:val="auto"/>
          <w:sz w:val="24"/>
          <w:szCs w:val="24"/>
          <w:highlight w:val="none"/>
          <w:lang w:val="en-US" w:eastAsia="zh-CN"/>
        </w:rPr>
      </w:pPr>
      <w:r>
        <w:rPr>
          <w:rStyle w:val="35"/>
          <w:rFonts w:hint="eastAsia" w:ascii="仿宋" w:hAnsi="仿宋" w:eastAsia="仿宋" w:cs="仿宋"/>
          <w:b/>
          <w:color w:val="auto"/>
          <w:sz w:val="24"/>
          <w:szCs w:val="24"/>
          <w:highlight w:val="none"/>
          <w:lang w:eastAsia="zh-CN"/>
        </w:rPr>
        <w:t>初步评审的标准详见附表1、</w:t>
      </w:r>
      <w:r>
        <w:rPr>
          <w:rStyle w:val="35"/>
          <w:rFonts w:hint="eastAsia" w:ascii="仿宋" w:hAnsi="仿宋" w:eastAsia="仿宋" w:cs="仿宋"/>
          <w:b/>
          <w:color w:val="auto"/>
          <w:sz w:val="24"/>
          <w:szCs w:val="24"/>
          <w:highlight w:val="none"/>
          <w:lang w:val="en-US" w:eastAsia="zh-CN"/>
        </w:rPr>
        <w:t>2</w:t>
      </w:r>
    </w:p>
    <w:p w14:paraId="3231ADFE">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28.响应文件计算错误的修正</w:t>
      </w:r>
    </w:p>
    <w:p w14:paraId="7DC51247">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28.1响应文件中报价出现前后不一致的，评审小组按以下原则对投标报价进行修正：</w:t>
      </w:r>
    </w:p>
    <w:p w14:paraId="3320B683">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a.响应文件中开标一览表（报价表）内容与响应文件中相应内容不一致的，以开标一览表（报价表）为准；</w:t>
      </w:r>
    </w:p>
    <w:p w14:paraId="7C610BB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b.大写金额和小写金额不一致的，以大写金额为准；</w:t>
      </w:r>
    </w:p>
    <w:p w14:paraId="3BEB8BF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6793341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d.总价金额与按单价汇总金额不一致的，以单价金额计算结果为准。</w:t>
      </w:r>
    </w:p>
    <w:p w14:paraId="75D7C18E">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同时出现两种以上不一致的，按照前款规定的顺序修正。</w:t>
      </w:r>
    </w:p>
    <w:p w14:paraId="5F80FCB4">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28.2修正后的最终投标报价若超过最高投标限价（如有），评审小组应当否决其投标。</w:t>
      </w:r>
    </w:p>
    <w:p w14:paraId="198B17A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28.3按上述修正错误的原则及方法调整或修正响应文件的投标报价，经供应商确认后，对供应商起约束作用。如果供应商不确认的，则其投标无效。</w:t>
      </w:r>
    </w:p>
    <w:p w14:paraId="69B158AB">
      <w:pPr>
        <w:pStyle w:val="45"/>
        <w:shd w:val="clear"/>
        <w:snapToGrid w:val="0"/>
        <w:spacing w:before="113" w:line="579" w:lineRule="exac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29.详细评审</w:t>
      </w:r>
    </w:p>
    <w:p w14:paraId="34467B9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429BDE2A">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7FBE028">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29.3磋商小组所有成员应当集中与单一供应商分别进行磋商，并给予所有参加磋商的供应商平等的磋商机会。</w:t>
      </w:r>
    </w:p>
    <w:p w14:paraId="6B576B9D">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29.4根据综合评分法完成评审工作后，评审小组应当向采购人递交书面评审报告。</w:t>
      </w:r>
    </w:p>
    <w:p w14:paraId="2985FA2F">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评审因素及标准(详见评分细则)</w:t>
      </w:r>
    </w:p>
    <w:p w14:paraId="6E827D49">
      <w:pPr>
        <w:shd w:val="clear"/>
        <w:snapToGrid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42564913">
      <w:pPr>
        <w:pStyle w:val="45"/>
        <w:shd w:val="clear"/>
        <w:spacing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（1）商务技术部分</w:t>
      </w:r>
      <w:r>
        <w:rPr>
          <w:rStyle w:val="35"/>
          <w:rFonts w:hint="eastAsia" w:ascii="仿宋" w:hAnsi="仿宋" w:eastAsia="仿宋" w:cs="仿宋"/>
          <w:color w:val="auto"/>
          <w:highlight w:val="none"/>
          <w:lang w:val="en-US" w:eastAsia="zh-CN"/>
        </w:rPr>
        <w:t>90</w:t>
      </w:r>
      <w:r>
        <w:rPr>
          <w:rStyle w:val="35"/>
          <w:rFonts w:hint="eastAsia" w:ascii="仿宋" w:hAnsi="仿宋" w:eastAsia="仿宋" w:cs="仿宋"/>
          <w:color w:val="auto"/>
          <w:highlight w:val="none"/>
          <w:lang w:eastAsia="zh-CN"/>
        </w:rPr>
        <w:t>分；</w:t>
      </w:r>
    </w:p>
    <w:p w14:paraId="1995CFEE">
      <w:pPr>
        <w:shd w:val="clear"/>
        <w:spacing w:before="125" w:line="579" w:lineRule="exact"/>
        <w:ind w:left="591"/>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（2）投标报价部分</w:t>
      </w:r>
      <w:r>
        <w:rPr>
          <w:rStyle w:val="35"/>
          <w:rFonts w:hint="eastAsia" w:ascii="仿宋" w:hAnsi="仿宋" w:eastAsia="仿宋" w:cs="仿宋"/>
          <w:b/>
          <w:color w:val="auto"/>
          <w:sz w:val="24"/>
          <w:highlight w:val="none"/>
          <w:lang w:val="en-US" w:eastAsia="zh-CN"/>
        </w:rPr>
        <w:t>10</w:t>
      </w:r>
      <w:r>
        <w:rPr>
          <w:rStyle w:val="35"/>
          <w:rFonts w:hint="eastAsia" w:ascii="仿宋" w:hAnsi="仿宋" w:eastAsia="仿宋" w:cs="仿宋"/>
          <w:b/>
          <w:color w:val="auto"/>
          <w:sz w:val="24"/>
          <w:highlight w:val="none"/>
          <w:lang w:eastAsia="zh-CN"/>
        </w:rPr>
        <w:t>分。</w:t>
      </w:r>
    </w:p>
    <w:p w14:paraId="28F425F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计算各项分值时，按四舍五入的原则，保留小数点后二位。</w:t>
      </w:r>
    </w:p>
    <w:p w14:paraId="0F1CEAC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29.7报价</w:t>
      </w:r>
    </w:p>
    <w:p w14:paraId="4A8F4A4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29.7.1本次采购方式为竞争性磋商，待评审小组与供应商对采购标的的技术、服务等磋商结束后，评审小组要求所有实质性响应的供应商，在规定的时间内提交最后报价。</w:t>
      </w:r>
    </w:p>
    <w:p w14:paraId="74206CE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29.7.2参与竞争性谈判和竞争性磋商项目供应商，开标结束后，进入“网上报价”页面，等待最终报价通知。如未在系统提示的报价时限内报价，则视为上一轮报价为最终报价。最后报价不进行公开唱标。</w:t>
      </w:r>
    </w:p>
    <w:p w14:paraId="1C4B13DE">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29.7.3经磋商确定最终采购需求和提交最后报价的供应商后，由评审小组采用综合评分法对提交最后报价的供应商的价格得分进行计算。</w:t>
      </w:r>
    </w:p>
    <w:p w14:paraId="6108E613">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29.7.4供应商的投标报价得分计算说明：</w:t>
      </w:r>
    </w:p>
    <w:p w14:paraId="2ED2B744">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价格分统一采用低价优先法计算，即满足磋商文件要求且最</w:t>
      </w:r>
      <w:r>
        <w:rPr>
          <w:rStyle w:val="35"/>
          <w:rFonts w:hint="eastAsia" w:ascii="仿宋" w:hAnsi="仿宋" w:eastAsia="仿宋" w:cs="仿宋"/>
          <w:color w:val="auto"/>
          <w:sz w:val="24"/>
          <w:szCs w:val="24"/>
          <w:highlight w:val="none"/>
          <w:lang w:val="en-US" w:eastAsia="zh-CN"/>
        </w:rPr>
        <w:t>终</w:t>
      </w:r>
      <w:r>
        <w:rPr>
          <w:rStyle w:val="35"/>
          <w:rFonts w:hint="eastAsia" w:ascii="仿宋" w:hAnsi="仿宋" w:eastAsia="仿宋" w:cs="仿宋"/>
          <w:color w:val="auto"/>
          <w:sz w:val="24"/>
          <w:szCs w:val="24"/>
          <w:highlight w:val="none"/>
          <w:lang w:eastAsia="zh-CN"/>
        </w:rPr>
        <w:t>报价最低的供应商的价格为磋商基准价，其价格分为满分。其他供应商的价格分统一按照下列公式计算：</w:t>
      </w:r>
    </w:p>
    <w:p w14:paraId="41C6568A">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磋商报价得分=（磋商基准价/最后磋商报价）×价格权值×100</w:t>
      </w:r>
    </w:p>
    <w:p w14:paraId="35F80DC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本项目的价格权值为</w:t>
      </w:r>
      <w:r>
        <w:rPr>
          <w:rStyle w:val="35"/>
          <w:rFonts w:hint="eastAsia" w:ascii="仿宋" w:hAnsi="仿宋" w:eastAsia="仿宋" w:cs="仿宋"/>
          <w:color w:val="auto"/>
          <w:sz w:val="24"/>
          <w:szCs w:val="24"/>
          <w:highlight w:val="none"/>
          <w:lang w:val="en-US" w:eastAsia="zh-CN"/>
        </w:rPr>
        <w:t>10</w:t>
      </w:r>
      <w:r>
        <w:rPr>
          <w:rStyle w:val="35"/>
          <w:rFonts w:hint="eastAsia" w:ascii="仿宋" w:hAnsi="仿宋" w:eastAsia="仿宋" w:cs="仿宋"/>
          <w:color w:val="auto"/>
          <w:sz w:val="24"/>
          <w:szCs w:val="24"/>
          <w:highlight w:val="none"/>
          <w:lang w:eastAsia="zh-CN"/>
        </w:rPr>
        <w:t>%</w:t>
      </w:r>
    </w:p>
    <w:p w14:paraId="0C0555A2">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项目评审过程中，不得去掉最终报价中的最高报价和最低报价。</w:t>
      </w:r>
    </w:p>
    <w:p w14:paraId="63C5B388">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41E232E6">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29.8综合得分</w:t>
      </w:r>
    </w:p>
    <w:p w14:paraId="17F50459">
      <w:pPr>
        <w:shd w:val="clear"/>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综合得分=商务技术部分得分+投标报价部分得分。</w:t>
      </w:r>
    </w:p>
    <w:p w14:paraId="6BC6D3F7">
      <w:pPr>
        <w:shd w:val="clear"/>
        <w:spacing w:before="127" w:line="579" w:lineRule="exact"/>
        <w:ind w:left="581" w:right="3232"/>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详细评审的标准详见附表</w:t>
      </w:r>
      <w:r>
        <w:rPr>
          <w:rStyle w:val="35"/>
          <w:rFonts w:hint="eastAsia" w:ascii="仿宋" w:hAnsi="仿宋" w:eastAsia="仿宋" w:cs="仿宋"/>
          <w:b/>
          <w:color w:val="auto"/>
          <w:sz w:val="24"/>
          <w:highlight w:val="none"/>
          <w:lang w:val="en-US" w:eastAsia="zh-CN"/>
        </w:rPr>
        <w:t>3</w:t>
      </w:r>
      <w:r>
        <w:rPr>
          <w:rStyle w:val="35"/>
          <w:rFonts w:hint="eastAsia" w:ascii="仿宋" w:hAnsi="仿宋" w:eastAsia="仿宋" w:cs="仿宋"/>
          <w:b/>
          <w:color w:val="auto"/>
          <w:sz w:val="24"/>
          <w:highlight w:val="none"/>
          <w:lang w:eastAsia="zh-CN"/>
        </w:rPr>
        <w:t>。</w:t>
      </w:r>
    </w:p>
    <w:p w14:paraId="4F56DEC3">
      <w:pPr>
        <w:shd w:val="clear"/>
        <w:rPr>
          <w:rStyle w:val="35"/>
          <w:rFonts w:ascii="仿宋" w:hAnsi="仿宋" w:eastAsia="仿宋" w:cs="仿宋"/>
          <w:color w:val="auto"/>
          <w:sz w:val="28"/>
          <w:highlight w:val="none"/>
          <w:lang w:eastAsia="zh-CN"/>
        </w:rPr>
        <w:sectPr>
          <w:footerReference r:id="rId4" w:type="default"/>
          <w:pgSz w:w="11910" w:h="16840"/>
          <w:pgMar w:top="1480" w:right="1180" w:bottom="1180" w:left="1480" w:header="0" w:footer="912" w:gutter="0"/>
          <w:pgBorders>
            <w:top w:val="none" w:sz="0" w:space="0"/>
            <w:left w:val="none" w:sz="0" w:space="0"/>
            <w:bottom w:val="none" w:sz="0" w:space="0"/>
            <w:right w:val="none" w:sz="0" w:space="0"/>
          </w:pgBorders>
          <w:pgNumType w:fmt="decimal" w:start="1"/>
          <w:cols w:space="720" w:num="1"/>
        </w:sectPr>
      </w:pPr>
    </w:p>
    <w:p w14:paraId="792EA004">
      <w:pPr>
        <w:shd w:val="clear"/>
        <w:spacing w:after="42" w:line="361" w:lineRule="exact"/>
        <w:ind w:left="169"/>
        <w:rPr>
          <w:rStyle w:val="35"/>
          <w:rFonts w:hint="eastAsia"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附表1：初步评审-</w:t>
      </w:r>
      <w:r>
        <w:rPr>
          <w:rStyle w:val="35"/>
          <w:rFonts w:hint="eastAsia" w:ascii="仿宋" w:hAnsi="仿宋" w:eastAsia="仿宋" w:cs="仿宋"/>
          <w:b/>
          <w:color w:val="auto"/>
          <w:sz w:val="28"/>
          <w:highlight w:val="none"/>
          <w:lang w:val="en-US" w:eastAsia="zh-CN"/>
        </w:rPr>
        <w:t>资格</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2357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2BAFEF8E">
            <w:pPr>
              <w:pStyle w:val="43"/>
              <w:shd w:val="clear"/>
              <w:rPr>
                <w:rStyle w:val="35"/>
                <w:rFonts w:ascii="仿宋" w:hAnsi="仿宋" w:eastAsia="仿宋" w:cs="仿宋"/>
                <w:b/>
                <w:color w:val="auto"/>
                <w:sz w:val="24"/>
                <w:szCs w:val="24"/>
                <w:highlight w:val="none"/>
                <w:lang w:eastAsia="zh-CN"/>
              </w:rPr>
            </w:pPr>
          </w:p>
          <w:p w14:paraId="54CE08B1">
            <w:pPr>
              <w:pStyle w:val="43"/>
              <w:shd w:val="clear"/>
              <w:rPr>
                <w:rStyle w:val="35"/>
                <w:rFonts w:ascii="仿宋" w:hAnsi="仿宋" w:eastAsia="仿宋" w:cs="仿宋"/>
                <w:b/>
                <w:color w:val="auto"/>
                <w:sz w:val="24"/>
                <w:szCs w:val="24"/>
                <w:highlight w:val="none"/>
                <w:lang w:eastAsia="zh-CN"/>
              </w:rPr>
            </w:pPr>
          </w:p>
          <w:p w14:paraId="3502215B">
            <w:pPr>
              <w:pStyle w:val="43"/>
              <w:shd w:val="clear"/>
              <w:spacing w:before="1"/>
              <w:ind w:left="13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6CBB47DD">
            <w:pPr>
              <w:pStyle w:val="43"/>
              <w:shd w:val="clear"/>
              <w:rPr>
                <w:rStyle w:val="35"/>
                <w:rFonts w:ascii="仿宋" w:hAnsi="仿宋" w:eastAsia="仿宋" w:cs="仿宋"/>
                <w:b/>
                <w:color w:val="auto"/>
                <w:sz w:val="24"/>
                <w:szCs w:val="24"/>
                <w:highlight w:val="none"/>
                <w:lang w:eastAsia="zh-CN"/>
              </w:rPr>
            </w:pPr>
          </w:p>
          <w:p w14:paraId="7490C9B8">
            <w:pPr>
              <w:pStyle w:val="43"/>
              <w:shd w:val="clear"/>
              <w:rPr>
                <w:rStyle w:val="35"/>
                <w:rFonts w:ascii="仿宋" w:hAnsi="仿宋" w:eastAsia="仿宋" w:cs="仿宋"/>
                <w:b/>
                <w:color w:val="auto"/>
                <w:sz w:val="24"/>
                <w:szCs w:val="24"/>
                <w:highlight w:val="none"/>
                <w:lang w:eastAsia="zh-CN"/>
              </w:rPr>
            </w:pPr>
          </w:p>
          <w:p w14:paraId="63FCF2A6">
            <w:pPr>
              <w:pStyle w:val="43"/>
              <w:shd w:val="clear"/>
              <w:spacing w:before="1"/>
              <w:ind w:left="241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w:t>
            </w:r>
            <w:r>
              <w:rPr>
                <w:rStyle w:val="35"/>
                <w:rFonts w:hint="eastAsia" w:ascii="仿宋" w:hAnsi="仿宋" w:eastAsia="仿宋" w:cs="仿宋"/>
                <w:color w:val="auto"/>
                <w:sz w:val="24"/>
                <w:szCs w:val="24"/>
                <w:highlight w:val="none"/>
                <w:lang w:val="en-US" w:eastAsia="zh-CN"/>
              </w:rPr>
              <w:t>资格</w:t>
            </w:r>
            <w:r>
              <w:rPr>
                <w:rStyle w:val="35"/>
                <w:rFonts w:hint="eastAsia" w:ascii="仿宋" w:hAnsi="仿宋" w:eastAsia="仿宋" w:cs="仿宋"/>
                <w:color w:val="auto"/>
                <w:sz w:val="24"/>
                <w:szCs w:val="24"/>
                <w:highlight w:val="none"/>
                <w:lang w:eastAsia="zh-CN"/>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14:paraId="614D3466">
            <w:pPr>
              <w:pStyle w:val="43"/>
              <w:shd w:val="clear"/>
              <w:spacing w:before="157"/>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7D61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1DCD8D79">
            <w:pPr>
              <w:shd w:val="clear"/>
              <w:rPr>
                <w:rStyle w:val="35"/>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1DDBFBF8">
            <w:pPr>
              <w:shd w:val="clear"/>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03633E37">
            <w:pPr>
              <w:pStyle w:val="43"/>
              <w:shd w:val="clear"/>
              <w:spacing w:before="157"/>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vAlign w:val="center"/>
          </w:tcPr>
          <w:p w14:paraId="64C0719F">
            <w:pPr>
              <w:pStyle w:val="43"/>
              <w:shd w:val="clear"/>
              <w:spacing w:before="157"/>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56AA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6E089AF8">
            <w:pPr>
              <w:pStyle w:val="43"/>
              <w:shd w:val="clear"/>
              <w:spacing w:before="1"/>
              <w:rPr>
                <w:rStyle w:val="35"/>
                <w:rFonts w:ascii="仿宋" w:hAnsi="仿宋" w:eastAsia="仿宋" w:cs="仿宋"/>
                <w:b/>
                <w:color w:val="auto"/>
                <w:sz w:val="24"/>
                <w:szCs w:val="24"/>
                <w:highlight w:val="none"/>
              </w:rPr>
            </w:pPr>
          </w:p>
          <w:p w14:paraId="64BB245E">
            <w:pPr>
              <w:pStyle w:val="43"/>
              <w:shd w:val="clear"/>
              <w:spacing w:before="1"/>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6B525BDC">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Style w:val="35"/>
                <w:rFonts w:hint="eastAsia" w:ascii="仿宋" w:hAnsi="仿宋" w:eastAsia="仿宋" w:cs="仿宋"/>
                <w:color w:val="auto"/>
                <w:sz w:val="24"/>
                <w:szCs w:val="24"/>
                <w:highlight w:val="none"/>
                <w:lang w:val="en-US" w:eastAsia="zh-CN" w:bidi="ar-SA"/>
              </w:rPr>
              <w:t>具有独立承担民事责任的能力；（法人或者其他组织的营业执照等证明文件；自然人需提供身份证明；）</w:t>
            </w:r>
          </w:p>
        </w:tc>
        <w:tc>
          <w:tcPr>
            <w:tcW w:w="631" w:type="dxa"/>
            <w:tcBorders>
              <w:top w:val="single" w:color="000000" w:sz="4" w:space="0"/>
              <w:left w:val="single" w:color="000000" w:sz="4" w:space="0"/>
              <w:bottom w:val="single" w:color="000000" w:sz="4" w:space="0"/>
              <w:right w:val="single" w:color="000000" w:sz="4" w:space="0"/>
            </w:tcBorders>
          </w:tcPr>
          <w:p w14:paraId="25BF255B">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F385FA6">
            <w:pPr>
              <w:pStyle w:val="43"/>
              <w:shd w:val="clear"/>
              <w:rPr>
                <w:rStyle w:val="35"/>
                <w:rFonts w:ascii="仿宋" w:hAnsi="仿宋" w:eastAsia="仿宋" w:cs="仿宋"/>
                <w:color w:val="auto"/>
                <w:sz w:val="24"/>
                <w:szCs w:val="24"/>
                <w:highlight w:val="none"/>
                <w:lang w:eastAsia="zh-CN"/>
              </w:rPr>
            </w:pPr>
          </w:p>
        </w:tc>
      </w:tr>
      <w:tr w14:paraId="5E4D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59F418D3">
            <w:pPr>
              <w:pStyle w:val="43"/>
              <w:shd w:val="clear"/>
              <w:spacing w:before="1"/>
              <w:ind w:left="65"/>
              <w:jc w:val="center"/>
              <w:rPr>
                <w:rStyle w:val="35"/>
                <w:rFonts w:hint="eastAsia"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6A4007EC">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lang w:val="en-US" w:eastAsia="zh-CN"/>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637DF840">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76EF1D3">
            <w:pPr>
              <w:pStyle w:val="43"/>
              <w:shd w:val="clear"/>
              <w:rPr>
                <w:rStyle w:val="35"/>
                <w:rFonts w:ascii="仿宋" w:hAnsi="仿宋" w:eastAsia="仿宋" w:cs="仿宋"/>
                <w:color w:val="auto"/>
                <w:sz w:val="24"/>
                <w:szCs w:val="24"/>
                <w:highlight w:val="none"/>
                <w:lang w:eastAsia="zh-CN"/>
              </w:rPr>
            </w:pPr>
          </w:p>
        </w:tc>
      </w:tr>
      <w:tr w14:paraId="2A18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419DF671">
            <w:pPr>
              <w:pStyle w:val="43"/>
              <w:shd w:val="clear"/>
              <w:spacing w:before="5"/>
              <w:rPr>
                <w:rStyle w:val="35"/>
                <w:rFonts w:ascii="仿宋" w:hAnsi="仿宋" w:eastAsia="仿宋" w:cs="仿宋"/>
                <w:b/>
                <w:color w:val="auto"/>
                <w:sz w:val="24"/>
                <w:szCs w:val="24"/>
                <w:highlight w:val="none"/>
                <w:lang w:eastAsia="zh-CN"/>
              </w:rPr>
            </w:pPr>
          </w:p>
          <w:p w14:paraId="47086FA8">
            <w:pPr>
              <w:pStyle w:val="43"/>
              <w:shd w:val="clear"/>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579EF7C3">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rPr>
              <w:t>满足《中华人民共和国政府采购法》第二十二条规定</w:t>
            </w:r>
            <w:r>
              <w:rPr>
                <w:rStyle w:val="35"/>
                <w:rFonts w:hint="eastAsia" w:ascii="仿宋" w:hAnsi="仿宋" w:eastAsia="仿宋" w:cs="仿宋"/>
                <w:color w:val="auto"/>
                <w:sz w:val="24"/>
                <w:szCs w:val="24"/>
                <w:highlight w:val="none"/>
                <w:lang w:val="en-US" w:eastAsia="zh-CN" w:bidi="ar-SA"/>
              </w:rPr>
              <w:t>；（须提政府采购供应商信用承诺函）；</w:t>
            </w:r>
          </w:p>
        </w:tc>
        <w:tc>
          <w:tcPr>
            <w:tcW w:w="631" w:type="dxa"/>
            <w:tcBorders>
              <w:top w:val="single" w:color="000000" w:sz="4" w:space="0"/>
              <w:left w:val="single" w:color="000000" w:sz="4" w:space="0"/>
              <w:bottom w:val="single" w:color="000000" w:sz="4" w:space="0"/>
              <w:right w:val="single" w:color="000000" w:sz="4" w:space="0"/>
            </w:tcBorders>
          </w:tcPr>
          <w:p w14:paraId="65F85901">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6C4A6AF">
            <w:pPr>
              <w:pStyle w:val="43"/>
              <w:shd w:val="clear"/>
              <w:rPr>
                <w:rStyle w:val="35"/>
                <w:rFonts w:ascii="仿宋" w:hAnsi="仿宋" w:eastAsia="仿宋" w:cs="仿宋"/>
                <w:color w:val="auto"/>
                <w:sz w:val="24"/>
                <w:szCs w:val="24"/>
                <w:highlight w:val="none"/>
                <w:lang w:eastAsia="zh-CN"/>
              </w:rPr>
            </w:pPr>
          </w:p>
        </w:tc>
      </w:tr>
      <w:tr w14:paraId="1323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5A293B92">
            <w:pPr>
              <w:pStyle w:val="43"/>
              <w:shd w:val="clear"/>
              <w:spacing w:before="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7F17AEE8">
            <w:pPr>
              <w:keepNext w:val="0"/>
              <w:keepLines w:val="0"/>
              <w:widowControl/>
              <w:suppressLineNumbers w:val="0"/>
              <w:shd w:val="clear"/>
              <w:jc w:val="left"/>
              <w:textAlignment w:val="center"/>
              <w:rPr>
                <w:rFonts w:hint="eastAsia" w:ascii="仿宋" w:hAnsi="仿宋" w:eastAsia="仿宋" w:cs="仿宋"/>
                <w:i w:val="0"/>
                <w:iCs w:val="0"/>
                <w:color w:val="auto"/>
                <w:spacing w:val="0"/>
                <w:sz w:val="24"/>
                <w:szCs w:val="24"/>
                <w:highlight w:val="none"/>
              </w:rPr>
            </w:pPr>
            <w:r>
              <w:rPr>
                <w:rFonts w:hint="eastAsia" w:ascii="仿宋" w:hAnsi="仿宋" w:eastAsia="仿宋" w:cs="仿宋"/>
                <w:i w:val="0"/>
                <w:iCs w:val="0"/>
                <w:color w:val="auto"/>
                <w:spacing w:val="0"/>
                <w:sz w:val="24"/>
                <w:szCs w:val="24"/>
                <w:highlight w:val="none"/>
                <w:lang w:val="en-US" w:eastAsia="zh-CN"/>
              </w:rPr>
              <w:t>供应商应具备有效的公安机关颁发的《网络安全等级保护测评与检测评估机构服务认证证书》；</w:t>
            </w:r>
          </w:p>
        </w:tc>
        <w:tc>
          <w:tcPr>
            <w:tcW w:w="631" w:type="dxa"/>
            <w:tcBorders>
              <w:top w:val="single" w:color="000000" w:sz="4" w:space="0"/>
              <w:left w:val="single" w:color="000000" w:sz="4" w:space="0"/>
              <w:bottom w:val="single" w:color="000000" w:sz="4" w:space="0"/>
              <w:right w:val="single" w:color="000000" w:sz="4" w:space="0"/>
            </w:tcBorders>
          </w:tcPr>
          <w:p w14:paraId="36E043D1">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4E568E0">
            <w:pPr>
              <w:pStyle w:val="43"/>
              <w:shd w:val="clear"/>
              <w:rPr>
                <w:rStyle w:val="35"/>
                <w:rFonts w:ascii="仿宋" w:hAnsi="仿宋" w:eastAsia="仿宋" w:cs="仿宋"/>
                <w:color w:val="auto"/>
                <w:sz w:val="24"/>
                <w:szCs w:val="24"/>
                <w:highlight w:val="none"/>
                <w:lang w:eastAsia="zh-CN"/>
              </w:rPr>
            </w:pPr>
          </w:p>
        </w:tc>
      </w:tr>
      <w:tr w14:paraId="645D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030970B2">
            <w:pPr>
              <w:pStyle w:val="43"/>
              <w:shd w:val="clear"/>
              <w:spacing w:before="1"/>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49553B26">
            <w:pPr>
              <w:keepNext w:val="0"/>
              <w:keepLines w:val="0"/>
              <w:widowControl/>
              <w:suppressLineNumbers w:val="0"/>
              <w:shd w:val="clear"/>
              <w:jc w:val="left"/>
              <w:textAlignment w:val="center"/>
              <w:rPr>
                <w:rStyle w:val="35"/>
                <w:rFonts w:hint="eastAsia" w:ascii="仿宋" w:hAnsi="仿宋" w:eastAsia="仿宋" w:cs="仿宋"/>
                <w:color w:val="auto"/>
                <w:sz w:val="24"/>
                <w:szCs w:val="24"/>
                <w:highlight w:val="none"/>
                <w:lang w:val="en-US" w:eastAsia="zh-CN" w:bidi="ar-SA"/>
              </w:rPr>
            </w:pPr>
            <w:r>
              <w:rPr>
                <w:rStyle w:val="35"/>
                <w:rFonts w:hint="eastAsia" w:ascii="仿宋" w:hAnsi="仿宋" w:eastAsia="仿宋" w:cs="仿宋"/>
                <w:color w:val="auto"/>
                <w:sz w:val="24"/>
                <w:szCs w:val="24"/>
                <w:highlight w:val="none"/>
                <w:lang w:val="en-US" w:eastAsia="zh-CN" w:bidi="ar-SA"/>
              </w:rPr>
              <w:t>须提供供应商无关联关系书面声明函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76AA32B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1232116">
            <w:pPr>
              <w:pStyle w:val="43"/>
              <w:shd w:val="clear"/>
              <w:rPr>
                <w:rStyle w:val="35"/>
                <w:rFonts w:ascii="仿宋" w:hAnsi="仿宋" w:eastAsia="仿宋" w:cs="仿宋"/>
                <w:color w:val="auto"/>
                <w:sz w:val="24"/>
                <w:szCs w:val="24"/>
                <w:highlight w:val="none"/>
                <w:lang w:eastAsia="zh-CN"/>
              </w:rPr>
            </w:pPr>
          </w:p>
        </w:tc>
      </w:tr>
      <w:tr w14:paraId="616A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2D220AFE">
            <w:pPr>
              <w:pStyle w:val="43"/>
              <w:shd w:val="clear"/>
              <w:spacing w:before="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vAlign w:val="center"/>
          </w:tcPr>
          <w:p w14:paraId="0298365E">
            <w:pPr>
              <w:keepNext w:val="0"/>
              <w:keepLines w:val="0"/>
              <w:widowControl/>
              <w:suppressLineNumbers w:val="0"/>
              <w:shd w:val="clear"/>
              <w:jc w:val="left"/>
              <w:textAlignment w:val="center"/>
              <w:rPr>
                <w:rFonts w:hint="eastAsia" w:ascii="仿宋" w:hAnsi="仿宋" w:eastAsia="仿宋" w:cs="仿宋"/>
                <w:i w:val="0"/>
                <w:iCs w:val="0"/>
                <w:color w:val="auto"/>
                <w:kern w:val="0"/>
                <w:sz w:val="26"/>
                <w:szCs w:val="26"/>
                <w:highlight w:val="none"/>
                <w:u w:val="none"/>
                <w:lang w:val="en-US" w:eastAsia="zh-CN" w:bidi="ar"/>
              </w:rPr>
            </w:pPr>
            <w:bookmarkStart w:id="53" w:name="OLE_LINK7"/>
            <w:r>
              <w:rPr>
                <w:rStyle w:val="35"/>
                <w:rFonts w:hint="eastAsia" w:ascii="仿宋" w:hAnsi="仿宋" w:eastAsia="仿宋" w:cs="仿宋"/>
                <w:color w:val="auto"/>
                <w:sz w:val="24"/>
                <w:szCs w:val="24"/>
                <w:highlight w:val="none"/>
                <w:lang w:val="en-US" w:eastAsia="zh-CN" w:bidi="ar-SA"/>
              </w:rPr>
              <w:t>提供《中小企业声明函》，供应商必须为中小企业（监狱企业、残疾人福利性单位视同小微企业）</w:t>
            </w:r>
            <w:bookmarkEnd w:id="53"/>
          </w:p>
        </w:tc>
        <w:tc>
          <w:tcPr>
            <w:tcW w:w="631" w:type="dxa"/>
            <w:tcBorders>
              <w:top w:val="single" w:color="000000" w:sz="4" w:space="0"/>
              <w:left w:val="single" w:color="000000" w:sz="4" w:space="0"/>
              <w:bottom w:val="single" w:color="000000" w:sz="4" w:space="0"/>
              <w:right w:val="single" w:color="000000" w:sz="4" w:space="0"/>
            </w:tcBorders>
          </w:tcPr>
          <w:p w14:paraId="25763088">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142E245">
            <w:pPr>
              <w:pStyle w:val="43"/>
              <w:shd w:val="clear"/>
              <w:rPr>
                <w:rStyle w:val="35"/>
                <w:rFonts w:ascii="仿宋" w:hAnsi="仿宋" w:eastAsia="仿宋" w:cs="仿宋"/>
                <w:color w:val="auto"/>
                <w:sz w:val="24"/>
                <w:szCs w:val="24"/>
                <w:highlight w:val="none"/>
                <w:lang w:eastAsia="zh-CN"/>
              </w:rPr>
            </w:pPr>
          </w:p>
        </w:tc>
      </w:tr>
      <w:tr w14:paraId="392E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E87C897">
            <w:pPr>
              <w:pStyle w:val="43"/>
              <w:shd w:val="clear"/>
              <w:rPr>
                <w:rStyle w:val="35"/>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684005CA">
            <w:pPr>
              <w:pStyle w:val="43"/>
              <w:shd w:val="clear"/>
              <w:tabs>
                <w:tab w:val="left" w:pos="686"/>
              </w:tabs>
              <w:spacing w:before="121"/>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27EA312B">
            <w:pPr>
              <w:pStyle w:val="43"/>
              <w:shd w:val="clear"/>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3B452236">
            <w:pPr>
              <w:pStyle w:val="43"/>
              <w:shd w:val="clear"/>
              <w:rPr>
                <w:rStyle w:val="35"/>
                <w:rFonts w:ascii="仿宋" w:hAnsi="仿宋" w:eastAsia="仿宋" w:cs="仿宋"/>
                <w:color w:val="auto"/>
                <w:sz w:val="24"/>
                <w:szCs w:val="24"/>
                <w:highlight w:val="none"/>
              </w:rPr>
            </w:pPr>
          </w:p>
        </w:tc>
      </w:tr>
    </w:tbl>
    <w:p w14:paraId="44889922">
      <w:pPr>
        <w:pStyle w:val="7"/>
        <w:shd w:val="clear"/>
        <w:rPr>
          <w:rStyle w:val="35"/>
          <w:rFonts w:hint="eastAsia" w:ascii="仿宋" w:hAnsi="仿宋" w:eastAsia="仿宋" w:cs="仿宋"/>
          <w:b/>
          <w:color w:val="auto"/>
          <w:sz w:val="28"/>
          <w:highlight w:val="none"/>
          <w:lang w:eastAsia="zh-CN"/>
        </w:rPr>
      </w:pPr>
    </w:p>
    <w:p w14:paraId="3976861D">
      <w:pPr>
        <w:shd w:val="clear"/>
        <w:spacing w:before="49"/>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12F9E16C">
      <w:pPr>
        <w:shd w:val="clear"/>
        <w:spacing w:before="83" w:line="326" w:lineRule="auto"/>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（2）上述各项中如有一项为“×”，则结论为“×”，表示该响应文件不能通过</w:t>
      </w:r>
      <w:r>
        <w:rPr>
          <w:rStyle w:val="35"/>
          <w:rFonts w:hint="eastAsia" w:ascii="仿宋" w:hAnsi="仿宋" w:eastAsia="仿宋" w:cs="仿宋"/>
          <w:color w:val="auto"/>
          <w:spacing w:val="-5"/>
          <w:sz w:val="20"/>
          <w:szCs w:val="24"/>
          <w:highlight w:val="none"/>
          <w:lang w:val="en-US" w:eastAsia="zh-CN"/>
        </w:rPr>
        <w:t>资格审查，其响应文件不予评审</w:t>
      </w:r>
      <w:r>
        <w:rPr>
          <w:rStyle w:val="35"/>
          <w:rFonts w:hint="eastAsia" w:ascii="仿宋" w:hAnsi="仿宋" w:eastAsia="仿宋" w:cs="仿宋"/>
          <w:color w:val="auto"/>
          <w:spacing w:val="-5"/>
          <w:sz w:val="20"/>
          <w:szCs w:val="24"/>
          <w:highlight w:val="none"/>
          <w:lang w:eastAsia="zh-CN"/>
        </w:rPr>
        <w:t>。</w:t>
      </w:r>
    </w:p>
    <w:p w14:paraId="23A9BB46">
      <w:pPr>
        <w:shd w:val="clear"/>
        <w:spacing w:before="83" w:line="326" w:lineRule="auto"/>
        <w:ind w:left="171" w:right="122" w:firstLine="360"/>
        <w:rPr>
          <w:rStyle w:val="35"/>
          <w:rFonts w:hint="eastAsia"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w:t>
      </w:r>
      <w:r>
        <w:rPr>
          <w:rStyle w:val="35"/>
          <w:rFonts w:hint="eastAsia" w:ascii="仿宋" w:hAnsi="仿宋" w:eastAsia="仿宋" w:cs="仿宋"/>
          <w:color w:val="auto"/>
          <w:sz w:val="20"/>
          <w:szCs w:val="24"/>
          <w:highlight w:val="none"/>
          <w:lang w:val="en-US" w:eastAsia="zh-CN"/>
        </w:rPr>
        <w:t>3</w:t>
      </w:r>
      <w:r>
        <w:rPr>
          <w:rStyle w:val="35"/>
          <w:rFonts w:hint="eastAsia" w:ascii="仿宋" w:hAnsi="仿宋" w:eastAsia="仿宋" w:cs="仿宋"/>
          <w:color w:val="auto"/>
          <w:sz w:val="20"/>
          <w:szCs w:val="24"/>
          <w:highlight w:val="none"/>
          <w:lang w:eastAsia="zh-CN"/>
        </w:rPr>
        <w:t>）供应商请认真阅读和理解上述内容，避免响应文件中有违背上述审查标准之一的情况发生而造成投标被否决。</w:t>
      </w:r>
    </w:p>
    <w:p w14:paraId="62D98AEA">
      <w:pPr>
        <w:shd w:val="clear"/>
        <w:spacing w:before="83" w:line="326" w:lineRule="auto"/>
        <w:ind w:left="171" w:right="122" w:firstLine="360"/>
        <w:rPr>
          <w:rStyle w:val="35"/>
          <w:rFonts w:hint="eastAsia" w:ascii="仿宋" w:hAnsi="仿宋" w:eastAsia="仿宋" w:cs="仿宋"/>
          <w:color w:val="auto"/>
          <w:sz w:val="20"/>
          <w:szCs w:val="24"/>
          <w:highlight w:val="none"/>
          <w:lang w:eastAsia="zh-CN"/>
        </w:rPr>
      </w:pPr>
    </w:p>
    <w:p w14:paraId="2AB2FA28">
      <w:pPr>
        <w:shd w:val="clear"/>
        <w:spacing w:before="83" w:line="326" w:lineRule="auto"/>
        <w:ind w:left="171" w:right="122" w:firstLine="360"/>
        <w:rPr>
          <w:rStyle w:val="35"/>
          <w:rFonts w:hint="eastAsia" w:ascii="仿宋" w:hAnsi="仿宋" w:eastAsia="仿宋" w:cs="仿宋"/>
          <w:color w:val="auto"/>
          <w:sz w:val="20"/>
          <w:szCs w:val="24"/>
          <w:highlight w:val="none"/>
          <w:lang w:eastAsia="zh-CN"/>
        </w:rPr>
      </w:pPr>
    </w:p>
    <w:p w14:paraId="75A2871F">
      <w:pPr>
        <w:shd w:val="clear"/>
        <w:rPr>
          <w:rStyle w:val="35"/>
          <w:rFonts w:hint="eastAsia" w:ascii="仿宋" w:hAnsi="仿宋" w:eastAsia="仿宋" w:cs="仿宋"/>
          <w:b/>
          <w:color w:val="auto"/>
          <w:sz w:val="28"/>
          <w:highlight w:val="none"/>
          <w:lang w:eastAsia="zh-CN"/>
        </w:rPr>
      </w:pPr>
    </w:p>
    <w:p w14:paraId="6EA48E83">
      <w:pPr>
        <w:pStyle w:val="7"/>
        <w:shd w:val="clear"/>
        <w:rPr>
          <w:rStyle w:val="35"/>
          <w:rFonts w:hint="eastAsia" w:ascii="仿宋" w:hAnsi="仿宋" w:eastAsia="仿宋" w:cs="仿宋"/>
          <w:b/>
          <w:color w:val="auto"/>
          <w:sz w:val="28"/>
          <w:highlight w:val="none"/>
          <w:lang w:eastAsia="zh-CN"/>
        </w:rPr>
      </w:pPr>
    </w:p>
    <w:p w14:paraId="34EC22F7">
      <w:pPr>
        <w:shd w:val="clear"/>
        <w:rPr>
          <w:rStyle w:val="35"/>
          <w:rFonts w:hint="eastAsia" w:ascii="仿宋" w:hAnsi="仿宋" w:eastAsia="仿宋" w:cs="仿宋"/>
          <w:b/>
          <w:color w:val="auto"/>
          <w:sz w:val="28"/>
          <w:highlight w:val="none"/>
          <w:lang w:eastAsia="zh-CN"/>
        </w:rPr>
      </w:pPr>
    </w:p>
    <w:p w14:paraId="3B593184">
      <w:pPr>
        <w:pStyle w:val="33"/>
        <w:keepNext/>
        <w:keepLines/>
        <w:pageBreakBefore w:val="0"/>
        <w:widowControl/>
        <w:shd w:val="clear"/>
        <w:kinsoku/>
        <w:wordWrap/>
        <w:overflowPunct/>
        <w:topLinePunct w:val="0"/>
        <w:autoSpaceDE/>
        <w:autoSpaceDN/>
        <w:bidi w:val="0"/>
        <w:adjustRightInd/>
        <w:snapToGrid/>
        <w:spacing w:line="377" w:lineRule="auto"/>
        <w:textAlignment w:val="baseline"/>
        <w:outlineLvl w:val="9"/>
        <w:rPr>
          <w:rStyle w:val="35"/>
          <w:rFonts w:hint="eastAsia" w:ascii="仿宋" w:hAnsi="仿宋" w:eastAsia="仿宋" w:cs="仿宋"/>
          <w:b/>
          <w:color w:val="auto"/>
          <w:sz w:val="28"/>
          <w:highlight w:val="none"/>
          <w:lang w:eastAsia="zh-CN"/>
        </w:rPr>
      </w:pPr>
    </w:p>
    <w:p w14:paraId="3775D3D8">
      <w:pPr>
        <w:pStyle w:val="34"/>
        <w:shd w:val="clear"/>
        <w:rPr>
          <w:rStyle w:val="35"/>
          <w:rFonts w:hint="eastAsia" w:ascii="仿宋" w:hAnsi="仿宋" w:eastAsia="仿宋" w:cs="仿宋"/>
          <w:b/>
          <w:color w:val="auto"/>
          <w:sz w:val="28"/>
          <w:highlight w:val="none"/>
          <w:lang w:eastAsia="zh-CN"/>
        </w:rPr>
      </w:pPr>
    </w:p>
    <w:p w14:paraId="73AFCB1D">
      <w:pPr>
        <w:pStyle w:val="34"/>
        <w:shd w:val="clear"/>
        <w:rPr>
          <w:rStyle w:val="35"/>
          <w:rFonts w:hint="eastAsia" w:ascii="仿宋" w:hAnsi="仿宋" w:eastAsia="仿宋" w:cs="仿宋"/>
          <w:b/>
          <w:color w:val="auto"/>
          <w:sz w:val="28"/>
          <w:highlight w:val="none"/>
          <w:lang w:eastAsia="zh-CN"/>
        </w:rPr>
      </w:pPr>
    </w:p>
    <w:p w14:paraId="56715BB2">
      <w:pPr>
        <w:pStyle w:val="34"/>
        <w:shd w:val="clear"/>
        <w:rPr>
          <w:rStyle w:val="35"/>
          <w:rFonts w:hint="eastAsia" w:ascii="仿宋" w:hAnsi="仿宋" w:eastAsia="仿宋" w:cs="仿宋"/>
          <w:b/>
          <w:color w:val="auto"/>
          <w:sz w:val="28"/>
          <w:highlight w:val="none"/>
          <w:lang w:eastAsia="zh-CN"/>
        </w:rPr>
      </w:pPr>
    </w:p>
    <w:p w14:paraId="33886E83">
      <w:pPr>
        <w:pStyle w:val="34"/>
        <w:shd w:val="clear"/>
        <w:rPr>
          <w:rStyle w:val="35"/>
          <w:rFonts w:hint="eastAsia" w:ascii="仿宋" w:hAnsi="仿宋" w:eastAsia="仿宋" w:cs="仿宋"/>
          <w:b/>
          <w:color w:val="auto"/>
          <w:sz w:val="28"/>
          <w:highlight w:val="none"/>
          <w:lang w:eastAsia="zh-CN"/>
        </w:rPr>
      </w:pPr>
    </w:p>
    <w:p w14:paraId="36C79CD1">
      <w:pPr>
        <w:pStyle w:val="34"/>
        <w:shd w:val="clear"/>
        <w:rPr>
          <w:rStyle w:val="35"/>
          <w:rFonts w:hint="eastAsia" w:ascii="仿宋" w:hAnsi="仿宋" w:eastAsia="仿宋" w:cs="仿宋"/>
          <w:b/>
          <w:color w:val="auto"/>
          <w:sz w:val="28"/>
          <w:highlight w:val="none"/>
          <w:lang w:eastAsia="zh-CN"/>
        </w:rPr>
      </w:pPr>
    </w:p>
    <w:p w14:paraId="440BEBA9">
      <w:pPr>
        <w:pStyle w:val="7"/>
        <w:shd w:val="clear"/>
        <w:ind w:left="0" w:leftChars="0" w:firstLine="0" w:firstLineChars="0"/>
        <w:rPr>
          <w:color w:val="auto"/>
          <w:highlight w:val="none"/>
          <w:lang w:eastAsia="zh-CN"/>
        </w:rPr>
      </w:pPr>
      <w:r>
        <w:rPr>
          <w:rStyle w:val="35"/>
          <w:rFonts w:hint="eastAsia" w:ascii="仿宋" w:hAnsi="仿宋" w:eastAsia="仿宋" w:cs="仿宋"/>
          <w:b/>
          <w:color w:val="auto"/>
          <w:sz w:val="28"/>
          <w:highlight w:val="none"/>
          <w:lang w:val="en-US" w:eastAsia="zh-CN"/>
        </w:rPr>
        <w:t>附表2：</w:t>
      </w:r>
      <w:r>
        <w:rPr>
          <w:rStyle w:val="35"/>
          <w:rFonts w:hint="eastAsia" w:ascii="仿宋" w:hAnsi="仿宋" w:eastAsia="仿宋" w:cs="仿宋"/>
          <w:b/>
          <w:color w:val="auto"/>
          <w:sz w:val="28"/>
          <w:highlight w:val="none"/>
          <w:lang w:eastAsia="zh-CN"/>
        </w:rPr>
        <w:t>初步评审-</w:t>
      </w:r>
      <w:r>
        <w:rPr>
          <w:rStyle w:val="35"/>
          <w:rFonts w:hint="eastAsia" w:ascii="仿宋" w:hAnsi="仿宋" w:eastAsia="仿宋" w:cs="仿宋"/>
          <w:b/>
          <w:color w:val="auto"/>
          <w:sz w:val="28"/>
          <w:highlight w:val="none"/>
          <w:lang w:val="en-US" w:eastAsia="zh-CN"/>
        </w:rPr>
        <w:t>符合</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6990"/>
        <w:gridCol w:w="631"/>
        <w:gridCol w:w="665"/>
      </w:tblGrid>
      <w:tr w14:paraId="2CDC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7"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F4819FA">
            <w:pPr>
              <w:pStyle w:val="43"/>
              <w:shd w:val="clear"/>
              <w:spacing w:before="1"/>
              <w:ind w:left="134"/>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6990" w:type="dxa"/>
            <w:vMerge w:val="restart"/>
            <w:tcBorders>
              <w:top w:val="single" w:color="000000" w:sz="4" w:space="0"/>
              <w:left w:val="single" w:color="000000" w:sz="4" w:space="0"/>
              <w:bottom w:val="single" w:color="000000" w:sz="4" w:space="0"/>
              <w:right w:val="single" w:color="000000" w:sz="4" w:space="0"/>
            </w:tcBorders>
            <w:vAlign w:val="center"/>
          </w:tcPr>
          <w:p w14:paraId="134EB53E">
            <w:pPr>
              <w:pStyle w:val="43"/>
              <w:shd w:val="clear"/>
              <w:spacing w:before="1"/>
              <w:ind w:left="2412"/>
              <w:jc w:val="left"/>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29BE16A9">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64AA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0" w:hRule="atLeast"/>
        </w:trPr>
        <w:tc>
          <w:tcPr>
            <w:tcW w:w="725" w:type="dxa"/>
            <w:vMerge w:val="continue"/>
            <w:tcBorders>
              <w:top w:val="nil"/>
              <w:left w:val="single" w:color="000000" w:sz="4" w:space="0"/>
              <w:bottom w:val="single" w:color="000000" w:sz="4" w:space="0"/>
              <w:right w:val="single" w:color="000000" w:sz="4" w:space="0"/>
            </w:tcBorders>
          </w:tcPr>
          <w:p w14:paraId="4F1B7540">
            <w:pPr>
              <w:shd w:val="clear"/>
              <w:rPr>
                <w:rStyle w:val="35"/>
                <w:rFonts w:ascii="仿宋" w:hAnsi="仿宋" w:eastAsia="仿宋" w:cs="仿宋"/>
                <w:color w:val="auto"/>
                <w:sz w:val="24"/>
                <w:szCs w:val="24"/>
                <w:highlight w:val="none"/>
              </w:rPr>
            </w:pPr>
          </w:p>
        </w:tc>
        <w:tc>
          <w:tcPr>
            <w:tcW w:w="6990" w:type="dxa"/>
            <w:vMerge w:val="continue"/>
            <w:tcBorders>
              <w:top w:val="nil"/>
              <w:left w:val="single" w:color="000000" w:sz="4" w:space="0"/>
              <w:bottom w:val="single" w:color="000000" w:sz="4" w:space="0"/>
              <w:right w:val="single" w:color="000000" w:sz="4" w:space="0"/>
            </w:tcBorders>
          </w:tcPr>
          <w:p w14:paraId="4768EF7B">
            <w:pPr>
              <w:shd w:val="clear"/>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54694D1C">
            <w:pPr>
              <w:pStyle w:val="43"/>
              <w:shd w:val="clear"/>
              <w:spacing w:before="157"/>
              <w:ind w:left="235"/>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1BE3155B">
            <w:pPr>
              <w:pStyle w:val="43"/>
              <w:shd w:val="clear"/>
              <w:spacing w:before="157"/>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0654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25" w:type="dxa"/>
            <w:tcBorders>
              <w:top w:val="single" w:color="000000" w:sz="4" w:space="0"/>
              <w:left w:val="single" w:color="000000" w:sz="4" w:space="0"/>
              <w:bottom w:val="single" w:color="000000" w:sz="4" w:space="0"/>
              <w:right w:val="single" w:color="000000" w:sz="4" w:space="0"/>
            </w:tcBorders>
          </w:tcPr>
          <w:p w14:paraId="4A17ECAC">
            <w:pPr>
              <w:pStyle w:val="43"/>
              <w:shd w:val="clear"/>
              <w:spacing w:before="1"/>
              <w:rPr>
                <w:rStyle w:val="35"/>
                <w:rFonts w:ascii="仿宋" w:hAnsi="仿宋" w:eastAsia="仿宋" w:cs="仿宋"/>
                <w:b/>
                <w:color w:val="auto"/>
                <w:sz w:val="24"/>
                <w:szCs w:val="24"/>
                <w:highlight w:val="none"/>
              </w:rPr>
            </w:pPr>
          </w:p>
          <w:p w14:paraId="158794D6">
            <w:pPr>
              <w:pStyle w:val="43"/>
              <w:shd w:val="clear"/>
              <w:spacing w:before="1"/>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6990" w:type="dxa"/>
            <w:tcBorders>
              <w:top w:val="single" w:color="000000" w:sz="4" w:space="0"/>
              <w:left w:val="single" w:color="000000" w:sz="4" w:space="0"/>
              <w:bottom w:val="single" w:color="000000" w:sz="4" w:space="0"/>
              <w:right w:val="single" w:color="000000" w:sz="4" w:space="0"/>
            </w:tcBorders>
          </w:tcPr>
          <w:p w14:paraId="042E2CDC">
            <w:pPr>
              <w:pStyle w:val="43"/>
              <w:shd w:val="clear"/>
              <w:spacing w:before="114" w:line="242" w:lineRule="auto"/>
              <w:ind w:left="55" w:right="72"/>
              <w:rPr>
                <w:rStyle w:val="35"/>
                <w:rFonts w:ascii="仿宋" w:hAnsi="仿宋" w:eastAsia="仿宋" w:cs="仿宋"/>
                <w:color w:val="auto"/>
                <w:sz w:val="24"/>
                <w:szCs w:val="24"/>
                <w:highlight w:val="none"/>
                <w:lang w:eastAsia="zh-CN"/>
              </w:rPr>
            </w:pPr>
            <w:bookmarkStart w:id="54" w:name="OLE_LINK8"/>
            <w:r>
              <w:rPr>
                <w:rStyle w:val="35"/>
                <w:rFonts w:hint="eastAsia" w:ascii="仿宋" w:hAnsi="仿宋" w:eastAsia="仿宋" w:cs="仿宋"/>
                <w:color w:val="auto"/>
                <w:sz w:val="24"/>
                <w:szCs w:val="24"/>
                <w:highlight w:val="none"/>
                <w:lang w:eastAsia="zh-CN"/>
              </w:rPr>
              <w:t>凡竞争性磋商文件中要求盖章或签字处，是否按要求加盖单位公章、法定代表人或被授权委托人签字或盖章的。</w:t>
            </w:r>
            <w:bookmarkEnd w:id="54"/>
          </w:p>
        </w:tc>
        <w:tc>
          <w:tcPr>
            <w:tcW w:w="631" w:type="dxa"/>
            <w:tcBorders>
              <w:top w:val="single" w:color="000000" w:sz="4" w:space="0"/>
              <w:left w:val="single" w:color="000000" w:sz="4" w:space="0"/>
              <w:bottom w:val="single" w:color="000000" w:sz="4" w:space="0"/>
              <w:right w:val="single" w:color="000000" w:sz="4" w:space="0"/>
            </w:tcBorders>
          </w:tcPr>
          <w:p w14:paraId="3FEFD87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C568CC2">
            <w:pPr>
              <w:pStyle w:val="43"/>
              <w:shd w:val="clear"/>
              <w:rPr>
                <w:rStyle w:val="35"/>
                <w:rFonts w:ascii="仿宋" w:hAnsi="仿宋" w:eastAsia="仿宋" w:cs="仿宋"/>
                <w:color w:val="auto"/>
                <w:sz w:val="24"/>
                <w:szCs w:val="24"/>
                <w:highlight w:val="none"/>
                <w:lang w:eastAsia="zh-CN"/>
              </w:rPr>
            </w:pPr>
          </w:p>
        </w:tc>
      </w:tr>
      <w:tr w14:paraId="4916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5" w:type="dxa"/>
            <w:tcBorders>
              <w:top w:val="single" w:color="000000" w:sz="4" w:space="0"/>
              <w:left w:val="single" w:color="000000" w:sz="4" w:space="0"/>
              <w:bottom w:val="single" w:color="000000" w:sz="4" w:space="0"/>
              <w:right w:val="single" w:color="000000" w:sz="4" w:space="0"/>
            </w:tcBorders>
          </w:tcPr>
          <w:p w14:paraId="0621DF2D">
            <w:pPr>
              <w:pStyle w:val="43"/>
              <w:shd w:val="clear"/>
              <w:spacing w:before="171"/>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2</w:t>
            </w:r>
          </w:p>
        </w:tc>
        <w:tc>
          <w:tcPr>
            <w:tcW w:w="6990" w:type="dxa"/>
            <w:tcBorders>
              <w:top w:val="single" w:color="000000" w:sz="4" w:space="0"/>
              <w:left w:val="single" w:color="000000" w:sz="4" w:space="0"/>
              <w:bottom w:val="single" w:color="000000" w:sz="4" w:space="0"/>
              <w:right w:val="single" w:color="000000" w:sz="4" w:space="0"/>
            </w:tcBorders>
          </w:tcPr>
          <w:p w14:paraId="15DCA8C3">
            <w:pPr>
              <w:pStyle w:val="43"/>
              <w:shd w:val="clear"/>
              <w:spacing w:before="122"/>
              <w:ind w:left="55"/>
              <w:rPr>
                <w:rStyle w:val="35"/>
                <w:rFonts w:hint="default" w:ascii="仿宋" w:hAnsi="仿宋" w:eastAsia="仿宋" w:cs="仿宋"/>
                <w:color w:val="auto"/>
                <w:sz w:val="24"/>
                <w:szCs w:val="24"/>
                <w:highlight w:val="none"/>
                <w:lang w:val="en-US" w:eastAsia="zh-CN"/>
              </w:rPr>
            </w:pPr>
            <w:bookmarkStart w:id="55" w:name="OLE_LINK9"/>
            <w:r>
              <w:rPr>
                <w:rStyle w:val="35"/>
                <w:rFonts w:hint="eastAsia" w:ascii="仿宋" w:hAnsi="仿宋" w:eastAsia="仿宋" w:cs="仿宋"/>
                <w:color w:val="auto"/>
                <w:sz w:val="24"/>
                <w:szCs w:val="24"/>
                <w:highlight w:val="none"/>
                <w:lang w:eastAsia="zh-CN"/>
              </w:rPr>
              <w:t>供应商按照竞争性磋商文件规定的金额、形式、时效和内容提供了投标保证金。</w:t>
            </w:r>
            <w:bookmarkEnd w:id="55"/>
          </w:p>
        </w:tc>
        <w:tc>
          <w:tcPr>
            <w:tcW w:w="631" w:type="dxa"/>
            <w:tcBorders>
              <w:top w:val="single" w:color="000000" w:sz="4" w:space="0"/>
              <w:left w:val="single" w:color="000000" w:sz="4" w:space="0"/>
              <w:bottom w:val="single" w:color="000000" w:sz="4" w:space="0"/>
              <w:right w:val="single" w:color="000000" w:sz="4" w:space="0"/>
            </w:tcBorders>
          </w:tcPr>
          <w:p w14:paraId="3736A9F7">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4596642">
            <w:pPr>
              <w:pStyle w:val="43"/>
              <w:shd w:val="clear"/>
              <w:rPr>
                <w:rStyle w:val="35"/>
                <w:rFonts w:ascii="仿宋" w:hAnsi="仿宋" w:eastAsia="仿宋" w:cs="仿宋"/>
                <w:color w:val="auto"/>
                <w:sz w:val="24"/>
                <w:szCs w:val="24"/>
                <w:highlight w:val="none"/>
                <w:lang w:eastAsia="zh-CN"/>
              </w:rPr>
            </w:pPr>
          </w:p>
        </w:tc>
      </w:tr>
      <w:tr w14:paraId="3274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5" w:type="dxa"/>
            <w:tcBorders>
              <w:top w:val="single" w:color="000000" w:sz="4" w:space="0"/>
              <w:left w:val="single" w:color="000000" w:sz="4" w:space="0"/>
              <w:bottom w:val="single" w:color="000000" w:sz="4" w:space="0"/>
              <w:right w:val="single" w:color="000000" w:sz="4" w:space="0"/>
            </w:tcBorders>
          </w:tcPr>
          <w:p w14:paraId="33743748">
            <w:pPr>
              <w:pStyle w:val="43"/>
              <w:shd w:val="clear"/>
              <w:spacing w:before="17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3</w:t>
            </w:r>
          </w:p>
        </w:tc>
        <w:tc>
          <w:tcPr>
            <w:tcW w:w="6990" w:type="dxa"/>
            <w:tcBorders>
              <w:top w:val="single" w:color="000000" w:sz="4" w:space="0"/>
              <w:left w:val="single" w:color="000000" w:sz="4" w:space="0"/>
              <w:bottom w:val="single" w:color="000000" w:sz="4" w:space="0"/>
              <w:right w:val="single" w:color="000000" w:sz="4" w:space="0"/>
            </w:tcBorders>
          </w:tcPr>
          <w:p w14:paraId="623F2D36">
            <w:pPr>
              <w:pStyle w:val="43"/>
              <w:shd w:val="clear"/>
              <w:spacing w:before="122"/>
              <w:ind w:left="55"/>
              <w:rPr>
                <w:rStyle w:val="35"/>
                <w:rFonts w:hint="eastAsia" w:ascii="仿宋" w:hAnsi="仿宋" w:eastAsia="仿宋" w:cs="仿宋"/>
                <w:color w:val="auto"/>
                <w:sz w:val="24"/>
                <w:szCs w:val="24"/>
                <w:highlight w:val="none"/>
                <w:lang w:eastAsia="zh-CN"/>
              </w:rPr>
            </w:pPr>
            <w:bookmarkStart w:id="56" w:name="OLE_LINK10"/>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文件承诺</w:t>
            </w:r>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有效期满足磋商文件要求（90日（日历日））</w:t>
            </w:r>
            <w:bookmarkEnd w:id="56"/>
          </w:p>
        </w:tc>
        <w:tc>
          <w:tcPr>
            <w:tcW w:w="631" w:type="dxa"/>
            <w:tcBorders>
              <w:top w:val="single" w:color="000000" w:sz="4" w:space="0"/>
              <w:left w:val="single" w:color="000000" w:sz="4" w:space="0"/>
              <w:bottom w:val="single" w:color="000000" w:sz="4" w:space="0"/>
              <w:right w:val="single" w:color="000000" w:sz="4" w:space="0"/>
            </w:tcBorders>
          </w:tcPr>
          <w:p w14:paraId="15EAB212">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3C3FA93">
            <w:pPr>
              <w:pStyle w:val="43"/>
              <w:shd w:val="clear"/>
              <w:rPr>
                <w:rStyle w:val="35"/>
                <w:rFonts w:ascii="仿宋" w:hAnsi="仿宋" w:eastAsia="仿宋" w:cs="仿宋"/>
                <w:color w:val="auto"/>
                <w:sz w:val="24"/>
                <w:szCs w:val="24"/>
                <w:highlight w:val="none"/>
                <w:lang w:eastAsia="zh-CN"/>
              </w:rPr>
            </w:pPr>
          </w:p>
        </w:tc>
      </w:tr>
      <w:tr w14:paraId="587E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725" w:type="dxa"/>
            <w:tcBorders>
              <w:top w:val="single" w:color="000000" w:sz="4" w:space="0"/>
              <w:left w:val="single" w:color="000000" w:sz="4" w:space="0"/>
              <w:bottom w:val="single" w:color="000000" w:sz="4" w:space="0"/>
              <w:right w:val="single" w:color="000000" w:sz="4" w:space="0"/>
            </w:tcBorders>
          </w:tcPr>
          <w:p w14:paraId="02FCE3D9">
            <w:pPr>
              <w:pStyle w:val="43"/>
              <w:shd w:val="clear"/>
              <w:rPr>
                <w:rStyle w:val="35"/>
                <w:rFonts w:ascii="仿宋" w:hAnsi="仿宋" w:eastAsia="仿宋" w:cs="仿宋"/>
                <w:b/>
                <w:color w:val="auto"/>
                <w:sz w:val="24"/>
                <w:szCs w:val="24"/>
                <w:highlight w:val="none"/>
                <w:lang w:eastAsia="zh-CN"/>
              </w:rPr>
            </w:pPr>
          </w:p>
          <w:p w14:paraId="41D2160A">
            <w:pPr>
              <w:pStyle w:val="43"/>
              <w:shd w:val="clear"/>
              <w:spacing w:before="154"/>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4</w:t>
            </w:r>
          </w:p>
        </w:tc>
        <w:tc>
          <w:tcPr>
            <w:tcW w:w="6990" w:type="dxa"/>
            <w:tcBorders>
              <w:top w:val="single" w:color="000000" w:sz="4" w:space="0"/>
              <w:left w:val="single" w:color="000000" w:sz="4" w:space="0"/>
              <w:bottom w:val="single" w:color="000000" w:sz="4" w:space="0"/>
              <w:right w:val="single" w:color="000000" w:sz="4" w:space="0"/>
            </w:tcBorders>
          </w:tcPr>
          <w:p w14:paraId="65A588C1">
            <w:pPr>
              <w:pStyle w:val="43"/>
              <w:shd w:val="clear"/>
              <w:spacing w:before="112" w:line="244" w:lineRule="auto"/>
              <w:ind w:left="55" w:right="72"/>
              <w:jc w:val="both"/>
              <w:rPr>
                <w:rStyle w:val="35"/>
                <w:rFonts w:ascii="仿宋" w:hAnsi="仿宋" w:eastAsia="仿宋" w:cs="仿宋"/>
                <w:color w:val="auto"/>
                <w:sz w:val="24"/>
                <w:szCs w:val="24"/>
                <w:highlight w:val="none"/>
                <w:lang w:eastAsia="zh-CN"/>
              </w:rPr>
            </w:pPr>
            <w:bookmarkStart w:id="57" w:name="OLE_LINK11"/>
            <w:r>
              <w:rPr>
                <w:rStyle w:val="35"/>
                <w:rFonts w:hint="eastAsia" w:ascii="仿宋" w:hAnsi="仿宋" w:eastAsia="仿宋" w:cs="仿宋"/>
                <w:color w:val="auto"/>
                <w:sz w:val="24"/>
                <w:szCs w:val="24"/>
                <w:highlight w:val="none"/>
                <w:lang w:eastAsia="zh-CN"/>
              </w:rPr>
              <w:t>响应文件是否实质上响应了竞争性磋商文件的要求。实质上响应的投标应该是与竞争性磋商文件要求的重要条款、条件等相符，没有重大偏离或保留的投标。</w:t>
            </w:r>
            <w:bookmarkEnd w:id="57"/>
          </w:p>
        </w:tc>
        <w:tc>
          <w:tcPr>
            <w:tcW w:w="631" w:type="dxa"/>
            <w:tcBorders>
              <w:top w:val="single" w:color="000000" w:sz="4" w:space="0"/>
              <w:left w:val="single" w:color="000000" w:sz="4" w:space="0"/>
              <w:bottom w:val="single" w:color="000000" w:sz="4" w:space="0"/>
              <w:right w:val="single" w:color="000000" w:sz="4" w:space="0"/>
            </w:tcBorders>
          </w:tcPr>
          <w:p w14:paraId="019EDD9D">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BA2774A">
            <w:pPr>
              <w:pStyle w:val="43"/>
              <w:shd w:val="clear"/>
              <w:rPr>
                <w:rStyle w:val="35"/>
                <w:rFonts w:ascii="仿宋" w:hAnsi="仿宋" w:eastAsia="仿宋" w:cs="仿宋"/>
                <w:color w:val="auto"/>
                <w:sz w:val="24"/>
                <w:szCs w:val="24"/>
                <w:highlight w:val="none"/>
                <w:lang w:eastAsia="zh-CN"/>
              </w:rPr>
            </w:pPr>
          </w:p>
        </w:tc>
      </w:tr>
      <w:tr w14:paraId="6B4C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25" w:type="dxa"/>
            <w:tcBorders>
              <w:top w:val="single" w:color="000000" w:sz="4" w:space="0"/>
              <w:left w:val="single" w:color="000000" w:sz="4" w:space="0"/>
              <w:bottom w:val="single" w:color="000000" w:sz="4" w:space="0"/>
              <w:right w:val="single" w:color="000000" w:sz="4" w:space="0"/>
            </w:tcBorders>
          </w:tcPr>
          <w:p w14:paraId="06C2A072">
            <w:pPr>
              <w:pStyle w:val="43"/>
              <w:shd w:val="clear"/>
              <w:spacing w:before="2"/>
              <w:rPr>
                <w:rStyle w:val="35"/>
                <w:rFonts w:ascii="仿宋" w:hAnsi="仿宋" w:eastAsia="仿宋" w:cs="仿宋"/>
                <w:b/>
                <w:color w:val="auto"/>
                <w:sz w:val="24"/>
                <w:szCs w:val="24"/>
                <w:highlight w:val="none"/>
                <w:lang w:eastAsia="zh-CN"/>
              </w:rPr>
            </w:pPr>
          </w:p>
          <w:p w14:paraId="7F46ADE7">
            <w:pPr>
              <w:pStyle w:val="43"/>
              <w:shd w:val="clear"/>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5</w:t>
            </w:r>
          </w:p>
        </w:tc>
        <w:tc>
          <w:tcPr>
            <w:tcW w:w="6990" w:type="dxa"/>
            <w:tcBorders>
              <w:top w:val="single" w:color="000000" w:sz="4" w:space="0"/>
              <w:left w:val="single" w:color="000000" w:sz="4" w:space="0"/>
              <w:bottom w:val="single" w:color="000000" w:sz="4" w:space="0"/>
              <w:right w:val="single" w:color="000000" w:sz="4" w:space="0"/>
            </w:tcBorders>
          </w:tcPr>
          <w:p w14:paraId="54262590">
            <w:pPr>
              <w:pStyle w:val="43"/>
              <w:shd w:val="clear"/>
              <w:spacing w:before="49" w:line="242" w:lineRule="auto"/>
              <w:ind w:left="55" w:right="32"/>
              <w:rPr>
                <w:rStyle w:val="35"/>
                <w:rFonts w:ascii="仿宋" w:hAnsi="仿宋" w:eastAsia="仿宋" w:cs="仿宋"/>
                <w:color w:val="auto"/>
                <w:sz w:val="24"/>
                <w:szCs w:val="24"/>
                <w:highlight w:val="none"/>
                <w:lang w:eastAsia="zh-CN"/>
              </w:rPr>
            </w:pPr>
            <w:bookmarkStart w:id="58" w:name="OLE_LINK12"/>
            <w:r>
              <w:rPr>
                <w:rStyle w:val="35"/>
                <w:rFonts w:hint="eastAsia" w:ascii="仿宋" w:hAnsi="仿宋" w:eastAsia="仿宋" w:cs="仿宋"/>
                <w:color w:val="auto"/>
                <w:sz w:val="24"/>
                <w:szCs w:val="24"/>
                <w:highlight w:val="none"/>
                <w:lang w:eastAsia="zh-CN"/>
              </w:rPr>
              <w:t>一份响应文件应只有一个投标报价，在竞争性磋商文件没有规定的情况下，未提交选择性的报价。</w:t>
            </w:r>
            <w:bookmarkEnd w:id="58"/>
          </w:p>
        </w:tc>
        <w:tc>
          <w:tcPr>
            <w:tcW w:w="631" w:type="dxa"/>
            <w:tcBorders>
              <w:top w:val="single" w:color="000000" w:sz="4" w:space="0"/>
              <w:left w:val="single" w:color="000000" w:sz="4" w:space="0"/>
              <w:bottom w:val="single" w:color="000000" w:sz="4" w:space="0"/>
              <w:right w:val="single" w:color="000000" w:sz="4" w:space="0"/>
            </w:tcBorders>
          </w:tcPr>
          <w:p w14:paraId="3CB15939">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61E738D">
            <w:pPr>
              <w:pStyle w:val="43"/>
              <w:shd w:val="clear"/>
              <w:rPr>
                <w:rStyle w:val="35"/>
                <w:rFonts w:ascii="仿宋" w:hAnsi="仿宋" w:eastAsia="仿宋" w:cs="仿宋"/>
                <w:color w:val="auto"/>
                <w:sz w:val="24"/>
                <w:szCs w:val="24"/>
                <w:highlight w:val="none"/>
                <w:lang w:eastAsia="zh-CN"/>
              </w:rPr>
            </w:pPr>
          </w:p>
        </w:tc>
      </w:tr>
      <w:tr w14:paraId="3331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25" w:type="dxa"/>
            <w:tcBorders>
              <w:top w:val="single" w:color="000000" w:sz="4" w:space="0"/>
              <w:left w:val="single" w:color="000000" w:sz="4" w:space="0"/>
              <w:bottom w:val="single" w:color="000000" w:sz="4" w:space="0"/>
              <w:right w:val="single" w:color="000000" w:sz="4" w:space="0"/>
            </w:tcBorders>
          </w:tcPr>
          <w:p w14:paraId="3489DF02">
            <w:pPr>
              <w:pStyle w:val="43"/>
              <w:shd w:val="clear"/>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6</w:t>
            </w:r>
          </w:p>
        </w:tc>
        <w:tc>
          <w:tcPr>
            <w:tcW w:w="6990" w:type="dxa"/>
            <w:tcBorders>
              <w:top w:val="single" w:color="000000" w:sz="4" w:space="0"/>
              <w:left w:val="single" w:color="000000" w:sz="4" w:space="0"/>
              <w:bottom w:val="single" w:color="000000" w:sz="4" w:space="0"/>
              <w:right w:val="single" w:color="000000" w:sz="4" w:space="0"/>
            </w:tcBorders>
          </w:tcPr>
          <w:p w14:paraId="39F99483">
            <w:pPr>
              <w:pStyle w:val="43"/>
              <w:shd w:val="clear"/>
              <w:spacing w:before="49" w:line="242" w:lineRule="auto"/>
              <w:ind w:left="55" w:right="32"/>
              <w:rPr>
                <w:rStyle w:val="35"/>
                <w:rFonts w:hint="eastAsia" w:ascii="仿宋" w:hAnsi="仿宋" w:eastAsia="仿宋" w:cs="仿宋"/>
                <w:color w:val="auto"/>
                <w:sz w:val="24"/>
                <w:szCs w:val="24"/>
                <w:highlight w:val="none"/>
                <w:lang w:eastAsia="zh-CN"/>
              </w:rPr>
            </w:pPr>
            <w:bookmarkStart w:id="59" w:name="OLE_LINK13"/>
            <w:r>
              <w:rPr>
                <w:rStyle w:val="35"/>
                <w:rFonts w:hint="eastAsia" w:ascii="仿宋" w:hAnsi="仿宋" w:eastAsia="仿宋" w:cs="仿宋"/>
                <w:color w:val="auto"/>
                <w:sz w:val="24"/>
                <w:szCs w:val="24"/>
                <w:highlight w:val="none"/>
                <w:lang w:val="en-US" w:eastAsia="zh-CN"/>
              </w:rPr>
              <w:t>投标报价未超出最高限价。</w:t>
            </w:r>
            <w:bookmarkEnd w:id="59"/>
          </w:p>
        </w:tc>
        <w:tc>
          <w:tcPr>
            <w:tcW w:w="631" w:type="dxa"/>
            <w:tcBorders>
              <w:top w:val="single" w:color="000000" w:sz="4" w:space="0"/>
              <w:left w:val="single" w:color="000000" w:sz="4" w:space="0"/>
              <w:bottom w:val="single" w:color="000000" w:sz="4" w:space="0"/>
              <w:right w:val="single" w:color="000000" w:sz="4" w:space="0"/>
            </w:tcBorders>
          </w:tcPr>
          <w:p w14:paraId="0C8D7F33">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E730866">
            <w:pPr>
              <w:pStyle w:val="43"/>
              <w:shd w:val="clear"/>
              <w:rPr>
                <w:rStyle w:val="35"/>
                <w:rFonts w:ascii="仿宋" w:hAnsi="仿宋" w:eastAsia="仿宋" w:cs="仿宋"/>
                <w:color w:val="auto"/>
                <w:sz w:val="24"/>
                <w:szCs w:val="24"/>
                <w:highlight w:val="none"/>
                <w:lang w:eastAsia="zh-CN"/>
              </w:rPr>
            </w:pPr>
          </w:p>
        </w:tc>
      </w:tr>
      <w:tr w14:paraId="060D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5" w:type="dxa"/>
            <w:tcBorders>
              <w:top w:val="single" w:color="000000" w:sz="4" w:space="0"/>
              <w:left w:val="single" w:color="000000" w:sz="4" w:space="0"/>
              <w:bottom w:val="single" w:color="000000" w:sz="4" w:space="0"/>
              <w:right w:val="single" w:color="000000" w:sz="4" w:space="0"/>
            </w:tcBorders>
          </w:tcPr>
          <w:p w14:paraId="56992521">
            <w:pPr>
              <w:pStyle w:val="43"/>
              <w:shd w:val="clear"/>
              <w:spacing w:before="168"/>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7</w:t>
            </w:r>
          </w:p>
        </w:tc>
        <w:tc>
          <w:tcPr>
            <w:tcW w:w="6990" w:type="dxa"/>
            <w:tcBorders>
              <w:top w:val="single" w:color="000000" w:sz="4" w:space="0"/>
              <w:left w:val="single" w:color="000000" w:sz="4" w:space="0"/>
              <w:bottom w:val="single" w:color="000000" w:sz="4" w:space="0"/>
              <w:right w:val="single" w:color="000000" w:sz="4" w:space="0"/>
            </w:tcBorders>
          </w:tcPr>
          <w:p w14:paraId="2BB1692D">
            <w:pPr>
              <w:pStyle w:val="43"/>
              <w:shd w:val="clear"/>
              <w:spacing w:before="119"/>
              <w:ind w:left="55"/>
              <w:rPr>
                <w:rStyle w:val="35"/>
                <w:rFonts w:ascii="仿宋" w:hAnsi="仿宋" w:eastAsia="仿宋" w:cs="仿宋"/>
                <w:color w:val="auto"/>
                <w:sz w:val="24"/>
                <w:szCs w:val="24"/>
                <w:highlight w:val="none"/>
                <w:lang w:eastAsia="zh-CN"/>
              </w:rPr>
            </w:pPr>
            <w:bookmarkStart w:id="60" w:name="OLE_LINK14"/>
            <w:r>
              <w:rPr>
                <w:rStyle w:val="35"/>
                <w:rFonts w:hint="eastAsia" w:ascii="仿宋" w:hAnsi="仿宋" w:eastAsia="仿宋" w:cs="仿宋"/>
                <w:color w:val="auto"/>
                <w:sz w:val="24"/>
                <w:szCs w:val="24"/>
                <w:highlight w:val="none"/>
                <w:lang w:eastAsia="zh-CN"/>
              </w:rPr>
              <w:t>供应商的合同履行期限</w:t>
            </w:r>
            <w:r>
              <w:rPr>
                <w:rStyle w:val="35"/>
                <w:rFonts w:hint="eastAsia" w:ascii="仿宋" w:hAnsi="仿宋" w:eastAsia="仿宋" w:cs="仿宋"/>
                <w:color w:val="auto"/>
                <w:sz w:val="24"/>
                <w:szCs w:val="24"/>
                <w:highlight w:val="none"/>
                <w:lang w:val="en-US" w:eastAsia="zh-CN"/>
              </w:rPr>
              <w:t>满足</w:t>
            </w:r>
            <w:r>
              <w:rPr>
                <w:rStyle w:val="35"/>
                <w:rFonts w:hint="eastAsia" w:ascii="仿宋" w:hAnsi="仿宋" w:eastAsia="仿宋" w:cs="仿宋"/>
                <w:color w:val="auto"/>
                <w:sz w:val="24"/>
                <w:szCs w:val="24"/>
                <w:highlight w:val="none"/>
                <w:lang w:eastAsia="zh-CN"/>
              </w:rPr>
              <w:t>竞争性磋商文件规定的期限要求。</w:t>
            </w:r>
            <w:bookmarkEnd w:id="60"/>
          </w:p>
        </w:tc>
        <w:tc>
          <w:tcPr>
            <w:tcW w:w="631" w:type="dxa"/>
            <w:tcBorders>
              <w:top w:val="single" w:color="000000" w:sz="4" w:space="0"/>
              <w:left w:val="single" w:color="000000" w:sz="4" w:space="0"/>
              <w:bottom w:val="single" w:color="000000" w:sz="4" w:space="0"/>
              <w:right w:val="single" w:color="000000" w:sz="4" w:space="0"/>
            </w:tcBorders>
          </w:tcPr>
          <w:p w14:paraId="1B1E9BED">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31F8575">
            <w:pPr>
              <w:pStyle w:val="43"/>
              <w:shd w:val="clear"/>
              <w:rPr>
                <w:rStyle w:val="35"/>
                <w:rFonts w:ascii="仿宋" w:hAnsi="仿宋" w:eastAsia="仿宋" w:cs="仿宋"/>
                <w:color w:val="auto"/>
                <w:sz w:val="24"/>
                <w:szCs w:val="24"/>
                <w:highlight w:val="none"/>
                <w:lang w:eastAsia="zh-CN"/>
              </w:rPr>
            </w:pPr>
          </w:p>
        </w:tc>
      </w:tr>
      <w:tr w14:paraId="694A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5" w:type="dxa"/>
            <w:tcBorders>
              <w:top w:val="single" w:color="000000" w:sz="4" w:space="0"/>
              <w:left w:val="single" w:color="000000" w:sz="4" w:space="0"/>
              <w:bottom w:val="single" w:color="000000" w:sz="4" w:space="0"/>
              <w:right w:val="single" w:color="000000" w:sz="4" w:space="0"/>
            </w:tcBorders>
          </w:tcPr>
          <w:p w14:paraId="2E5E71AC">
            <w:pPr>
              <w:pStyle w:val="43"/>
              <w:shd w:val="clear"/>
              <w:spacing w:before="171"/>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8</w:t>
            </w:r>
          </w:p>
        </w:tc>
        <w:tc>
          <w:tcPr>
            <w:tcW w:w="6990" w:type="dxa"/>
            <w:tcBorders>
              <w:top w:val="single" w:color="000000" w:sz="4" w:space="0"/>
              <w:left w:val="single" w:color="000000" w:sz="4" w:space="0"/>
              <w:bottom w:val="single" w:color="000000" w:sz="4" w:space="0"/>
              <w:right w:val="single" w:color="000000" w:sz="4" w:space="0"/>
            </w:tcBorders>
          </w:tcPr>
          <w:p w14:paraId="6A496F00">
            <w:pPr>
              <w:pStyle w:val="43"/>
              <w:shd w:val="clear"/>
              <w:spacing w:before="121"/>
              <w:ind w:left="55"/>
              <w:rPr>
                <w:rStyle w:val="35"/>
                <w:rFonts w:ascii="仿宋" w:hAnsi="仿宋" w:eastAsia="仿宋" w:cs="仿宋"/>
                <w:color w:val="auto"/>
                <w:sz w:val="24"/>
                <w:szCs w:val="24"/>
                <w:highlight w:val="none"/>
                <w:lang w:eastAsia="zh-CN"/>
              </w:rPr>
            </w:pPr>
            <w:bookmarkStart w:id="61" w:name="OLE_LINK15"/>
            <w:r>
              <w:rPr>
                <w:rStyle w:val="35"/>
                <w:rFonts w:hint="eastAsia" w:ascii="仿宋" w:hAnsi="仿宋" w:eastAsia="仿宋" w:cs="仿宋"/>
                <w:color w:val="auto"/>
                <w:sz w:val="24"/>
                <w:szCs w:val="24"/>
                <w:highlight w:val="none"/>
                <w:lang w:eastAsia="zh-CN"/>
              </w:rPr>
              <w:t>供应商未提出不同的验收、计量、支付办法。</w:t>
            </w:r>
            <w:bookmarkEnd w:id="61"/>
          </w:p>
        </w:tc>
        <w:tc>
          <w:tcPr>
            <w:tcW w:w="631" w:type="dxa"/>
            <w:tcBorders>
              <w:top w:val="single" w:color="000000" w:sz="4" w:space="0"/>
              <w:left w:val="single" w:color="000000" w:sz="4" w:space="0"/>
              <w:bottom w:val="single" w:color="000000" w:sz="4" w:space="0"/>
              <w:right w:val="single" w:color="000000" w:sz="4" w:space="0"/>
            </w:tcBorders>
          </w:tcPr>
          <w:p w14:paraId="66D4E93C">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AA98F92">
            <w:pPr>
              <w:pStyle w:val="43"/>
              <w:shd w:val="clear"/>
              <w:rPr>
                <w:rStyle w:val="35"/>
                <w:rFonts w:ascii="仿宋" w:hAnsi="仿宋" w:eastAsia="仿宋" w:cs="仿宋"/>
                <w:color w:val="auto"/>
                <w:sz w:val="24"/>
                <w:szCs w:val="24"/>
                <w:highlight w:val="none"/>
                <w:lang w:eastAsia="zh-CN"/>
              </w:rPr>
            </w:pPr>
          </w:p>
        </w:tc>
      </w:tr>
      <w:tr w14:paraId="2FAB8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25" w:type="dxa"/>
            <w:tcBorders>
              <w:top w:val="single" w:color="000000" w:sz="4" w:space="0"/>
              <w:left w:val="single" w:color="000000" w:sz="4" w:space="0"/>
              <w:bottom w:val="single" w:color="000000" w:sz="4" w:space="0"/>
              <w:right w:val="single" w:color="000000" w:sz="4" w:space="0"/>
            </w:tcBorders>
          </w:tcPr>
          <w:p w14:paraId="3AFC9DEB">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9</w:t>
            </w:r>
          </w:p>
        </w:tc>
        <w:tc>
          <w:tcPr>
            <w:tcW w:w="6990" w:type="dxa"/>
            <w:tcBorders>
              <w:top w:val="single" w:color="000000" w:sz="4" w:space="0"/>
              <w:left w:val="single" w:color="000000" w:sz="4" w:space="0"/>
              <w:bottom w:val="single" w:color="000000" w:sz="4" w:space="0"/>
              <w:right w:val="single" w:color="000000" w:sz="4" w:space="0"/>
            </w:tcBorders>
          </w:tcPr>
          <w:p w14:paraId="6EDD1E14">
            <w:pPr>
              <w:pStyle w:val="43"/>
              <w:shd w:val="clear"/>
              <w:spacing w:before="121"/>
              <w:ind w:left="55"/>
              <w:rPr>
                <w:rStyle w:val="35"/>
                <w:rFonts w:ascii="仿宋" w:hAnsi="仿宋" w:eastAsia="仿宋" w:cs="仿宋"/>
                <w:color w:val="auto"/>
                <w:sz w:val="24"/>
                <w:szCs w:val="24"/>
                <w:highlight w:val="none"/>
                <w:lang w:eastAsia="zh-CN"/>
              </w:rPr>
            </w:pPr>
            <w:bookmarkStart w:id="62" w:name="OLE_LINK16"/>
            <w:r>
              <w:rPr>
                <w:rStyle w:val="35"/>
                <w:rFonts w:hint="eastAsia" w:ascii="仿宋" w:hAnsi="仿宋" w:eastAsia="仿宋" w:cs="仿宋"/>
                <w:color w:val="auto"/>
                <w:sz w:val="24"/>
                <w:szCs w:val="24"/>
                <w:highlight w:val="none"/>
                <w:lang w:eastAsia="zh-CN"/>
              </w:rPr>
              <w:t>响应文件未附有采购人不能接受的附加条件的。</w:t>
            </w:r>
            <w:bookmarkEnd w:id="62"/>
          </w:p>
        </w:tc>
        <w:tc>
          <w:tcPr>
            <w:tcW w:w="631" w:type="dxa"/>
            <w:tcBorders>
              <w:top w:val="single" w:color="000000" w:sz="4" w:space="0"/>
              <w:left w:val="single" w:color="000000" w:sz="4" w:space="0"/>
              <w:bottom w:val="single" w:color="000000" w:sz="4" w:space="0"/>
              <w:right w:val="single" w:color="000000" w:sz="4" w:space="0"/>
            </w:tcBorders>
          </w:tcPr>
          <w:p w14:paraId="663B460D">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6C453BC">
            <w:pPr>
              <w:pStyle w:val="43"/>
              <w:shd w:val="clear"/>
              <w:rPr>
                <w:rStyle w:val="35"/>
                <w:rFonts w:ascii="仿宋" w:hAnsi="仿宋" w:eastAsia="仿宋" w:cs="仿宋"/>
                <w:color w:val="auto"/>
                <w:sz w:val="24"/>
                <w:szCs w:val="24"/>
                <w:highlight w:val="none"/>
                <w:lang w:eastAsia="zh-CN"/>
              </w:rPr>
            </w:pPr>
          </w:p>
        </w:tc>
      </w:tr>
      <w:tr w14:paraId="6CC3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25" w:type="dxa"/>
            <w:tcBorders>
              <w:top w:val="single" w:color="000000" w:sz="4" w:space="0"/>
              <w:left w:val="single" w:color="000000" w:sz="4" w:space="0"/>
              <w:bottom w:val="single" w:color="000000" w:sz="4" w:space="0"/>
              <w:right w:val="single" w:color="000000" w:sz="4" w:space="0"/>
            </w:tcBorders>
          </w:tcPr>
          <w:p w14:paraId="74408614">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10</w:t>
            </w:r>
          </w:p>
        </w:tc>
        <w:tc>
          <w:tcPr>
            <w:tcW w:w="6990" w:type="dxa"/>
            <w:tcBorders>
              <w:top w:val="single" w:color="000000" w:sz="4" w:space="0"/>
              <w:left w:val="single" w:color="000000" w:sz="4" w:space="0"/>
              <w:bottom w:val="single" w:color="000000" w:sz="4" w:space="0"/>
              <w:right w:val="single" w:color="000000" w:sz="4" w:space="0"/>
            </w:tcBorders>
          </w:tcPr>
          <w:p w14:paraId="27058A6E">
            <w:pPr>
              <w:pStyle w:val="43"/>
              <w:shd w:val="clear"/>
              <w:spacing w:before="121"/>
              <w:ind w:left="55"/>
              <w:rPr>
                <w:rStyle w:val="35"/>
                <w:rFonts w:ascii="仿宋" w:hAnsi="仿宋" w:eastAsia="仿宋" w:cs="仿宋"/>
                <w:color w:val="auto"/>
                <w:sz w:val="24"/>
                <w:szCs w:val="24"/>
                <w:highlight w:val="none"/>
                <w:lang w:eastAsia="zh-CN"/>
              </w:rPr>
            </w:pPr>
            <w:bookmarkStart w:id="63" w:name="OLE_LINK17"/>
            <w:r>
              <w:rPr>
                <w:rStyle w:val="35"/>
                <w:rFonts w:hint="eastAsia" w:ascii="仿宋" w:hAnsi="仿宋" w:eastAsia="仿宋" w:cs="仿宋"/>
                <w:color w:val="auto"/>
                <w:sz w:val="24"/>
                <w:szCs w:val="24"/>
                <w:highlight w:val="none"/>
                <w:lang w:eastAsia="zh-CN"/>
              </w:rPr>
              <w:t>不存在与其他供应商相互串通报价，或者与采购人串通投标的情形。</w:t>
            </w:r>
            <w:bookmarkEnd w:id="63"/>
          </w:p>
        </w:tc>
        <w:tc>
          <w:tcPr>
            <w:tcW w:w="631" w:type="dxa"/>
            <w:tcBorders>
              <w:top w:val="single" w:color="000000" w:sz="4" w:space="0"/>
              <w:left w:val="single" w:color="000000" w:sz="4" w:space="0"/>
              <w:bottom w:val="single" w:color="000000" w:sz="4" w:space="0"/>
              <w:right w:val="single" w:color="000000" w:sz="4" w:space="0"/>
            </w:tcBorders>
          </w:tcPr>
          <w:p w14:paraId="5FCA2C05">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4E485CF">
            <w:pPr>
              <w:pStyle w:val="43"/>
              <w:shd w:val="clear"/>
              <w:rPr>
                <w:rStyle w:val="35"/>
                <w:rFonts w:ascii="仿宋" w:hAnsi="仿宋" w:eastAsia="仿宋" w:cs="仿宋"/>
                <w:color w:val="auto"/>
                <w:sz w:val="24"/>
                <w:szCs w:val="24"/>
                <w:highlight w:val="none"/>
                <w:lang w:eastAsia="zh-CN"/>
              </w:rPr>
            </w:pPr>
          </w:p>
        </w:tc>
      </w:tr>
      <w:tr w14:paraId="072F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25" w:type="dxa"/>
            <w:tcBorders>
              <w:top w:val="single" w:color="000000" w:sz="4" w:space="0"/>
              <w:left w:val="single" w:color="000000" w:sz="4" w:space="0"/>
              <w:bottom w:val="single" w:color="000000" w:sz="4" w:space="0"/>
              <w:right w:val="single" w:color="000000" w:sz="4" w:space="0"/>
            </w:tcBorders>
          </w:tcPr>
          <w:p w14:paraId="6039A21D">
            <w:pPr>
              <w:pStyle w:val="43"/>
              <w:shd w:val="clear"/>
              <w:spacing w:before="171"/>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11</w:t>
            </w:r>
          </w:p>
        </w:tc>
        <w:tc>
          <w:tcPr>
            <w:tcW w:w="6990" w:type="dxa"/>
            <w:tcBorders>
              <w:top w:val="single" w:color="000000" w:sz="4" w:space="0"/>
              <w:left w:val="single" w:color="000000" w:sz="4" w:space="0"/>
              <w:bottom w:val="single" w:color="000000" w:sz="4" w:space="0"/>
              <w:right w:val="single" w:color="000000" w:sz="4" w:space="0"/>
            </w:tcBorders>
          </w:tcPr>
          <w:p w14:paraId="374AE963">
            <w:pPr>
              <w:pStyle w:val="43"/>
              <w:shd w:val="clear"/>
              <w:spacing w:before="121"/>
              <w:ind w:left="55"/>
              <w:rPr>
                <w:rStyle w:val="35"/>
                <w:rFonts w:ascii="仿宋" w:hAnsi="仿宋" w:eastAsia="仿宋" w:cs="仿宋"/>
                <w:color w:val="auto"/>
                <w:sz w:val="24"/>
                <w:szCs w:val="24"/>
                <w:highlight w:val="none"/>
                <w:lang w:eastAsia="zh-CN"/>
              </w:rPr>
            </w:pPr>
            <w:bookmarkStart w:id="64" w:name="OLE_LINK18"/>
            <w:r>
              <w:rPr>
                <w:rStyle w:val="35"/>
                <w:rFonts w:hint="eastAsia" w:ascii="仿宋" w:hAnsi="仿宋" w:eastAsia="仿宋" w:cs="仿宋"/>
                <w:color w:val="auto"/>
                <w:sz w:val="24"/>
                <w:szCs w:val="24"/>
                <w:highlight w:val="none"/>
                <w:lang w:eastAsia="zh-CN"/>
              </w:rPr>
              <w:t>不存在法律、法规和竞争性磋商文件规定的其他无效情形。</w:t>
            </w:r>
            <w:bookmarkEnd w:id="64"/>
          </w:p>
        </w:tc>
        <w:tc>
          <w:tcPr>
            <w:tcW w:w="631" w:type="dxa"/>
            <w:tcBorders>
              <w:top w:val="single" w:color="000000" w:sz="4" w:space="0"/>
              <w:left w:val="single" w:color="000000" w:sz="4" w:space="0"/>
              <w:bottom w:val="single" w:color="000000" w:sz="4" w:space="0"/>
              <w:right w:val="single" w:color="000000" w:sz="4" w:space="0"/>
            </w:tcBorders>
          </w:tcPr>
          <w:p w14:paraId="3E527BF4">
            <w:pPr>
              <w:pStyle w:val="43"/>
              <w:shd w:val="clear"/>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748ACA9">
            <w:pPr>
              <w:pStyle w:val="43"/>
              <w:shd w:val="clear"/>
              <w:rPr>
                <w:rStyle w:val="35"/>
                <w:rFonts w:ascii="仿宋" w:hAnsi="仿宋" w:eastAsia="仿宋" w:cs="仿宋"/>
                <w:color w:val="auto"/>
                <w:sz w:val="24"/>
                <w:szCs w:val="24"/>
                <w:highlight w:val="none"/>
                <w:lang w:eastAsia="zh-CN"/>
              </w:rPr>
            </w:pPr>
          </w:p>
        </w:tc>
      </w:tr>
      <w:tr w14:paraId="4625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25" w:type="dxa"/>
            <w:tcBorders>
              <w:top w:val="single" w:color="000000" w:sz="4" w:space="0"/>
              <w:left w:val="single" w:color="000000" w:sz="4" w:space="0"/>
              <w:bottom w:val="single" w:color="000000" w:sz="4" w:space="0"/>
              <w:right w:val="single" w:color="000000" w:sz="4" w:space="0"/>
            </w:tcBorders>
          </w:tcPr>
          <w:p w14:paraId="280CFF70">
            <w:pPr>
              <w:pStyle w:val="43"/>
              <w:shd w:val="clear"/>
              <w:rPr>
                <w:rStyle w:val="35"/>
                <w:rFonts w:ascii="仿宋" w:hAnsi="仿宋" w:eastAsia="仿宋" w:cs="仿宋"/>
                <w:color w:val="auto"/>
                <w:sz w:val="24"/>
                <w:szCs w:val="24"/>
                <w:highlight w:val="none"/>
                <w:lang w:eastAsia="zh-CN"/>
              </w:rPr>
            </w:pPr>
          </w:p>
        </w:tc>
        <w:tc>
          <w:tcPr>
            <w:tcW w:w="6990" w:type="dxa"/>
            <w:tcBorders>
              <w:top w:val="single" w:color="000000" w:sz="4" w:space="0"/>
              <w:left w:val="single" w:color="000000" w:sz="4" w:space="0"/>
              <w:bottom w:val="single" w:color="000000" w:sz="4" w:space="0"/>
              <w:right w:val="single" w:color="000000" w:sz="4" w:space="0"/>
            </w:tcBorders>
          </w:tcPr>
          <w:p w14:paraId="1EB43E36">
            <w:pPr>
              <w:pStyle w:val="43"/>
              <w:shd w:val="clear"/>
              <w:tabs>
                <w:tab w:val="left" w:pos="686"/>
              </w:tabs>
              <w:spacing w:before="121"/>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7FCFF879">
            <w:pPr>
              <w:pStyle w:val="43"/>
              <w:shd w:val="clear"/>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17D35D67">
            <w:pPr>
              <w:pStyle w:val="43"/>
              <w:shd w:val="clear"/>
              <w:rPr>
                <w:rStyle w:val="35"/>
                <w:rFonts w:ascii="仿宋" w:hAnsi="仿宋" w:eastAsia="仿宋" w:cs="仿宋"/>
                <w:color w:val="auto"/>
                <w:sz w:val="24"/>
                <w:szCs w:val="24"/>
                <w:highlight w:val="none"/>
              </w:rPr>
            </w:pPr>
          </w:p>
        </w:tc>
      </w:tr>
    </w:tbl>
    <w:p w14:paraId="4FA70023">
      <w:pPr>
        <w:shd w:val="clear"/>
        <w:spacing w:before="49"/>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03CEA24C">
      <w:pPr>
        <w:shd w:val="clear"/>
        <w:spacing w:before="83" w:line="326" w:lineRule="auto"/>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（2）上述各项中如有一项为“×”，则结论为“×”，表示该响应文件中存在重大偏差，不能通过初步评审评委对某一分项评审认为不合格时，必须要写明原因。</w:t>
      </w:r>
    </w:p>
    <w:p w14:paraId="2614A4D7">
      <w:pPr>
        <w:shd w:val="clear"/>
        <w:spacing w:before="20"/>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（3）响应文件最终合格与否，以所有评委的评审意见中少数服从多数为原则定论。</w:t>
      </w:r>
    </w:p>
    <w:p w14:paraId="2183F497">
      <w:pPr>
        <w:shd w:val="clear"/>
        <w:spacing w:before="83" w:line="326" w:lineRule="auto"/>
        <w:ind w:left="171" w:right="122"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（4）供应商请认真阅读和理解上述内容，避免响应文件中有违背上述审查标准之一的情况发生而造成投标被否决。</w:t>
      </w:r>
    </w:p>
    <w:p w14:paraId="1A73DF68">
      <w:pPr>
        <w:shd w:val="clear"/>
        <w:spacing w:line="333" w:lineRule="exact"/>
        <w:ind w:left="169"/>
        <w:rPr>
          <w:rStyle w:val="35"/>
          <w:rFonts w:ascii="仿宋" w:hAnsi="仿宋" w:eastAsia="仿宋" w:cs="仿宋"/>
          <w:b/>
          <w:color w:val="auto"/>
          <w:sz w:val="28"/>
          <w:highlight w:val="none"/>
          <w:lang w:eastAsia="zh-CN"/>
        </w:rPr>
      </w:pPr>
    </w:p>
    <w:p w14:paraId="4903DE4F">
      <w:pPr>
        <w:shd w:val="clear"/>
        <w:spacing w:before="32"/>
        <w:ind w:left="169"/>
        <w:rPr>
          <w:rStyle w:val="35"/>
          <w:rFonts w:ascii="仿宋" w:hAnsi="仿宋" w:eastAsia="仿宋" w:cs="仿宋"/>
          <w:b/>
          <w:color w:val="auto"/>
          <w:sz w:val="28"/>
          <w:highlight w:val="none"/>
          <w:lang w:eastAsia="zh-CN"/>
        </w:rPr>
      </w:pPr>
    </w:p>
    <w:p w14:paraId="382A4DB6">
      <w:pPr>
        <w:shd w:val="clear"/>
        <w:rPr>
          <w:rStyle w:val="35"/>
          <w:rFonts w:ascii="仿宋" w:hAnsi="仿宋" w:eastAsia="仿宋" w:cs="仿宋"/>
          <w:color w:val="auto"/>
          <w:sz w:val="28"/>
          <w:highlight w:val="none"/>
          <w:lang w:eastAsia="zh-CN"/>
        </w:rPr>
        <w:sectPr>
          <w:pgSz w:w="11910" w:h="16840"/>
          <w:pgMar w:top="1420" w:right="1240" w:bottom="1180" w:left="1420" w:header="0" w:footer="912" w:gutter="0"/>
          <w:pgBorders>
            <w:top w:val="none" w:sz="0" w:space="0"/>
            <w:left w:val="none" w:sz="0" w:space="0"/>
            <w:bottom w:val="none" w:sz="0" w:space="0"/>
            <w:right w:val="none" w:sz="0" w:space="0"/>
          </w:pgBorders>
          <w:pgNumType w:fmt="decimal"/>
          <w:cols w:space="720" w:num="1"/>
        </w:sectPr>
      </w:pPr>
    </w:p>
    <w:p w14:paraId="584ACB06">
      <w:pPr>
        <w:keepNext w:val="0"/>
        <w:keepLines w:val="0"/>
        <w:pageBreakBefore w:val="0"/>
        <w:shd w:val="clear"/>
        <w:kinsoku/>
        <w:wordWrap/>
        <w:overflowPunct/>
        <w:topLinePunct w:val="0"/>
        <w:bidi w:val="0"/>
        <w:spacing w:line="361" w:lineRule="exact"/>
        <w:rPr>
          <w:rStyle w:val="35"/>
          <w:rFonts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w:t>
      </w:r>
      <w:r>
        <w:rPr>
          <w:rStyle w:val="35"/>
          <w:rFonts w:hint="eastAsia" w:ascii="仿宋" w:hAnsi="仿宋" w:eastAsia="仿宋" w:cs="仿宋"/>
          <w:b/>
          <w:color w:val="auto"/>
          <w:sz w:val="28"/>
          <w:highlight w:val="none"/>
          <w:lang w:val="en-US" w:eastAsia="zh-CN"/>
        </w:rPr>
        <w:t>3</w:t>
      </w:r>
      <w:r>
        <w:rPr>
          <w:rStyle w:val="35"/>
          <w:rFonts w:hint="eastAsia" w:ascii="仿宋" w:hAnsi="仿宋" w:eastAsia="仿宋" w:cs="仿宋"/>
          <w:b/>
          <w:color w:val="auto"/>
          <w:sz w:val="28"/>
          <w:highlight w:val="none"/>
          <w:lang w:eastAsia="zh-CN"/>
        </w:rPr>
        <w:t>：详细评审标准</w:t>
      </w:r>
    </w:p>
    <w:tbl>
      <w:tblPr>
        <w:tblStyle w:val="27"/>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1836"/>
        <w:gridCol w:w="5665"/>
        <w:gridCol w:w="741"/>
      </w:tblGrid>
      <w:tr w14:paraId="6EE7E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87" w:type="dxa"/>
            <w:gridSpan w:val="2"/>
            <w:vAlign w:val="center"/>
          </w:tcPr>
          <w:p w14:paraId="73B5667B">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5665" w:type="dxa"/>
          </w:tcPr>
          <w:p w14:paraId="79B3FC8A">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c>
          <w:tcPr>
            <w:tcW w:w="741" w:type="dxa"/>
            <w:vAlign w:val="center"/>
          </w:tcPr>
          <w:p w14:paraId="49F729D1">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分值</w:t>
            </w:r>
          </w:p>
        </w:tc>
      </w:tr>
      <w:tr w14:paraId="704C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887" w:type="dxa"/>
            <w:gridSpan w:val="2"/>
            <w:vMerge w:val="restart"/>
            <w:vAlign w:val="center"/>
          </w:tcPr>
          <w:p w14:paraId="0D663BCE">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分值构成（总分100分)</w:t>
            </w:r>
          </w:p>
        </w:tc>
        <w:tc>
          <w:tcPr>
            <w:tcW w:w="5665" w:type="dxa"/>
            <w:vAlign w:val="center"/>
          </w:tcPr>
          <w:p w14:paraId="43FF14F4">
            <w:pPr>
              <w:pStyle w:val="58"/>
              <w:keepNext w:val="0"/>
              <w:keepLines w:val="0"/>
              <w:pageBreakBefore w:val="0"/>
              <w:kinsoku/>
              <w:wordWrap/>
              <w:overflowPunct/>
              <w:topLinePunct w:val="0"/>
              <w:bidi w:val="0"/>
              <w:adjustRightInd/>
              <w:snapToGrid/>
              <w:spacing w:line="360" w:lineRule="auto"/>
              <w:ind w:left="0" w:right="0"/>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评审价格：</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c>
          <w:tcPr>
            <w:tcW w:w="741" w:type="dxa"/>
            <w:vMerge w:val="restart"/>
            <w:vAlign w:val="center"/>
          </w:tcPr>
          <w:p w14:paraId="011E4EA1">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r>
      <w:tr w14:paraId="34B0F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87" w:type="dxa"/>
            <w:gridSpan w:val="2"/>
            <w:vMerge w:val="continue"/>
            <w:tcBorders>
              <w:top w:val="nil"/>
            </w:tcBorders>
          </w:tcPr>
          <w:p w14:paraId="2960E5DC">
            <w:pPr>
              <w:keepNext w:val="0"/>
              <w:keepLines w:val="0"/>
              <w:pageBreakBefore w:val="0"/>
              <w:kinsoku/>
              <w:wordWrap/>
              <w:overflowPunct/>
              <w:topLinePunct w:val="0"/>
              <w:bidi w:val="0"/>
              <w:adjustRightInd/>
              <w:snapToGrid/>
              <w:spacing w:line="360" w:lineRule="auto"/>
              <w:ind w:left="0" w:right="0"/>
              <w:rPr>
                <w:rFonts w:ascii="仿宋" w:hAnsi="仿宋" w:eastAsia="仿宋" w:cs="仿宋"/>
                <w:color w:val="auto"/>
                <w:sz w:val="24"/>
                <w:szCs w:val="24"/>
                <w:highlight w:val="none"/>
              </w:rPr>
            </w:pPr>
          </w:p>
        </w:tc>
        <w:tc>
          <w:tcPr>
            <w:tcW w:w="5665" w:type="dxa"/>
            <w:vAlign w:val="center"/>
          </w:tcPr>
          <w:p w14:paraId="4B11A8B6">
            <w:pPr>
              <w:pStyle w:val="58"/>
              <w:keepNext w:val="0"/>
              <w:keepLines w:val="0"/>
              <w:pageBreakBefore w:val="0"/>
              <w:kinsoku/>
              <w:wordWrap/>
              <w:overflowPunct/>
              <w:topLinePunct w:val="0"/>
              <w:bidi w:val="0"/>
              <w:adjustRightInd/>
              <w:snapToGrid/>
              <w:spacing w:line="360" w:lineRule="auto"/>
              <w:ind w:left="0" w:right="0"/>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商务技术部分方案：</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0分</w:t>
            </w:r>
          </w:p>
        </w:tc>
        <w:tc>
          <w:tcPr>
            <w:tcW w:w="741" w:type="dxa"/>
            <w:vMerge w:val="continue"/>
          </w:tcPr>
          <w:p w14:paraId="57E709E1">
            <w:pPr>
              <w:pStyle w:val="58"/>
              <w:keepNext w:val="0"/>
              <w:keepLines w:val="0"/>
              <w:pageBreakBefore w:val="0"/>
              <w:kinsoku/>
              <w:wordWrap/>
              <w:overflowPunct/>
              <w:topLinePunct w:val="0"/>
              <w:bidi w:val="0"/>
              <w:adjustRightInd/>
              <w:snapToGrid/>
              <w:spacing w:line="360" w:lineRule="auto"/>
              <w:ind w:left="0" w:right="0"/>
              <w:rPr>
                <w:rFonts w:ascii="仿宋" w:hAnsi="仿宋" w:eastAsia="仿宋" w:cs="仿宋"/>
                <w:color w:val="auto"/>
                <w:sz w:val="24"/>
                <w:szCs w:val="24"/>
                <w:highlight w:val="none"/>
              </w:rPr>
            </w:pPr>
          </w:p>
        </w:tc>
      </w:tr>
      <w:tr w14:paraId="6F900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887" w:type="dxa"/>
            <w:gridSpan w:val="2"/>
            <w:vAlign w:val="center"/>
          </w:tcPr>
          <w:p w14:paraId="78648686">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p w14:paraId="4CB64FF3">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p w14:paraId="0DB9AF62">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w:t>
            </w:r>
          </w:p>
          <w:p w14:paraId="1EB252F6">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5665" w:type="dxa"/>
            <w:vAlign w:val="center"/>
          </w:tcPr>
          <w:p w14:paraId="7AF9726B">
            <w:pPr>
              <w:pStyle w:val="58"/>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满足磋商文件要求且最终报价最低的报价为评审基准价，其价格分为满分。其他满足磋商文件要求的供应商的价格分统一按照下列公式计算：</w:t>
            </w:r>
          </w:p>
          <w:p w14:paraId="277907A8">
            <w:pPr>
              <w:pStyle w:val="58"/>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评审价格分数=（评审基准价/最终报价）×价格权重（10%）×100 </w:t>
            </w:r>
          </w:p>
          <w:p w14:paraId="32170A1C">
            <w:pPr>
              <w:pStyle w:val="58"/>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pacing w:val="-8"/>
                <w:sz w:val="24"/>
                <w:szCs w:val="24"/>
                <w:highlight w:val="none"/>
              </w:rPr>
            </w:pPr>
            <w:r>
              <w:rPr>
                <w:rFonts w:hint="eastAsia" w:ascii="仿宋" w:hAnsi="仿宋" w:eastAsia="仿宋" w:cs="仿宋"/>
                <w:color w:val="auto"/>
                <w:sz w:val="24"/>
                <w:szCs w:val="24"/>
                <w:highlight w:val="none"/>
                <w:lang w:val="en-US" w:eastAsia="zh-CN"/>
              </w:rPr>
              <w:t>评标委员会认为投标人的报价明显低于其他通过符合性审查投标人的报价，有可能影响服务质量或者不能诚信履约的，应当要求其在合理的时间内提供书面说明，必要时提交相关证明材料；投标人不能证明其报价合理性的，其投标将被作为无效投标被拒绝。</w:t>
            </w:r>
          </w:p>
        </w:tc>
        <w:tc>
          <w:tcPr>
            <w:tcW w:w="741" w:type="dxa"/>
            <w:vAlign w:val="center"/>
          </w:tcPr>
          <w:p w14:paraId="522D1C0B">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41E3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1051" w:type="dxa"/>
            <w:vMerge w:val="restart"/>
            <w:vAlign w:val="center"/>
          </w:tcPr>
          <w:p w14:paraId="1E0359B1">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46946706">
            <w:pPr>
              <w:pStyle w:val="58"/>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技术部分</w:t>
            </w:r>
          </w:p>
          <w:p w14:paraId="5CAE6217">
            <w:pPr>
              <w:pStyle w:val="58"/>
              <w:keepNext w:val="0"/>
              <w:keepLines w:val="0"/>
              <w:pageBreakBefore w:val="0"/>
              <w:kinsoku/>
              <w:wordWrap/>
              <w:overflowPunct/>
              <w:topLinePunct w:val="0"/>
              <w:bidi w:val="0"/>
              <w:adjustRightInd/>
              <w:snapToGrid/>
              <w:spacing w:line="360" w:lineRule="auto"/>
              <w:ind w:left="0" w:right="0"/>
              <w:jc w:val="center"/>
              <w:rPr>
                <w:color w:val="auto"/>
                <w:highlight w:val="none"/>
              </w:rPr>
            </w:pPr>
          </w:p>
        </w:tc>
        <w:tc>
          <w:tcPr>
            <w:tcW w:w="1836" w:type="dxa"/>
            <w:vAlign w:val="center"/>
          </w:tcPr>
          <w:p w14:paraId="5583D29F">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kern w:val="2"/>
                <w:sz w:val="24"/>
                <w:szCs w:val="24"/>
                <w:highlight w:val="none"/>
                <w:lang w:val="en-US" w:eastAsia="zh-CN" w:bidi="ar-SA"/>
              </w:rPr>
              <w:t>类似业绩</w:t>
            </w:r>
          </w:p>
        </w:tc>
        <w:tc>
          <w:tcPr>
            <w:tcW w:w="5665" w:type="dxa"/>
            <w:vAlign w:val="center"/>
          </w:tcPr>
          <w:p w14:paraId="19E853C5">
            <w:pPr>
              <w:pStyle w:val="58"/>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供应商近三年（2022年1月1日-至今）承担的与本项目类似的相关业绩，每提供一项得2分，最多得10分。</w:t>
            </w:r>
          </w:p>
          <w:p w14:paraId="0332C2EC">
            <w:pPr>
              <w:pStyle w:val="58"/>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vAlign w:val="center"/>
          </w:tcPr>
          <w:p w14:paraId="07BF7D9D">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34AB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051" w:type="dxa"/>
            <w:vMerge w:val="continue"/>
            <w:vAlign w:val="center"/>
          </w:tcPr>
          <w:p w14:paraId="201568A5">
            <w:pPr>
              <w:pStyle w:val="58"/>
              <w:keepNext w:val="0"/>
              <w:keepLines w:val="0"/>
              <w:pageBreakBefore w:val="0"/>
              <w:kinsoku/>
              <w:wordWrap/>
              <w:overflowPunct/>
              <w:topLinePunct w:val="0"/>
              <w:bidi w:val="0"/>
              <w:adjustRightInd/>
              <w:snapToGrid/>
              <w:spacing w:line="360" w:lineRule="auto"/>
              <w:ind w:left="0" w:right="0"/>
              <w:jc w:val="center"/>
              <w:rPr>
                <w:color w:val="auto"/>
                <w:highlight w:val="none"/>
              </w:rPr>
            </w:pPr>
          </w:p>
        </w:tc>
        <w:tc>
          <w:tcPr>
            <w:tcW w:w="1836" w:type="dxa"/>
            <w:tcBorders>
              <w:top w:val="single" w:color="auto" w:sz="4" w:space="0"/>
            </w:tcBorders>
            <w:vAlign w:val="center"/>
          </w:tcPr>
          <w:p w14:paraId="56AF1877">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企业实力</w:t>
            </w:r>
          </w:p>
        </w:tc>
        <w:tc>
          <w:tcPr>
            <w:tcW w:w="5665" w:type="dxa"/>
            <w:vAlign w:val="center"/>
          </w:tcPr>
          <w:p w14:paraId="1EDFDDF1">
            <w:pPr>
              <w:pStyle w:val="58"/>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ascii="仿宋" w:hAnsi="仿宋" w:eastAsia="仿宋" w:cs="仿宋"/>
                <w:color w:val="auto"/>
                <w:sz w:val="24"/>
                <w:szCs w:val="24"/>
                <w:highlight w:val="none"/>
                <w:lang w:val="en-US" w:eastAsia="zh-CN"/>
              </w:rPr>
              <w:t>供应商具有中国网络安全审查技术与认证中心颁发的信息安全</w:t>
            </w:r>
            <w:r>
              <w:rPr>
                <w:rFonts w:hint="eastAsia" w:ascii="仿宋" w:hAnsi="仿宋" w:eastAsia="仿宋" w:cs="仿宋"/>
                <w:color w:val="auto"/>
                <w:sz w:val="24"/>
                <w:szCs w:val="24"/>
                <w:highlight w:val="none"/>
                <w:lang w:val="en-US" w:eastAsia="zh-CN"/>
              </w:rPr>
              <w:t>服务资质认证证书-信息安全风险评估的得 2分；</w:t>
            </w:r>
          </w:p>
          <w:p w14:paraId="3C1C9FF9">
            <w:pPr>
              <w:pStyle w:val="58"/>
              <w:keepNext w:val="0"/>
              <w:keepLines w:val="0"/>
              <w:pageBreakBefore w:val="0"/>
              <w:numPr>
                <w:ilvl w:val="0"/>
                <w:numId w:val="0"/>
              </w:numPr>
              <w:kinsoku/>
              <w:wordWrap/>
              <w:overflowPunct/>
              <w:topLinePunct w:val="0"/>
              <w:bidi w:val="0"/>
              <w:adjustRightInd/>
              <w:snapToGrid/>
              <w:spacing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2、供应商具有中国网络安全审查技术与认证中心颁发的信息安全服务资质认证证书-信息安全应急处理的得 2分；</w:t>
            </w:r>
          </w:p>
          <w:p w14:paraId="7170EB8F">
            <w:pPr>
              <w:pStyle w:val="58"/>
              <w:keepNext w:val="0"/>
              <w:keepLines w:val="0"/>
              <w:pageBreakBefore w:val="0"/>
              <w:numPr>
                <w:ilvl w:val="0"/>
                <w:numId w:val="0"/>
              </w:numPr>
              <w:kinsoku/>
              <w:wordWrap/>
              <w:overflowPunct/>
              <w:topLinePunct w:val="0"/>
              <w:bidi w:val="0"/>
              <w:adjustRightInd/>
              <w:snapToGrid/>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3、供应商具有</w:t>
            </w:r>
            <w:r>
              <w:rPr>
                <w:rFonts w:hint="eastAsia" w:ascii="仿宋" w:hAnsi="仿宋" w:eastAsia="仿宋" w:cs="仿宋"/>
                <w:color w:val="auto"/>
                <w:sz w:val="24"/>
                <w:szCs w:val="24"/>
                <w:highlight w:val="none"/>
                <w:lang w:val="en-US" w:eastAsia="zh-CN"/>
              </w:rPr>
              <w:t>ISO27001信息安全管理体系认证证书的得2分；</w:t>
            </w:r>
          </w:p>
          <w:p w14:paraId="29CFC31C">
            <w:pPr>
              <w:pStyle w:val="58"/>
              <w:keepNext w:val="0"/>
              <w:keepLines w:val="0"/>
              <w:pageBreakBefore w:val="0"/>
              <w:numPr>
                <w:ilvl w:val="0"/>
                <w:numId w:val="0"/>
              </w:numPr>
              <w:kinsoku/>
              <w:wordWrap/>
              <w:overflowPunct/>
              <w:topLinePunct w:val="0"/>
              <w:bidi w:val="0"/>
              <w:adjustRightInd/>
              <w:snapToGrid/>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供应商具有ISO20000 信息技术服务管理体系认证证书的得2分；</w:t>
            </w:r>
          </w:p>
        </w:tc>
        <w:tc>
          <w:tcPr>
            <w:tcW w:w="741" w:type="dxa"/>
            <w:vAlign w:val="center"/>
          </w:tcPr>
          <w:p w14:paraId="773997CA">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6414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51" w:type="dxa"/>
            <w:vMerge w:val="continue"/>
            <w:vAlign w:val="center"/>
          </w:tcPr>
          <w:p w14:paraId="1B4626C0">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bookmarkStart w:id="65" w:name="OLE_LINK19" w:colFirst="1" w:colLast="2"/>
          </w:p>
        </w:tc>
        <w:tc>
          <w:tcPr>
            <w:tcW w:w="1836" w:type="dxa"/>
            <w:vMerge w:val="restart"/>
            <w:vAlign w:val="center"/>
          </w:tcPr>
          <w:p w14:paraId="10FAAC0F">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项目组人员配备</w:t>
            </w:r>
          </w:p>
        </w:tc>
        <w:tc>
          <w:tcPr>
            <w:tcW w:w="5665" w:type="dxa"/>
            <w:vAlign w:val="center"/>
          </w:tcPr>
          <w:p w14:paraId="3E4EDE79">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项目组人员不少于5人</w:t>
            </w:r>
            <w:r>
              <w:rPr>
                <w:rFonts w:hint="eastAsia" w:ascii="仿宋" w:hAnsi="仿宋" w:eastAsia="仿宋" w:cs="仿宋"/>
                <w:color w:val="auto"/>
                <w:sz w:val="24"/>
                <w:szCs w:val="24"/>
                <w:highlight w:val="none"/>
                <w:lang w:val="en-US" w:eastAsia="zh-CN"/>
              </w:rPr>
              <w:t>：</w:t>
            </w:r>
          </w:p>
          <w:p w14:paraId="11B872CE">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项目负责</w:t>
            </w:r>
            <w:r>
              <w:rPr>
                <w:rFonts w:hint="eastAsia" w:ascii="仿宋" w:hAnsi="仿宋" w:eastAsia="仿宋" w:cs="仿宋"/>
                <w:color w:val="auto"/>
                <w:sz w:val="24"/>
                <w:szCs w:val="24"/>
                <w:highlight w:val="none"/>
                <w:lang w:val="en-US" w:eastAsia="zh-CN"/>
              </w:rPr>
              <w:t>人：具有高级信息安全等级测评师、</w:t>
            </w:r>
            <w:r>
              <w:rPr>
                <w:rFonts w:hint="default" w:ascii="仿宋" w:hAnsi="仿宋" w:eastAsia="仿宋" w:cs="仿宋"/>
                <w:color w:val="auto"/>
                <w:sz w:val="24"/>
                <w:szCs w:val="24"/>
                <w:highlight w:val="none"/>
                <w:lang w:val="en-US" w:eastAsia="zh-CN"/>
              </w:rPr>
              <w:t>注册渗透测试工程师CISP-PTE、注册信息安全工程师</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网络安全服务能力评价证书-安全管理能力认证证书CCSS-M、信息安全保障人员认证证书</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每提供其中任意一项得1分，最高得</w:t>
            </w: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分。</w:t>
            </w:r>
          </w:p>
          <w:p w14:paraId="09067C0D">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default" w:ascii="仿宋" w:hAnsi="仿宋" w:eastAsia="仿宋" w:cs="仿宋"/>
                <w:color w:val="auto"/>
                <w:sz w:val="24"/>
                <w:szCs w:val="24"/>
                <w:highlight w:val="none"/>
                <w:lang w:val="en-US" w:eastAsia="zh-CN"/>
              </w:rPr>
              <w:t>提供投标单位与其签订的有效劳动合同或近一个月社保缴纳证明和相关人员相应的证书证明材料复印件加盖公章，否则不得分;如属于退休返聘人员，则须提供人员的退休证及与投标人单位的劳动合同 (或返聘协议或同类的合同/协议)证明。</w:t>
            </w:r>
          </w:p>
        </w:tc>
        <w:tc>
          <w:tcPr>
            <w:tcW w:w="741" w:type="dxa"/>
            <w:vAlign w:val="center"/>
          </w:tcPr>
          <w:p w14:paraId="0568DF87">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29E9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1051" w:type="dxa"/>
            <w:vMerge w:val="continue"/>
            <w:vAlign w:val="center"/>
          </w:tcPr>
          <w:p w14:paraId="34B60D31">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Merge w:val="continue"/>
            <w:vAlign w:val="center"/>
          </w:tcPr>
          <w:p w14:paraId="0B1E8F14">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z w:val="24"/>
                <w:szCs w:val="24"/>
                <w:highlight w:val="none"/>
                <w:lang w:val="en-US" w:eastAsia="zh-CN"/>
              </w:rPr>
            </w:pPr>
          </w:p>
        </w:tc>
        <w:tc>
          <w:tcPr>
            <w:tcW w:w="5665" w:type="dxa"/>
            <w:vAlign w:val="center"/>
          </w:tcPr>
          <w:p w14:paraId="39E1CA59">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项目团队其他成员（不包括项目负责人）：</w:t>
            </w:r>
          </w:p>
          <w:p w14:paraId="7F907577">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1、团队人员</w:t>
            </w:r>
            <w:r>
              <w:rPr>
                <w:rFonts w:hint="eastAsia" w:ascii="仿宋" w:hAnsi="仿宋" w:eastAsia="仿宋" w:cs="仿宋"/>
                <w:color w:val="auto"/>
                <w:sz w:val="24"/>
                <w:szCs w:val="24"/>
                <w:highlight w:val="none"/>
                <w:lang w:val="en-US" w:eastAsia="zh-CN"/>
              </w:rPr>
              <w:t>具有中级及以上信息安全等级测评师，每提供一名得1分，最高得4分；</w:t>
            </w:r>
          </w:p>
          <w:p w14:paraId="78F9464C">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default"/>
                <w:color w:val="auto"/>
                <w:highlight w:val="none"/>
                <w:lang w:val="en-US" w:eastAsia="zh-CN"/>
              </w:rPr>
            </w:pPr>
            <w:r>
              <w:rPr>
                <w:rFonts w:hint="eastAsia" w:ascii="仿宋" w:hAnsi="仿宋" w:eastAsia="仿宋" w:cs="仿宋"/>
                <w:color w:val="auto"/>
                <w:sz w:val="24"/>
                <w:szCs w:val="24"/>
                <w:highlight w:val="none"/>
                <w:lang w:val="en-US" w:eastAsia="zh-CN" w:bidi="ar-SA"/>
              </w:rPr>
              <w:t>2、团队人员中</w:t>
            </w:r>
            <w:r>
              <w:rPr>
                <w:rFonts w:hint="eastAsia" w:ascii="仿宋" w:hAnsi="仿宋" w:eastAsia="仿宋" w:cs="仿宋"/>
                <w:color w:val="auto"/>
                <w:sz w:val="24"/>
                <w:szCs w:val="24"/>
                <w:highlight w:val="none"/>
                <w:lang w:val="en-US" w:eastAsia="zh-CN"/>
              </w:rPr>
              <w:t>具有CISP-PTE国家重要信息系统人员培训证书、信息安全保障人员认证证书、</w:t>
            </w:r>
            <w:r>
              <w:rPr>
                <w:rFonts w:hint="default" w:ascii="仿宋" w:hAnsi="仿宋" w:eastAsia="仿宋" w:cs="仿宋"/>
                <w:color w:val="auto"/>
                <w:sz w:val="24"/>
                <w:szCs w:val="24"/>
                <w:highlight w:val="none"/>
                <w:lang w:val="en-US" w:eastAsia="zh-CN"/>
              </w:rPr>
              <w:t>CIIP-A（云计算安全）</w:t>
            </w:r>
            <w:r>
              <w:rPr>
                <w:rFonts w:hint="eastAsia" w:ascii="仿宋" w:hAnsi="仿宋" w:eastAsia="仿宋" w:cs="仿宋"/>
                <w:color w:val="auto"/>
                <w:sz w:val="24"/>
                <w:szCs w:val="24"/>
                <w:highlight w:val="none"/>
                <w:lang w:val="en-US" w:eastAsia="zh-CN"/>
              </w:rPr>
              <w:t>证书、</w:t>
            </w:r>
            <w:r>
              <w:rPr>
                <w:rFonts w:hint="default" w:ascii="仿宋" w:hAnsi="仿宋" w:eastAsia="仿宋" w:cs="仿宋"/>
                <w:color w:val="auto"/>
                <w:sz w:val="24"/>
                <w:szCs w:val="24"/>
                <w:highlight w:val="none"/>
                <w:lang w:val="en-US" w:eastAsia="zh-CN"/>
              </w:rPr>
              <w:t>数据安全评估师</w:t>
            </w:r>
            <w:r>
              <w:rPr>
                <w:rFonts w:hint="eastAsia" w:ascii="仿宋" w:hAnsi="仿宋" w:eastAsia="仿宋" w:cs="仿宋"/>
                <w:color w:val="auto"/>
                <w:sz w:val="24"/>
                <w:szCs w:val="24"/>
                <w:highlight w:val="none"/>
                <w:lang w:val="en-US" w:eastAsia="zh-CN"/>
              </w:rPr>
              <w:t>证书，每提供其中任意一项得1分</w:t>
            </w:r>
            <w:r>
              <w:rPr>
                <w:rFonts w:hint="default" w:ascii="仿宋" w:hAnsi="仿宋" w:eastAsia="仿宋" w:cs="仿宋"/>
                <w:color w:val="auto"/>
                <w:sz w:val="24"/>
                <w:szCs w:val="24"/>
                <w:highlight w:val="none"/>
                <w:lang w:val="en-US" w:eastAsia="zh-CN"/>
              </w:rPr>
              <w:t>（1人多证不重复计分）</w:t>
            </w:r>
            <w:r>
              <w:rPr>
                <w:rFonts w:hint="eastAsia" w:ascii="仿宋" w:hAnsi="仿宋" w:eastAsia="仿宋" w:cs="仿宋"/>
                <w:color w:val="auto"/>
                <w:sz w:val="24"/>
                <w:szCs w:val="24"/>
                <w:highlight w:val="none"/>
                <w:lang w:val="en-US" w:eastAsia="zh-CN"/>
              </w:rPr>
              <w:t>，最高得4分；</w:t>
            </w:r>
          </w:p>
          <w:p w14:paraId="0D887DF1">
            <w:pPr>
              <w:keepNext w:val="0"/>
              <w:keepLines w:val="0"/>
              <w:pageBreakBefore w:val="0"/>
              <w:numPr>
                <w:ilvl w:val="0"/>
                <w:numId w:val="0"/>
              </w:numPr>
              <w:kinsoku/>
              <w:wordWrap/>
              <w:overflowPunct/>
              <w:topLinePunct w:val="0"/>
              <w:bidi w:val="0"/>
              <w:adjustRightInd/>
              <w:snapToGrid/>
              <w:spacing w:line="360" w:lineRule="auto"/>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人员不重复计分。提供投标单位与其签订的有效劳动合同或近一个月社保缴纳证明和相关人员相应的证书证明材料复印件加盖公章，否则不得分;如属于退休返聘人员，则须提供人员的退休证及与投标人单位的劳动合同(或返聘协议或同类的合同/协议) 证明。</w:t>
            </w:r>
          </w:p>
        </w:tc>
        <w:tc>
          <w:tcPr>
            <w:tcW w:w="741" w:type="dxa"/>
            <w:vAlign w:val="center"/>
          </w:tcPr>
          <w:p w14:paraId="066D7AE7">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bookmarkEnd w:id="65"/>
      <w:tr w14:paraId="5177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051" w:type="dxa"/>
            <w:vMerge w:val="continue"/>
            <w:vAlign w:val="center"/>
          </w:tcPr>
          <w:p w14:paraId="47F33AB7">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53B3C40C">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项目需求分析</w:t>
            </w:r>
          </w:p>
          <w:p w14:paraId="377670FA">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z w:val="24"/>
                <w:szCs w:val="24"/>
                <w:highlight w:val="none"/>
                <w:lang w:eastAsia="zh-CN"/>
              </w:rPr>
            </w:pPr>
          </w:p>
        </w:tc>
        <w:tc>
          <w:tcPr>
            <w:tcW w:w="5665" w:type="dxa"/>
            <w:vAlign w:val="center"/>
          </w:tcPr>
          <w:p w14:paraId="097755B9">
            <w:pPr>
              <w:keepNext w:val="0"/>
              <w:keepLines w:val="0"/>
              <w:pageBreakBefore w:val="0"/>
              <w:numPr>
                <w:ilvl w:val="0"/>
                <w:numId w:val="0"/>
              </w:numPr>
              <w:kinsoku/>
              <w:wordWrap/>
              <w:overflowPunct/>
              <w:topLinePunct w:val="0"/>
              <w:bidi w:val="0"/>
              <w:adjustRightInd/>
              <w:snapToGrid/>
              <w:spacing w:line="360" w:lineRule="auto"/>
              <w:ind w:left="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针对本项目采购需求，对项目背景、工作目标、工作任务、工作内容等进行描述，理解充分，表达清晰，符合采购人实际情况得4分，每有一项缺项或漏项扣1分，</w:t>
            </w:r>
            <w:r>
              <w:rPr>
                <w:rFonts w:hint="eastAsia" w:ascii="仿宋" w:hAnsi="仿宋" w:eastAsia="仿宋" w:cs="仿宋"/>
                <w:color w:val="auto"/>
                <w:sz w:val="24"/>
                <w:szCs w:val="24"/>
                <w:highlight w:val="none"/>
              </w:rPr>
              <w:t>每有一处缺陷扣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p w14:paraId="45F0567B">
            <w:pPr>
              <w:keepNext w:val="0"/>
              <w:keepLines w:val="0"/>
              <w:pageBreakBefore w:val="0"/>
              <w:numPr>
                <w:ilvl w:val="0"/>
                <w:numId w:val="0"/>
              </w:numPr>
              <w:kinsoku/>
              <w:wordWrap/>
              <w:overflowPunct/>
              <w:topLinePunct w:val="0"/>
              <w:bidi w:val="0"/>
              <w:adjustRightInd/>
              <w:snapToGrid/>
              <w:spacing w:line="360" w:lineRule="auto"/>
              <w:ind w:left="0" w:right="0" w:rightChars="0"/>
              <w:jc w:val="both"/>
              <w:rPr>
                <w:rFonts w:hint="eastAsia"/>
                <w:color w:val="auto"/>
                <w:highlight w:val="none"/>
                <w:lang w:eastAsia="zh-CN"/>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w:t>
            </w:r>
            <w:r>
              <w:rPr>
                <w:rFonts w:hint="eastAsia" w:ascii="仿宋" w:hAnsi="仿宋" w:eastAsia="仿宋" w:cs="仿宋"/>
                <w:color w:val="auto"/>
                <w:sz w:val="24"/>
                <w:szCs w:val="24"/>
                <w:highlight w:val="none"/>
                <w:lang w:eastAsia="zh-CN"/>
              </w:rPr>
              <w:t>不详细</w:t>
            </w:r>
            <w:r>
              <w:rPr>
                <w:rFonts w:hint="eastAsia" w:ascii="仿宋" w:hAnsi="仿宋" w:eastAsia="仿宋" w:cs="仿宋"/>
                <w:color w:val="auto"/>
                <w:sz w:val="24"/>
                <w:szCs w:val="24"/>
                <w:highlight w:val="none"/>
              </w:rPr>
              <w:t>或与本项目无关等任意一种情形等，后续评审项缺陷定义同此项）</w:t>
            </w:r>
          </w:p>
        </w:tc>
        <w:tc>
          <w:tcPr>
            <w:tcW w:w="741" w:type="dxa"/>
            <w:vAlign w:val="center"/>
          </w:tcPr>
          <w:p w14:paraId="2BC834EB">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00E1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051" w:type="dxa"/>
            <w:vMerge w:val="continue"/>
            <w:vAlign w:val="center"/>
          </w:tcPr>
          <w:p w14:paraId="46D6DAB4">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33BF8644">
            <w:pPr>
              <w:keepNext w:val="0"/>
              <w:keepLines w:val="0"/>
              <w:pageBreakBefore w:val="0"/>
              <w:numPr>
                <w:ilvl w:val="0"/>
                <w:numId w:val="0"/>
              </w:numPr>
              <w:kinsoku/>
              <w:wordWrap/>
              <w:overflowPunct/>
              <w:topLinePunct w:val="0"/>
              <w:bidi w:val="0"/>
              <w:adjustRightInd/>
              <w:snapToGrid/>
              <w:spacing w:line="360" w:lineRule="auto"/>
              <w:ind w:left="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等保测评方案</w:t>
            </w:r>
          </w:p>
        </w:tc>
        <w:tc>
          <w:tcPr>
            <w:tcW w:w="5665" w:type="dxa"/>
            <w:vAlign w:val="center"/>
          </w:tcPr>
          <w:p w14:paraId="52D7C4D4">
            <w:pPr>
              <w:keepNext w:val="0"/>
              <w:keepLines w:val="0"/>
              <w:pageBreakBefore w:val="0"/>
              <w:numPr>
                <w:ilvl w:val="0"/>
                <w:numId w:val="0"/>
              </w:numPr>
              <w:kinsoku/>
              <w:wordWrap/>
              <w:overflowPunct/>
              <w:topLinePunct w:val="0"/>
              <w:bidi w:val="0"/>
              <w:adjustRightInd/>
              <w:snapToGrid/>
              <w:spacing w:line="360" w:lineRule="auto"/>
              <w:ind w:left="0" w:right="0" w:righ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方案内容</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lang w:val="en-US" w:eastAsia="zh-CN"/>
              </w:rPr>
              <w:t>项目范围、测评内容、项目流程、测评指标、报告编制步骤说明、测评步骤；符合采购人实际情况得6分，每有一项缺项或漏项扣1分，</w:t>
            </w:r>
            <w:r>
              <w:rPr>
                <w:rFonts w:hint="eastAsia" w:ascii="仿宋" w:hAnsi="仿宋" w:eastAsia="仿宋" w:cs="仿宋"/>
                <w:color w:val="auto"/>
                <w:sz w:val="24"/>
                <w:szCs w:val="24"/>
                <w:highlight w:val="none"/>
                <w:lang w:eastAsia="zh-CN"/>
              </w:rPr>
              <w:t>每有一处缺陷扣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分，扣完为止。</w:t>
            </w:r>
          </w:p>
        </w:tc>
        <w:tc>
          <w:tcPr>
            <w:tcW w:w="741" w:type="dxa"/>
            <w:vAlign w:val="center"/>
          </w:tcPr>
          <w:p w14:paraId="485C356C">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14:paraId="32F1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051" w:type="dxa"/>
            <w:vMerge w:val="continue"/>
            <w:vAlign w:val="center"/>
          </w:tcPr>
          <w:p w14:paraId="7A4A4A55">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25DB33FE">
            <w:pPr>
              <w:keepNext w:val="0"/>
              <w:keepLines w:val="0"/>
              <w:pageBreakBefore w:val="0"/>
              <w:numPr>
                <w:ilvl w:val="0"/>
                <w:numId w:val="0"/>
              </w:numPr>
              <w:kinsoku/>
              <w:wordWrap/>
              <w:overflowPunct/>
              <w:topLinePunct w:val="0"/>
              <w:bidi w:val="0"/>
              <w:adjustRightInd/>
              <w:snapToGrid/>
              <w:spacing w:line="360" w:lineRule="auto"/>
              <w:ind w:left="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测评风险管理方案</w:t>
            </w:r>
          </w:p>
        </w:tc>
        <w:tc>
          <w:tcPr>
            <w:tcW w:w="5665" w:type="dxa"/>
            <w:vAlign w:val="center"/>
          </w:tcPr>
          <w:p w14:paraId="19832B0C">
            <w:pPr>
              <w:keepNext w:val="0"/>
              <w:keepLines w:val="0"/>
              <w:pageBreakBefore w:val="0"/>
              <w:numPr>
                <w:ilvl w:val="0"/>
                <w:numId w:val="0"/>
              </w:numPr>
              <w:kinsoku/>
              <w:wordWrap/>
              <w:overflowPunct/>
              <w:topLinePunct w:val="0"/>
              <w:bidi w:val="0"/>
              <w:adjustRightInd/>
              <w:snapToGrid/>
              <w:spacing w:line="360" w:lineRule="auto"/>
              <w:ind w:left="0" w:right="0" w:righ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方案内容包括但不限于：风险识别措施、风险分析措施、风险处置策略、风险监控策略、专门针对本项目可能发生的风险以及相应的应对措施。符合采购人实际情况得5分，每有一项缺项或漏项扣1分，每有一处缺陷扣0.5分，扣完为止。</w:t>
            </w:r>
          </w:p>
        </w:tc>
        <w:tc>
          <w:tcPr>
            <w:tcW w:w="741" w:type="dxa"/>
            <w:vAlign w:val="center"/>
          </w:tcPr>
          <w:p w14:paraId="00825F89">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C64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051" w:type="dxa"/>
            <w:vMerge w:val="continue"/>
            <w:vAlign w:val="center"/>
          </w:tcPr>
          <w:p w14:paraId="7949F40F">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32E2A657">
            <w:pPr>
              <w:pStyle w:val="23"/>
              <w:widowControl/>
              <w:spacing w:beforeAutospacing="0" w:afterAutospacing="0" w:line="560" w:lineRule="exact"/>
              <w:jc w:val="center"/>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4"/>
                <w:highlight w:val="none"/>
              </w:rPr>
              <w:t>漏洞</w:t>
            </w:r>
            <w:r>
              <w:rPr>
                <w:rFonts w:hint="eastAsia" w:ascii="仿宋" w:hAnsi="仿宋" w:eastAsia="仿宋" w:cs="仿宋"/>
                <w:color w:val="auto"/>
                <w:sz w:val="24"/>
                <w:szCs w:val="24"/>
                <w:highlight w:val="none"/>
                <w:lang w:val="en-US" w:eastAsia="zh-CN"/>
              </w:rPr>
              <w:t>扫描和</w:t>
            </w:r>
            <w:r>
              <w:rPr>
                <w:rFonts w:hint="eastAsia" w:ascii="仿宋" w:hAnsi="仿宋" w:eastAsia="仿宋" w:cs="仿宋"/>
                <w:color w:val="auto"/>
                <w:sz w:val="24"/>
                <w:szCs w:val="24"/>
                <w:highlight w:val="none"/>
              </w:rPr>
              <w:t>渗透测试服务方案</w:t>
            </w:r>
          </w:p>
        </w:tc>
        <w:tc>
          <w:tcPr>
            <w:tcW w:w="5665" w:type="dxa"/>
            <w:vAlign w:val="center"/>
          </w:tcPr>
          <w:p w14:paraId="160B4FA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jc w:val="both"/>
              <w:textAlignment w:val="baseline"/>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2"/>
                <w:highlight w:val="none"/>
                <w:shd w:val="clear" w:color="000000" w:fill="auto"/>
                <w:lang w:val="en-US" w:eastAsia="zh-CN" w:bidi="ar-SA"/>
              </w:rPr>
              <w:t>漏洞扫描和渗透测试服务方案包括但不限于：①安全服务目标、②服务内容、③服务流程、④服务的交付物；符合采购人实际情况得8分，每有一项缺项或漏项扣2分，每有一处缺陷扣1分，扣完为止。</w:t>
            </w:r>
          </w:p>
        </w:tc>
        <w:tc>
          <w:tcPr>
            <w:tcW w:w="741" w:type="dxa"/>
            <w:vAlign w:val="center"/>
          </w:tcPr>
          <w:p w14:paraId="1DC4B468">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16F25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51" w:type="dxa"/>
            <w:vMerge w:val="continue"/>
            <w:vAlign w:val="center"/>
          </w:tcPr>
          <w:p w14:paraId="4905EE8E">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08BA7BBB">
            <w:pPr>
              <w:pStyle w:val="23"/>
              <w:widowControl/>
              <w:spacing w:beforeAutospacing="0" w:afterAutospacing="0" w:line="560" w:lineRule="exact"/>
              <w:jc w:val="center"/>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2"/>
                <w:highlight w:val="none"/>
                <w:shd w:val="clear" w:color="000000" w:fill="auto"/>
                <w:lang w:val="en-US" w:eastAsia="zh-CN" w:bidi="ar-SA"/>
              </w:rPr>
              <w:t>检测工具要求</w:t>
            </w:r>
          </w:p>
        </w:tc>
        <w:tc>
          <w:tcPr>
            <w:tcW w:w="5665" w:type="dxa"/>
            <w:vAlign w:val="center"/>
          </w:tcPr>
          <w:p w14:paraId="7FA52D8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jc w:val="both"/>
              <w:textAlignment w:val="baseline"/>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2"/>
                <w:highlight w:val="none"/>
                <w:shd w:val="clear" w:color="000000" w:fill="auto"/>
                <w:lang w:val="en-US" w:eastAsia="zh-CN" w:bidi="ar-SA"/>
              </w:rPr>
              <w:t>测试工具设备包括但不限于：使用各种主流测评工具或自主开发的内部测试工具，参考相应安全性能指标标准进行安全检查；模拟黑客攻击、明文传输、用户枚举、弱口令、越权访问、SQL注入、网络及安全设备配置检查、数据库安全检查、系统漏洞检查等；满足一项得1分，最多得9分。</w:t>
            </w:r>
          </w:p>
          <w:p w14:paraId="29364F3E">
            <w:pPr>
              <w:pStyle w:val="11"/>
              <w:rPr>
                <w:rFonts w:hint="eastAsia"/>
                <w:color w:val="auto"/>
                <w:highlight w:val="none"/>
                <w:lang w:val="en-US" w:eastAsia="zh-CN"/>
              </w:rPr>
            </w:pPr>
            <w:r>
              <w:rPr>
                <w:rFonts w:hint="eastAsia" w:ascii="仿宋" w:hAnsi="仿宋" w:eastAsia="仿宋" w:cs="仿宋"/>
                <w:color w:val="auto"/>
                <w:sz w:val="24"/>
                <w:szCs w:val="22"/>
                <w:highlight w:val="none"/>
                <w:shd w:val="clear" w:color="000000" w:fill="auto"/>
                <w:lang w:val="en-US" w:eastAsia="zh-CN" w:bidi="ar-SA"/>
              </w:rPr>
              <w:t>以上工具需提供设备功能截图。</w:t>
            </w:r>
          </w:p>
        </w:tc>
        <w:tc>
          <w:tcPr>
            <w:tcW w:w="741" w:type="dxa"/>
            <w:vAlign w:val="center"/>
          </w:tcPr>
          <w:p w14:paraId="41170DB5">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7DC28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051" w:type="dxa"/>
            <w:vMerge w:val="continue"/>
            <w:vAlign w:val="center"/>
          </w:tcPr>
          <w:p w14:paraId="68AB79BE">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3C41CD68">
            <w:pPr>
              <w:pStyle w:val="23"/>
              <w:widowControl/>
              <w:spacing w:beforeAutospacing="0" w:afterAutospacing="0" w:line="560" w:lineRule="exact"/>
              <w:jc w:val="center"/>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2"/>
                <w:highlight w:val="none"/>
                <w:shd w:val="clear" w:color="000000" w:fill="auto"/>
                <w:lang w:val="en-US" w:eastAsia="zh-CN" w:bidi="ar-SA"/>
              </w:rPr>
              <w:t>安全培训方案</w:t>
            </w:r>
          </w:p>
        </w:tc>
        <w:tc>
          <w:tcPr>
            <w:tcW w:w="5665" w:type="dxa"/>
            <w:vAlign w:val="center"/>
          </w:tcPr>
          <w:p w14:paraId="731CB5D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jc w:val="both"/>
              <w:textAlignment w:val="baseline"/>
              <w:rPr>
                <w:rFonts w:hint="eastAsia" w:ascii="仿宋" w:hAnsi="仿宋" w:eastAsia="仿宋" w:cs="仿宋"/>
                <w:color w:val="auto"/>
                <w:sz w:val="24"/>
                <w:szCs w:val="22"/>
                <w:highlight w:val="none"/>
                <w:shd w:val="clear" w:color="000000" w:fill="auto"/>
                <w:lang w:val="en-US" w:eastAsia="zh-CN" w:bidi="ar-SA"/>
              </w:rPr>
            </w:pPr>
            <w:r>
              <w:rPr>
                <w:rFonts w:hint="eastAsia" w:ascii="仿宋" w:hAnsi="仿宋" w:eastAsia="仿宋" w:cs="仿宋"/>
                <w:color w:val="auto"/>
                <w:sz w:val="24"/>
                <w:szCs w:val="22"/>
                <w:highlight w:val="none"/>
                <w:shd w:val="clear" w:color="000000" w:fill="auto"/>
                <w:lang w:val="en-US" w:eastAsia="zh-CN" w:bidi="ar-SA"/>
              </w:rPr>
              <w:t>包括但不限于：安全意识教育、网络安全等级保护政策文件、网络安全法律法规和标准、网络安全架构知识、网络安全风险知识；内容详细完整符合采购人实际情况得5分，每有一项缺项或漏项扣1分，每有一处缺陷扣0.5分，扣完为止。</w:t>
            </w:r>
          </w:p>
        </w:tc>
        <w:tc>
          <w:tcPr>
            <w:tcW w:w="741" w:type="dxa"/>
            <w:vAlign w:val="center"/>
          </w:tcPr>
          <w:p w14:paraId="51E1DBDC">
            <w:pPr>
              <w:pStyle w:val="58"/>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C8C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051" w:type="dxa"/>
            <w:vMerge w:val="continue"/>
            <w:vAlign w:val="center"/>
          </w:tcPr>
          <w:p w14:paraId="64258B28">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1FF3B07A">
            <w:pPr>
              <w:keepNext w:val="0"/>
              <w:keepLines w:val="0"/>
              <w:pageBreakBefore w:val="0"/>
              <w:kinsoku/>
              <w:wordWrap/>
              <w:overflowPunct/>
              <w:topLinePunct w:val="0"/>
              <w:bidi w:val="0"/>
              <w:adjustRightInd/>
              <w:snapToGrid/>
              <w:spacing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5665" w:type="dxa"/>
            <w:vAlign w:val="center"/>
          </w:tcPr>
          <w:p w14:paraId="495B4D29">
            <w:pPr>
              <w:keepNext w:val="0"/>
              <w:keepLines w:val="0"/>
              <w:pageBreakBefore w:val="0"/>
              <w:kinsoku/>
              <w:wordWrap/>
              <w:overflowPunct/>
              <w:topLinePunct w:val="0"/>
              <w:bidi w:val="0"/>
              <w:adjustRightInd/>
              <w:snapToGrid/>
              <w:spacing w:line="360" w:lineRule="auto"/>
              <w:ind w:left="0" w:right="0"/>
              <w:jc w:val="both"/>
              <w:rPr>
                <w:rFonts w:hint="eastAsia" w:ascii="仿宋" w:hAnsi="仿宋" w:eastAsia="仿宋" w:cs="仿宋"/>
                <w:color w:val="auto"/>
                <w:sz w:val="24"/>
                <w:highlight w:val="none"/>
                <w:shd w:val="clear" w:color="000000" w:fill="auto"/>
                <w:lang w:val="en-US" w:eastAsia="zh-CN"/>
              </w:rPr>
            </w:pPr>
            <w:r>
              <w:rPr>
                <w:rFonts w:hint="eastAsia" w:ascii="仿宋" w:hAnsi="仿宋" w:eastAsia="仿宋" w:cs="仿宋"/>
                <w:color w:val="auto"/>
                <w:sz w:val="24"/>
                <w:highlight w:val="none"/>
                <w:shd w:val="clear" w:color="000000" w:fill="auto"/>
                <w:lang w:val="en-US" w:eastAsia="zh-CN"/>
              </w:rPr>
              <w:t>包括但不限于：具有完善的内控体系、风险管控措施、安全网络保证、协助采购人进行整改的具体措施等；内容详细完整符合采购人实际情况得8分，每有一项缺项或漏项扣2分，每有一处缺陷扣1分，扣完为止。</w:t>
            </w:r>
          </w:p>
        </w:tc>
        <w:tc>
          <w:tcPr>
            <w:tcW w:w="741" w:type="dxa"/>
            <w:vAlign w:val="center"/>
          </w:tcPr>
          <w:p w14:paraId="46F712E9">
            <w:pPr>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7387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051" w:type="dxa"/>
            <w:vMerge w:val="continue"/>
            <w:vAlign w:val="center"/>
          </w:tcPr>
          <w:p w14:paraId="78B2B8D3">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29031683">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保密措施</w:t>
            </w:r>
          </w:p>
        </w:tc>
        <w:tc>
          <w:tcPr>
            <w:tcW w:w="5665" w:type="dxa"/>
            <w:vAlign w:val="center"/>
          </w:tcPr>
          <w:p w14:paraId="5D5996DA">
            <w:pPr>
              <w:keepNext w:val="0"/>
              <w:keepLines w:val="0"/>
              <w:pageBreakBefore w:val="0"/>
              <w:kinsoku/>
              <w:wordWrap/>
              <w:overflowPunct/>
              <w:topLinePunct w:val="0"/>
              <w:bidi w:val="0"/>
              <w:adjustRightInd/>
              <w:snapToGrid/>
              <w:spacing w:line="360" w:lineRule="auto"/>
              <w:ind w:left="0" w:right="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shd w:val="clear" w:color="000000" w:fill="auto"/>
                <w:lang w:val="en-US" w:eastAsia="zh-CN"/>
              </w:rPr>
              <w:t>根据项目制定保密管理制度、明确保密责任、制定数据和设备安全管理措施，内容详细完整满足采购人实际需求得4分，每有一项缺项或漏项扣1分，每有一处缺陷扣0.5分，扣完为止。</w:t>
            </w:r>
          </w:p>
        </w:tc>
        <w:tc>
          <w:tcPr>
            <w:tcW w:w="741" w:type="dxa"/>
            <w:vAlign w:val="center"/>
          </w:tcPr>
          <w:p w14:paraId="36E5058C">
            <w:pPr>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CC9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581B8644">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3A8AFBCD">
            <w:pPr>
              <w:keepNext w:val="0"/>
              <w:keepLines w:val="0"/>
              <w:pageBreakBefore w:val="0"/>
              <w:widowControl w:val="0"/>
              <w:kinsoku/>
              <w:wordWrap/>
              <w:overflowPunct/>
              <w:topLinePunct w:val="0"/>
              <w:bidi w:val="0"/>
              <w:adjustRightInd/>
              <w:snapToGrid/>
              <w:spacing w:line="360" w:lineRule="auto"/>
              <w:ind w:left="0" w:right="0"/>
              <w:jc w:val="center"/>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w:t>
            </w:r>
          </w:p>
        </w:tc>
        <w:tc>
          <w:tcPr>
            <w:tcW w:w="5665" w:type="dxa"/>
            <w:vAlign w:val="center"/>
          </w:tcPr>
          <w:p w14:paraId="612BCEFB">
            <w:pPr>
              <w:keepNext w:val="0"/>
              <w:keepLines w:val="0"/>
              <w:pageBreakBefore w:val="0"/>
              <w:kinsoku/>
              <w:wordWrap/>
              <w:overflowPunct/>
              <w:topLinePunct w:val="0"/>
              <w:bidi w:val="0"/>
              <w:adjustRightInd/>
              <w:snapToGrid/>
              <w:spacing w:line="360" w:lineRule="auto"/>
              <w:ind w:left="0" w:right="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售后服务方案内容包括但不限于：售后时间、支持服务、培训组织、应急保障，满足采购需求的得4分，每有一项缺项或漏项扣1分，每有一处缺陷扣0.5分，扣完为止。</w:t>
            </w:r>
          </w:p>
        </w:tc>
        <w:tc>
          <w:tcPr>
            <w:tcW w:w="741" w:type="dxa"/>
            <w:vAlign w:val="center"/>
          </w:tcPr>
          <w:p w14:paraId="798A8AA1">
            <w:pPr>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CCC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1" w:type="dxa"/>
            <w:vMerge w:val="continue"/>
            <w:vAlign w:val="center"/>
          </w:tcPr>
          <w:p w14:paraId="6E9EEC63">
            <w:pPr>
              <w:keepNext w:val="0"/>
              <w:keepLines w:val="0"/>
              <w:pageBreakBefore w:val="0"/>
              <w:kinsoku/>
              <w:wordWrap/>
              <w:overflowPunct/>
              <w:topLinePunct w:val="0"/>
              <w:bidi w:val="0"/>
              <w:adjustRightInd/>
              <w:snapToGrid/>
              <w:spacing w:line="360" w:lineRule="auto"/>
              <w:ind w:left="0" w:right="0"/>
              <w:jc w:val="center"/>
              <w:rPr>
                <w:rFonts w:ascii="仿宋" w:hAnsi="仿宋" w:eastAsia="仿宋" w:cs="仿宋"/>
                <w:color w:val="auto"/>
                <w:sz w:val="24"/>
                <w:szCs w:val="24"/>
                <w:highlight w:val="none"/>
              </w:rPr>
            </w:pPr>
          </w:p>
        </w:tc>
        <w:tc>
          <w:tcPr>
            <w:tcW w:w="1836" w:type="dxa"/>
            <w:vAlign w:val="center"/>
          </w:tcPr>
          <w:p w14:paraId="0413BF96">
            <w:pPr>
              <w:keepNext w:val="0"/>
              <w:keepLines w:val="0"/>
              <w:pageBreakBefore w:val="0"/>
              <w:widowControl w:val="0"/>
              <w:kinsoku/>
              <w:wordWrap/>
              <w:overflowPunct/>
              <w:topLinePunct w:val="0"/>
              <w:bidi w:val="0"/>
              <w:adjustRightInd/>
              <w:snapToGrid/>
              <w:spacing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服务承诺</w:t>
            </w:r>
          </w:p>
        </w:tc>
        <w:tc>
          <w:tcPr>
            <w:tcW w:w="5665" w:type="dxa"/>
            <w:vAlign w:val="center"/>
          </w:tcPr>
          <w:p w14:paraId="4E61B996">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eastAsia="zh-CN"/>
              </w:rPr>
              <w:t>供应商承诺固网期间（2周时间）派一名</w:t>
            </w:r>
            <w:r>
              <w:rPr>
                <w:rFonts w:hint="eastAsia" w:ascii="仿宋" w:hAnsi="仿宋" w:eastAsia="仿宋" w:cs="仿宋"/>
                <w:bCs/>
                <w:color w:val="auto"/>
                <w:sz w:val="24"/>
                <w:szCs w:val="24"/>
                <w:highlight w:val="none"/>
              </w:rPr>
              <w:t>稳定</w:t>
            </w:r>
            <w:r>
              <w:rPr>
                <w:rFonts w:hint="eastAsia" w:ascii="仿宋" w:hAnsi="仿宋" w:eastAsia="仿宋" w:cs="仿宋"/>
                <w:color w:val="auto"/>
                <w:sz w:val="24"/>
                <w:szCs w:val="24"/>
                <w:highlight w:val="none"/>
                <w:lang w:val="en-US" w:eastAsia="zh-CN"/>
              </w:rPr>
              <w:t>中级及以上信息安全等级测评师工程师现场协助开展网络安全自查及加固工作。提供承诺书得3分，未提供不得分。</w:t>
            </w:r>
          </w:p>
          <w:p w14:paraId="1405573B">
            <w:pPr>
              <w:keepNext w:val="0"/>
              <w:keepLines w:val="0"/>
              <w:pageBreakBefore w:val="0"/>
              <w:numPr>
                <w:ilvl w:val="0"/>
                <w:numId w:val="0"/>
              </w:numPr>
              <w:kinsoku/>
              <w:wordWrap/>
              <w:overflowPunct/>
              <w:topLinePunct w:val="0"/>
              <w:bidi w:val="0"/>
              <w:adjustRightInd/>
              <w:snapToGrid/>
              <w:spacing w:line="360" w:lineRule="auto"/>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承诺提供至少6个月的售后服务（自验收之日算起），服务期间采购人遇安全时间或需要现场技术支撑时，供应商服务人员需在30分钟以内电话响应并在4小时内安排不少于1名服务工程师到达现场处理。提供承诺书得3分，未提供不得分。</w:t>
            </w:r>
          </w:p>
        </w:tc>
        <w:tc>
          <w:tcPr>
            <w:tcW w:w="741" w:type="dxa"/>
            <w:vAlign w:val="center"/>
          </w:tcPr>
          <w:p w14:paraId="0E5A31A2">
            <w:pPr>
              <w:keepNext w:val="0"/>
              <w:keepLines w:val="0"/>
              <w:pageBreakBefore w:val="0"/>
              <w:kinsoku/>
              <w:wordWrap/>
              <w:overflowPunct/>
              <w:topLinePunct w:val="0"/>
              <w:bidi w:val="0"/>
              <w:adjustRightInd/>
              <w:snapToGrid/>
              <w:spacing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bl>
    <w:p w14:paraId="0BEF8C64">
      <w:pPr>
        <w:keepNext w:val="0"/>
        <w:keepLines w:val="0"/>
        <w:pageBreakBefore w:val="0"/>
        <w:shd w:val="clear"/>
        <w:kinsoku/>
        <w:wordWrap/>
        <w:overflowPunct/>
        <w:topLinePunct w:val="0"/>
        <w:bidi w:val="0"/>
        <w:spacing w:line="579" w:lineRule="exact"/>
        <w:ind w:firstLine="480" w:firstLineChars="200"/>
        <w:outlineLvl w:val="9"/>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说明：评标过程</w:t>
      </w:r>
      <w:r>
        <w:rPr>
          <w:rStyle w:val="35"/>
          <w:rFonts w:hint="eastAsia" w:ascii="仿宋" w:hAnsi="仿宋" w:eastAsia="仿宋" w:cs="仿宋"/>
          <w:color w:val="auto"/>
          <w:sz w:val="24"/>
          <w:szCs w:val="24"/>
          <w:highlight w:val="none"/>
          <w:lang w:val="en-US" w:eastAsia="zh-CN"/>
        </w:rPr>
        <w:t>中</w:t>
      </w:r>
      <w:r>
        <w:rPr>
          <w:rStyle w:val="35"/>
          <w:rFonts w:hint="eastAsia" w:ascii="仿宋" w:hAnsi="仿宋" w:eastAsia="仿宋" w:cs="仿宋"/>
          <w:color w:val="auto"/>
          <w:sz w:val="24"/>
          <w:szCs w:val="24"/>
          <w:highlight w:val="none"/>
          <w:lang w:eastAsia="zh-CN"/>
        </w:rPr>
        <w:t>，不得去掉报价中的最高报价和最低报价，且最低报价不是中标的唯一依据。</w:t>
      </w:r>
    </w:p>
    <w:p w14:paraId="02B9D2F7">
      <w:pPr>
        <w:rPr>
          <w:rStyle w:val="35"/>
          <w:rFonts w:hint="eastAsia" w:ascii="仿宋" w:hAnsi="仿宋" w:eastAsia="仿宋" w:cs="仿宋"/>
          <w:color w:val="auto"/>
          <w:w w:val="95"/>
          <w:highlight w:val="none"/>
        </w:rPr>
      </w:pPr>
      <w:r>
        <w:rPr>
          <w:rStyle w:val="35"/>
          <w:rFonts w:hint="eastAsia" w:ascii="仿宋" w:hAnsi="仿宋" w:eastAsia="仿宋" w:cs="仿宋"/>
          <w:color w:val="auto"/>
          <w:w w:val="95"/>
          <w:highlight w:val="none"/>
        </w:rPr>
        <w:br w:type="page"/>
      </w:r>
    </w:p>
    <w:p w14:paraId="0C9730E1">
      <w:pPr>
        <w:pStyle w:val="45"/>
        <w:keepNext w:val="0"/>
        <w:keepLines w:val="0"/>
        <w:pageBreakBefore w:val="0"/>
        <w:shd w:val="clear"/>
        <w:kinsoku/>
        <w:wordWrap/>
        <w:overflowPunct/>
        <w:topLinePunct w:val="0"/>
        <w:bidi w:val="0"/>
        <w:spacing w:before="0" w:line="579" w:lineRule="exact"/>
        <w:ind w:left="0" w:firstLine="458" w:firstLineChars="200"/>
        <w:rPr>
          <w:rStyle w:val="35"/>
          <w:rFonts w:ascii="仿宋" w:hAnsi="仿宋" w:eastAsia="仿宋" w:cs="仿宋"/>
          <w:color w:val="auto"/>
          <w:highlight w:val="none"/>
        </w:rPr>
      </w:pPr>
      <w:r>
        <w:rPr>
          <w:rStyle w:val="35"/>
          <w:rFonts w:hint="eastAsia" w:ascii="仿宋" w:hAnsi="仿宋" w:eastAsia="仿宋" w:cs="仿宋"/>
          <w:color w:val="auto"/>
          <w:w w:val="95"/>
          <w:highlight w:val="none"/>
        </w:rPr>
        <w:t>30．定标原则</w:t>
      </w:r>
    </w:p>
    <w:p w14:paraId="2A7FCEBD">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14:paraId="6888C97D">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1E2EACFF">
      <w:pPr>
        <w:keepNext w:val="0"/>
        <w:keepLines w:val="0"/>
        <w:pageBreakBefore w:val="0"/>
        <w:shd w:val="clear"/>
        <w:kinsoku/>
        <w:wordWrap/>
        <w:overflowPunct/>
        <w:topLinePunct w:val="0"/>
        <w:bidi w:val="0"/>
        <w:spacing w:line="579" w:lineRule="exac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14:paraId="03F3AC83">
      <w:pPr>
        <w:shd w:val="clear"/>
        <w:spacing w:line="579" w:lineRule="exact"/>
        <w:ind w:left="3453" w:right="3385"/>
        <w:jc w:val="both"/>
        <w:outlineLvl w:val="1"/>
        <w:rPr>
          <w:rStyle w:val="35"/>
          <w:rFonts w:ascii="仿宋" w:hAnsi="仿宋" w:eastAsia="仿宋" w:cs="仿宋"/>
          <w:color w:val="auto"/>
          <w:sz w:val="28"/>
          <w:szCs w:val="28"/>
          <w:highlight w:val="none"/>
          <w:lang w:eastAsia="zh-CN"/>
        </w:rPr>
      </w:pPr>
      <w:bookmarkStart w:id="66" w:name="_Toc752"/>
      <w:bookmarkStart w:id="67" w:name="_Toc8567"/>
      <w:bookmarkStart w:id="68" w:name="_Toc6624"/>
      <w:bookmarkStart w:id="69" w:name="_Toc19739"/>
      <w:bookmarkStart w:id="70" w:name="_Toc15580"/>
      <w:bookmarkStart w:id="71" w:name="_Toc6244"/>
      <w:r>
        <w:rPr>
          <w:rStyle w:val="35"/>
          <w:rFonts w:hint="eastAsia" w:ascii="仿宋" w:hAnsi="仿宋" w:eastAsia="仿宋" w:cs="仿宋"/>
          <w:b/>
          <w:color w:val="auto"/>
          <w:sz w:val="28"/>
          <w:szCs w:val="28"/>
          <w:highlight w:val="none"/>
          <w:lang w:eastAsia="zh-CN"/>
        </w:rPr>
        <w:t>第七章 授予合同</w:t>
      </w:r>
      <w:bookmarkEnd w:id="66"/>
      <w:bookmarkEnd w:id="67"/>
      <w:bookmarkEnd w:id="68"/>
      <w:bookmarkEnd w:id="69"/>
      <w:bookmarkEnd w:id="70"/>
      <w:bookmarkEnd w:id="71"/>
    </w:p>
    <w:p w14:paraId="17EF1977">
      <w:pPr>
        <w:shd w:val="clear"/>
        <w:snapToGrid w:val="0"/>
        <w:spacing w:before="124" w:line="579" w:lineRule="exac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31.合同授予标准</w:t>
      </w:r>
    </w:p>
    <w:p w14:paraId="13561935">
      <w:pPr>
        <w:pStyle w:val="47"/>
        <w:shd w:val="clear"/>
        <w:tabs>
          <w:tab w:val="left" w:pos="1213"/>
        </w:tabs>
        <w:snapToGrid w:val="0"/>
        <w:spacing w:before="124" w:line="579" w:lineRule="exac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31.1合同将授予被确定为实质上响应竞争性磋商文件要求，评标认为具备履行合</w:t>
      </w:r>
      <w:r>
        <w:rPr>
          <w:rStyle w:val="35"/>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40E1A42B">
      <w:pPr>
        <w:pStyle w:val="47"/>
        <w:shd w:val="clear"/>
        <w:tabs>
          <w:tab w:val="left" w:pos="1113"/>
        </w:tabs>
        <w:snapToGrid w:val="0"/>
        <w:spacing w:before="14"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31.2最低投标价不一定是被授予合同的保证。</w:t>
      </w:r>
    </w:p>
    <w:p w14:paraId="0D27A1B0">
      <w:pPr>
        <w:pStyle w:val="47"/>
        <w:shd w:val="clear"/>
        <w:tabs>
          <w:tab w:val="left" w:pos="1173"/>
        </w:tabs>
        <w:snapToGrid w:val="0"/>
        <w:spacing w:before="124" w:line="579" w:lineRule="exact"/>
        <w:ind w:left="0" w:right="231" w:firstLine="468"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35"/>
          <w:rFonts w:hint="eastAsia" w:ascii="仿宋" w:hAnsi="仿宋" w:eastAsia="仿宋" w:cs="仿宋"/>
          <w:color w:val="auto"/>
          <w:spacing w:val="-5"/>
          <w:sz w:val="24"/>
          <w:szCs w:val="24"/>
          <w:highlight w:val="none"/>
          <w:lang w:eastAsia="zh-CN"/>
        </w:rPr>
        <w:t>供应商资格做出类似的审查。</w:t>
      </w:r>
    </w:p>
    <w:p w14:paraId="479F9937">
      <w:pPr>
        <w:pStyle w:val="45"/>
        <w:shd w:val="clear"/>
        <w:snapToGrid w:val="0"/>
        <w:spacing w:before="26"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32.接受和拒绝任何投标的权力</w:t>
      </w:r>
    </w:p>
    <w:p w14:paraId="25C64862">
      <w:pPr>
        <w:pStyle w:val="38"/>
        <w:shd w:val="clear"/>
        <w:snapToGrid w:val="0"/>
        <w:spacing w:before="125"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32.1为维护国家利益，采购人在授予合同之前仍有选择或拒绝任何投标的权力。</w:t>
      </w:r>
    </w:p>
    <w:p w14:paraId="235C113C">
      <w:pPr>
        <w:pStyle w:val="45"/>
        <w:shd w:val="clear"/>
        <w:snapToGrid w:val="0"/>
        <w:spacing w:before="127"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33.中标通知书</w:t>
      </w:r>
    </w:p>
    <w:p w14:paraId="5AB90A56">
      <w:pPr>
        <w:pStyle w:val="47"/>
        <w:shd w:val="clear"/>
        <w:tabs>
          <w:tab w:val="left" w:pos="1173"/>
        </w:tabs>
        <w:snapToGrid w:val="0"/>
        <w:spacing w:before="124" w:line="579" w:lineRule="exac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35"/>
          <w:rFonts w:hint="eastAsia" w:ascii="仿宋" w:hAnsi="仿宋" w:eastAsia="仿宋" w:cs="仿宋"/>
          <w:color w:val="auto"/>
          <w:spacing w:val="-5"/>
          <w:sz w:val="24"/>
          <w:szCs w:val="24"/>
          <w:highlight w:val="none"/>
          <w:lang w:eastAsia="zh-CN"/>
        </w:rPr>
        <w:t>知书》一经发出即发生法律效力。</w:t>
      </w:r>
    </w:p>
    <w:p w14:paraId="22AC1229">
      <w:pPr>
        <w:pStyle w:val="47"/>
        <w:shd w:val="clear"/>
        <w:tabs>
          <w:tab w:val="left" w:pos="1056"/>
        </w:tabs>
        <w:snapToGrid w:val="0"/>
        <w:spacing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33.2《中标通知书》将作为签订合同的依据。</w:t>
      </w:r>
    </w:p>
    <w:p w14:paraId="45CDD849">
      <w:pPr>
        <w:pStyle w:val="45"/>
        <w:shd w:val="clear"/>
        <w:snapToGrid w:val="0"/>
        <w:spacing w:before="124" w:line="579" w:lineRule="exac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34.履约担保</w:t>
      </w:r>
    </w:p>
    <w:p w14:paraId="61AA8AE1">
      <w:pPr>
        <w:pStyle w:val="47"/>
        <w:shd w:val="clear"/>
        <w:tabs>
          <w:tab w:val="left" w:pos="1113"/>
        </w:tabs>
        <w:snapToGrid w:val="0"/>
        <w:spacing w:before="124"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34.1履约保证金：详见供应商须知前附表。</w:t>
      </w:r>
    </w:p>
    <w:p w14:paraId="203B1321">
      <w:pPr>
        <w:pStyle w:val="47"/>
        <w:shd w:val="clear"/>
        <w:tabs>
          <w:tab w:val="left" w:pos="1113"/>
        </w:tabs>
        <w:snapToGrid w:val="0"/>
        <w:spacing w:before="127" w:line="579" w:lineRule="exac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34.2履约保证金在合同执行完毕后无息退还。</w:t>
      </w:r>
    </w:p>
    <w:p w14:paraId="4C5A2211">
      <w:pPr>
        <w:pStyle w:val="47"/>
        <w:shd w:val="clear"/>
        <w:tabs>
          <w:tab w:val="left" w:pos="1173"/>
        </w:tabs>
        <w:snapToGrid w:val="0"/>
        <w:spacing w:before="125" w:line="579" w:lineRule="exac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35"/>
          <w:rFonts w:hint="eastAsia" w:ascii="仿宋" w:hAnsi="仿宋" w:eastAsia="仿宋" w:cs="仿宋"/>
          <w:color w:val="auto"/>
          <w:spacing w:val="-5"/>
          <w:sz w:val="24"/>
          <w:szCs w:val="24"/>
          <w:highlight w:val="none"/>
          <w:lang w:eastAsia="zh-CN"/>
        </w:rPr>
        <w:t>能够及时提供该笔资金。</w:t>
      </w:r>
    </w:p>
    <w:p w14:paraId="71104C59">
      <w:pPr>
        <w:pStyle w:val="45"/>
        <w:keepNext w:val="0"/>
        <w:keepLines w:val="0"/>
        <w:pageBreakBefore w:val="0"/>
        <w:widowControl/>
        <w:shd w:val="clear"/>
        <w:kinsoku/>
        <w:wordWrap/>
        <w:overflowPunct/>
        <w:topLinePunct w:val="0"/>
        <w:autoSpaceDE/>
        <w:autoSpaceDN/>
        <w:bidi w:val="0"/>
        <w:adjustRightInd/>
        <w:snapToGrid w:val="0"/>
        <w:spacing w:before="0" w:line="579" w:lineRule="exact"/>
        <w:ind w:left="0" w:right="0" w:firstLine="458" w:firstLineChars="200"/>
        <w:textAlignment w:val="baseline"/>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35．签订合同</w:t>
      </w:r>
    </w:p>
    <w:p w14:paraId="175457D3">
      <w:pPr>
        <w:pStyle w:val="47"/>
        <w:keepNext w:val="0"/>
        <w:keepLines w:val="0"/>
        <w:pageBreakBefore w:val="0"/>
        <w:widowControl/>
        <w:shd w:val="clear"/>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35.1中标候选人在收到招标方的《中标通知书》后，须及时按照竞争性磋商文件</w:t>
      </w:r>
      <w:r>
        <w:rPr>
          <w:rStyle w:val="35"/>
          <w:rFonts w:hint="eastAsia" w:ascii="仿宋" w:hAnsi="仿宋" w:eastAsia="仿宋" w:cs="仿宋"/>
          <w:color w:val="auto"/>
          <w:spacing w:val="-8"/>
          <w:sz w:val="24"/>
          <w:szCs w:val="24"/>
          <w:highlight w:val="none"/>
          <w:lang w:eastAsia="zh-CN"/>
        </w:rPr>
        <w:t>和其所提供的响应文件中的约定与采购单位签订书面合同，所签订的合同不得对竞争性</w:t>
      </w:r>
      <w:r>
        <w:rPr>
          <w:rStyle w:val="35"/>
          <w:rFonts w:hint="eastAsia" w:ascii="仿宋" w:hAnsi="仿宋" w:eastAsia="仿宋" w:cs="仿宋"/>
          <w:color w:val="auto"/>
          <w:spacing w:val="-5"/>
          <w:sz w:val="24"/>
          <w:szCs w:val="24"/>
          <w:highlight w:val="none"/>
          <w:lang w:eastAsia="zh-CN"/>
        </w:rPr>
        <w:t>磋商文件和中标方的响应文件作实质性修改。</w:t>
      </w:r>
    </w:p>
    <w:p w14:paraId="32CF0C4D">
      <w:pPr>
        <w:pStyle w:val="47"/>
        <w:shd w:val="clear"/>
        <w:tabs>
          <w:tab w:val="left" w:pos="1113"/>
        </w:tabs>
        <w:snapToGrid w:val="0"/>
        <w:spacing w:before="28" w:line="579" w:lineRule="exact"/>
        <w:ind w:left="0" w:right="114" w:firstLine="436" w:firstLineChars="200"/>
        <w:rPr>
          <w:rStyle w:val="35"/>
          <w:rFonts w:ascii="仿宋" w:hAnsi="仿宋" w:eastAsia="仿宋" w:cs="仿宋"/>
          <w:color w:val="auto"/>
          <w:spacing w:val="-11"/>
          <w:sz w:val="24"/>
          <w:szCs w:val="24"/>
          <w:highlight w:val="none"/>
          <w:lang w:eastAsia="zh-CN"/>
        </w:rPr>
      </w:pPr>
      <w:r>
        <w:rPr>
          <w:rStyle w:val="35"/>
          <w:rFonts w:hint="eastAsia" w:ascii="仿宋" w:hAnsi="仿宋" w:eastAsia="仿宋" w:cs="仿宋"/>
          <w:color w:val="auto"/>
          <w:spacing w:val="-11"/>
          <w:sz w:val="24"/>
          <w:szCs w:val="24"/>
          <w:highlight w:val="none"/>
          <w:lang w:eastAsia="zh-CN"/>
        </w:rPr>
        <w:t>35.2竞争性磋商文件、中标方的响应文件及其澄清文件等，均为签订合同的依据。</w:t>
      </w:r>
    </w:p>
    <w:p w14:paraId="5D4B4835">
      <w:pPr>
        <w:pStyle w:val="47"/>
        <w:shd w:val="clear"/>
        <w:tabs>
          <w:tab w:val="left" w:pos="1113"/>
        </w:tabs>
        <w:snapToGrid w:val="0"/>
        <w:spacing w:before="28" w:line="579" w:lineRule="exac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35.3</w:t>
      </w:r>
      <w:r>
        <w:rPr>
          <w:rStyle w:val="35"/>
          <w:rFonts w:hint="eastAsia" w:ascii="仿宋" w:hAnsi="仿宋" w:eastAsia="仿宋" w:cs="仿宋"/>
          <w:color w:val="auto"/>
          <w:spacing w:val="-11"/>
          <w:sz w:val="24"/>
          <w:szCs w:val="24"/>
          <w:highlight w:val="none"/>
          <w:lang w:eastAsia="zh-CN"/>
        </w:rPr>
        <w:t>如果中标人不能按本须知第</w:t>
      </w:r>
      <w:r>
        <w:rPr>
          <w:rStyle w:val="35"/>
          <w:rFonts w:hint="eastAsia" w:ascii="仿宋" w:hAnsi="仿宋" w:eastAsia="仿宋" w:cs="仿宋"/>
          <w:color w:val="auto"/>
          <w:sz w:val="24"/>
          <w:szCs w:val="24"/>
          <w:highlight w:val="none"/>
          <w:lang w:eastAsia="zh-CN"/>
        </w:rPr>
        <w:t>35.1</w:t>
      </w:r>
      <w:r>
        <w:rPr>
          <w:rStyle w:val="35"/>
          <w:rFonts w:hint="eastAsia" w:ascii="仿宋" w:hAnsi="仿宋" w:eastAsia="仿宋" w:cs="仿宋"/>
          <w:color w:val="auto"/>
          <w:spacing w:val="-16"/>
          <w:sz w:val="24"/>
          <w:szCs w:val="24"/>
          <w:highlight w:val="none"/>
          <w:lang w:eastAsia="zh-CN"/>
        </w:rPr>
        <w:t>款的规定执行，采购人将有充分的理由废除</w:t>
      </w:r>
      <w:r>
        <w:rPr>
          <w:rStyle w:val="35"/>
          <w:rFonts w:hint="eastAsia" w:ascii="仿宋" w:hAnsi="仿宋" w:eastAsia="仿宋" w:cs="仿宋"/>
          <w:color w:val="auto"/>
          <w:spacing w:val="-12"/>
          <w:sz w:val="24"/>
          <w:szCs w:val="24"/>
          <w:highlight w:val="none"/>
          <w:lang w:eastAsia="zh-CN"/>
        </w:rPr>
        <w:t>其中标资格，并没收其磋商保证金，给采购人造成的损失超过磋商保证金数额的，还应</w:t>
      </w:r>
      <w:r>
        <w:rPr>
          <w:rStyle w:val="35"/>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35"/>
          <w:rFonts w:hint="eastAsia" w:ascii="仿宋" w:hAnsi="仿宋" w:eastAsia="仿宋" w:cs="仿宋"/>
          <w:color w:val="auto"/>
          <w:spacing w:val="-5"/>
          <w:sz w:val="24"/>
          <w:szCs w:val="24"/>
          <w:highlight w:val="none"/>
          <w:lang w:eastAsia="zh-CN"/>
        </w:rPr>
        <w:t>个候选中标人或重新招标。</w:t>
      </w:r>
    </w:p>
    <w:p w14:paraId="626B9162">
      <w:pPr>
        <w:pStyle w:val="38"/>
        <w:shd w:val="clear"/>
        <w:snapToGrid w:val="0"/>
        <w:spacing w:before="31" w:line="579" w:lineRule="exact"/>
        <w:ind w:left="0" w:right="232" w:firstLine="468"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spacing w:val="-3"/>
          <w:highlight w:val="none"/>
          <w:lang w:eastAsia="zh-CN"/>
        </w:rPr>
        <w:t>35.4</w:t>
      </w:r>
      <w:r>
        <w:rPr>
          <w:rStyle w:val="35"/>
          <w:rFonts w:hint="eastAsia" w:ascii="仿宋" w:hAnsi="仿宋" w:eastAsia="仿宋" w:cs="仿宋"/>
          <w:color w:val="auto"/>
          <w:spacing w:val="-5"/>
          <w:highlight w:val="none"/>
          <w:lang w:eastAsia="zh-CN"/>
        </w:rPr>
        <w:t>不允许中标人将中标项目分包或转交他人承担。特殊情况下，中标人必须与</w:t>
      </w:r>
      <w:r>
        <w:rPr>
          <w:rStyle w:val="35"/>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35"/>
          <w:rFonts w:hint="eastAsia" w:ascii="仿宋" w:hAnsi="仿宋" w:eastAsia="仿宋" w:cs="仿宋"/>
          <w:color w:val="auto"/>
          <w:spacing w:val="-9"/>
          <w:highlight w:val="none"/>
          <w:lang w:eastAsia="zh-CN"/>
        </w:rPr>
        <w:t>须对合同标的的全部内容向招标方负责，并保证第三方提供的供货和服务符合竞争性磋</w:t>
      </w:r>
      <w:r>
        <w:rPr>
          <w:rStyle w:val="35"/>
          <w:rFonts w:hint="eastAsia" w:ascii="仿宋" w:hAnsi="仿宋" w:eastAsia="仿宋" w:cs="仿宋"/>
          <w:color w:val="auto"/>
          <w:spacing w:val="-5"/>
          <w:highlight w:val="none"/>
          <w:lang w:eastAsia="zh-CN"/>
        </w:rPr>
        <w:t>商文件的约定和响应文件的承诺及相关约定。</w:t>
      </w:r>
    </w:p>
    <w:p w14:paraId="3DBD781F">
      <w:pPr>
        <w:pStyle w:val="46"/>
        <w:keepNext w:val="0"/>
        <w:keepLines w:val="0"/>
        <w:pageBreakBefore w:val="0"/>
        <w:widowControl/>
        <w:shd w:val="clear"/>
        <w:kinsoku/>
        <w:wordWrap/>
        <w:overflowPunct/>
        <w:topLinePunct w:val="0"/>
        <w:autoSpaceDE/>
        <w:autoSpaceDN/>
        <w:bidi w:val="0"/>
        <w:adjustRightInd/>
        <w:snapToGrid/>
        <w:spacing w:before="15" w:line="579" w:lineRule="exact"/>
        <w:ind w:left="0" w:right="34"/>
        <w:textAlignment w:val="baseline"/>
        <w:outlineLvl w:val="9"/>
        <w:rPr>
          <w:rStyle w:val="35"/>
          <w:rFonts w:ascii="仿宋" w:hAnsi="仿宋" w:eastAsia="仿宋" w:cs="仿宋"/>
          <w:color w:val="auto"/>
          <w:sz w:val="28"/>
          <w:szCs w:val="28"/>
          <w:highlight w:val="none"/>
          <w:lang w:eastAsia="zh-CN"/>
        </w:rPr>
      </w:pPr>
      <w:bookmarkStart w:id="72" w:name="_Toc20686"/>
    </w:p>
    <w:p w14:paraId="12BF20F7">
      <w:pPr>
        <w:rPr>
          <w:rStyle w:val="35"/>
          <w:rFonts w:hint="eastAsia" w:ascii="仿宋" w:hAnsi="仿宋" w:eastAsia="仿宋" w:cs="仿宋"/>
          <w:color w:val="auto"/>
          <w:sz w:val="28"/>
          <w:szCs w:val="28"/>
          <w:highlight w:val="none"/>
          <w:lang w:eastAsia="zh-CN"/>
        </w:rPr>
      </w:pPr>
      <w:bookmarkStart w:id="73" w:name="_Toc15794"/>
      <w:bookmarkStart w:id="74" w:name="_Toc11289"/>
      <w:bookmarkStart w:id="75" w:name="_Toc3106"/>
      <w:bookmarkStart w:id="76" w:name="_Toc12143"/>
      <w:bookmarkStart w:id="77" w:name="_Toc4813"/>
      <w:bookmarkStart w:id="246" w:name="_GoBack"/>
      <w:bookmarkEnd w:id="246"/>
      <w:r>
        <w:rPr>
          <w:rStyle w:val="35"/>
          <w:rFonts w:hint="eastAsia" w:ascii="仿宋" w:hAnsi="仿宋" w:eastAsia="仿宋" w:cs="仿宋"/>
          <w:color w:val="auto"/>
          <w:sz w:val="28"/>
          <w:szCs w:val="28"/>
          <w:highlight w:val="none"/>
          <w:lang w:eastAsia="zh-CN"/>
        </w:rPr>
        <w:br w:type="page"/>
      </w:r>
    </w:p>
    <w:p w14:paraId="6171CBCB">
      <w:pPr>
        <w:pStyle w:val="46"/>
        <w:shd w:val="clear"/>
        <w:spacing w:before="15" w:line="579" w:lineRule="exact"/>
        <w:ind w:left="0" w:right="34"/>
        <w:outlineLvl w:val="1"/>
        <w:rPr>
          <w:rStyle w:val="35"/>
          <w:rFonts w:ascii="仿宋" w:hAnsi="仿宋" w:eastAsia="仿宋" w:cs="仿宋"/>
          <w:color w:val="auto"/>
          <w:sz w:val="28"/>
          <w:szCs w:val="28"/>
          <w:highlight w:val="none"/>
          <w:lang w:eastAsia="zh-CN"/>
        </w:rPr>
      </w:pPr>
      <w:r>
        <w:rPr>
          <w:rStyle w:val="35"/>
          <w:rFonts w:hint="eastAsia" w:ascii="仿宋" w:hAnsi="仿宋" w:eastAsia="仿宋" w:cs="仿宋"/>
          <w:color w:val="auto"/>
          <w:sz w:val="28"/>
          <w:szCs w:val="28"/>
          <w:highlight w:val="none"/>
          <w:lang w:eastAsia="zh-CN"/>
        </w:rPr>
        <w:t>第八章 其他</w:t>
      </w:r>
      <w:bookmarkEnd w:id="72"/>
      <w:bookmarkEnd w:id="73"/>
      <w:bookmarkEnd w:id="74"/>
      <w:bookmarkEnd w:id="75"/>
      <w:bookmarkEnd w:id="76"/>
      <w:bookmarkEnd w:id="77"/>
    </w:p>
    <w:p w14:paraId="2AA38F2B">
      <w:pPr>
        <w:pStyle w:val="38"/>
        <w:shd w:val="clear"/>
        <w:snapToGrid w:val="0"/>
        <w:spacing w:before="31" w:line="579" w:lineRule="exact"/>
        <w:ind w:left="0" w:right="232" w:firstLine="458" w:firstLineChars="200"/>
        <w:jc w:val="both"/>
        <w:rPr>
          <w:rStyle w:val="35"/>
          <w:rFonts w:ascii="仿宋" w:hAnsi="仿宋" w:eastAsia="仿宋" w:cs="仿宋"/>
          <w:b/>
          <w:color w:val="auto"/>
          <w:w w:val="95"/>
          <w:highlight w:val="none"/>
          <w:lang w:eastAsia="zh-CN"/>
        </w:rPr>
      </w:pPr>
      <w:r>
        <w:rPr>
          <w:rStyle w:val="35"/>
          <w:rFonts w:hint="eastAsia" w:ascii="仿宋" w:hAnsi="仿宋" w:eastAsia="仿宋" w:cs="仿宋"/>
          <w:b/>
          <w:color w:val="auto"/>
          <w:w w:val="95"/>
          <w:highlight w:val="none"/>
          <w:lang w:eastAsia="zh-CN"/>
        </w:rPr>
        <w:t>36.需要补充的其他内容</w:t>
      </w:r>
    </w:p>
    <w:p w14:paraId="47A0D910">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36.1需要补充的其他内容详见供应商须知前附表。</w:t>
      </w:r>
    </w:p>
    <w:p w14:paraId="7A91C62D">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36.2本竞争性磋商文件解释权归新疆君凯杰工程项目管理有限公司</w:t>
      </w:r>
    </w:p>
    <w:p w14:paraId="5C0FFCBB">
      <w:pPr>
        <w:shd w:val="clear"/>
        <w:spacing w:before="20" w:line="579" w:lineRule="exact"/>
        <w:ind w:left="590" w:right="556"/>
        <w:jc w:val="center"/>
        <w:outlineLvl w:val="1"/>
        <w:rPr>
          <w:rStyle w:val="35"/>
          <w:rFonts w:ascii="仿宋" w:hAnsi="仿宋" w:eastAsia="仿宋" w:cs="仿宋"/>
          <w:b/>
          <w:color w:val="auto"/>
          <w:sz w:val="28"/>
          <w:szCs w:val="28"/>
          <w:highlight w:val="none"/>
          <w:lang w:eastAsia="zh-CN"/>
        </w:rPr>
      </w:pPr>
      <w:bookmarkStart w:id="78" w:name="_Toc13072"/>
      <w:bookmarkStart w:id="79" w:name="_Toc32146"/>
      <w:bookmarkStart w:id="80" w:name="_Toc29713"/>
      <w:bookmarkStart w:id="81" w:name="_Toc18458"/>
      <w:bookmarkStart w:id="82" w:name="_Toc13216"/>
      <w:bookmarkStart w:id="83" w:name="_Toc16294"/>
      <w:r>
        <w:rPr>
          <w:rStyle w:val="35"/>
          <w:rFonts w:hint="eastAsia" w:ascii="仿宋" w:hAnsi="仿宋" w:eastAsia="仿宋" w:cs="仿宋"/>
          <w:b/>
          <w:bCs/>
          <w:color w:val="auto"/>
          <w:sz w:val="28"/>
          <w:szCs w:val="28"/>
          <w:highlight w:val="none"/>
          <w:lang w:eastAsia="zh-CN"/>
        </w:rPr>
        <w:t>第九章 质疑的提出及处理</w:t>
      </w:r>
      <w:bookmarkEnd w:id="78"/>
      <w:bookmarkEnd w:id="79"/>
      <w:bookmarkEnd w:id="80"/>
      <w:bookmarkEnd w:id="81"/>
      <w:bookmarkEnd w:id="82"/>
      <w:bookmarkEnd w:id="83"/>
    </w:p>
    <w:p w14:paraId="7F32C899">
      <w:pPr>
        <w:pStyle w:val="38"/>
        <w:shd w:val="clear"/>
        <w:spacing w:before="116" w:line="579" w:lineRule="exact"/>
        <w:ind w:right="255" w:firstLine="47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政府采购供应商（以下简称供应商）提出质疑和投诉应当坚持依法依规、诚实信用原则。</w:t>
      </w:r>
    </w:p>
    <w:p w14:paraId="7A36511C">
      <w:pPr>
        <w:pStyle w:val="45"/>
        <w:shd w:val="clear"/>
        <w:spacing w:before="29"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37.质疑的提出</w:t>
      </w:r>
    </w:p>
    <w:p w14:paraId="32B028C7">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2C732B2D">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采购文件可以要求供应商在法定质疑期内一次性提出针对同一采购程序环节的质疑。</w:t>
      </w:r>
    </w:p>
    <w:p w14:paraId="38D55A69">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6785BB95">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37.2提出质疑的供应商（以下简称质疑供应商）应当是参与所质疑项目采购活动的供应商。</w:t>
      </w:r>
    </w:p>
    <w:p w14:paraId="6B67E7BC">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1C868CFA">
      <w:pPr>
        <w:pStyle w:val="38"/>
        <w:shd w:val="clear"/>
        <w:spacing w:before="26"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37.3供应商提出质疑应当提交质疑函和必要的证明材料。质疑函应当包括下列内容：</w:t>
      </w:r>
    </w:p>
    <w:p w14:paraId="0CFCF96E">
      <w:pPr>
        <w:pStyle w:val="38"/>
        <w:shd w:val="clear"/>
        <w:spacing w:before="26"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（1）供应商的姓名或者名称、地址、邮编、联系人及联系电话；</w:t>
      </w:r>
    </w:p>
    <w:p w14:paraId="1A966586">
      <w:pPr>
        <w:pStyle w:val="38"/>
        <w:shd w:val="clear"/>
        <w:spacing w:before="125"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（2）质疑项目的名称、编号；</w:t>
      </w:r>
    </w:p>
    <w:p w14:paraId="4F869C9A">
      <w:pPr>
        <w:pStyle w:val="38"/>
        <w:shd w:val="clear"/>
        <w:spacing w:before="127"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（3）具体、明确的质疑事项和与质疑事项相关的请求；</w:t>
      </w:r>
    </w:p>
    <w:p w14:paraId="7C378A9E">
      <w:pPr>
        <w:pStyle w:val="38"/>
        <w:shd w:val="clear"/>
        <w:spacing w:before="14"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（4）事实依据；</w:t>
      </w:r>
    </w:p>
    <w:p w14:paraId="04369D9F">
      <w:pPr>
        <w:pStyle w:val="38"/>
        <w:shd w:val="clear"/>
        <w:spacing w:before="124"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（5）必要的法律依据；</w:t>
      </w:r>
    </w:p>
    <w:p w14:paraId="2D67CEF6">
      <w:pPr>
        <w:pStyle w:val="38"/>
        <w:shd w:val="clear"/>
        <w:spacing w:before="127" w:line="579" w:lineRule="exac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（6）提出质疑的日期。</w:t>
      </w:r>
    </w:p>
    <w:p w14:paraId="65477DD0">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C36874">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代理人提出质疑和投诉，应当提交供应商签署的授权委托书。</w:t>
      </w:r>
    </w:p>
    <w:p w14:paraId="0E1C0E9D">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45AB297C">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13795AC">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76326489">
      <w:pPr>
        <w:pStyle w:val="45"/>
        <w:shd w:val="clear"/>
        <w:snapToGrid w:val="0"/>
        <w:spacing w:before="26" w:line="579" w:lineRule="exac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2AF5DC4F">
      <w:pPr>
        <w:pStyle w:val="45"/>
        <w:shd w:val="clear"/>
        <w:snapToGrid w:val="0"/>
        <w:spacing w:before="26"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38.受理和处理</w:t>
      </w:r>
    </w:p>
    <w:p w14:paraId="7F31BCDE">
      <w:pPr>
        <w:shd w:val="clear"/>
        <w:snapToGrid w:val="0"/>
        <w:spacing w:line="579" w:lineRule="exac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3C26F799">
      <w:pPr>
        <w:shd w:val="clear"/>
        <w:snapToGrid w:val="0"/>
        <w:spacing w:line="579" w:lineRule="exac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508E7896">
      <w:pPr>
        <w:pStyle w:val="38"/>
        <w:shd w:val="clear"/>
        <w:snapToGrid w:val="0"/>
        <w:spacing w:before="31" w:line="579" w:lineRule="exact"/>
        <w:ind w:left="0" w:right="232" w:firstLine="448" w:firstLineChars="200"/>
        <w:jc w:val="both"/>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38.3质疑答复的内容不得涉及商业秘密。</w:t>
      </w:r>
    </w:p>
    <w:p w14:paraId="23C53375">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38.4对于不符合上述37项所述的相关条款要求的质疑，招标方将不予受理。</w:t>
      </w:r>
    </w:p>
    <w:p w14:paraId="57C78CF8">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3A2AAC86">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38.6招标方或采购单位负责对质疑的回复工作，将质疑人的质疑材料提供给相关专家或评审小组，并将处理意见回复质疑人。</w:t>
      </w:r>
    </w:p>
    <w:p w14:paraId="07310EC2">
      <w:pPr>
        <w:pStyle w:val="38"/>
        <w:shd w:val="clear"/>
        <w:snapToGrid w:val="0"/>
        <w:spacing w:before="31" w:line="579" w:lineRule="exac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28B8C037">
      <w:pPr>
        <w:pStyle w:val="38"/>
        <w:shd w:val="clear"/>
        <w:snapToGrid w:val="0"/>
        <w:spacing w:before="31" w:line="579" w:lineRule="exact"/>
        <w:ind w:right="135" w:firstLine="480"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384AFD19">
      <w:pPr>
        <w:pStyle w:val="38"/>
        <w:shd w:val="clear"/>
        <w:snapToGrid w:val="0"/>
        <w:spacing w:before="31" w:line="579" w:lineRule="exact"/>
        <w:ind w:left="0" w:right="134"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6E037E35">
      <w:pPr>
        <w:pStyle w:val="38"/>
        <w:shd w:val="clear"/>
        <w:snapToGrid w:val="0"/>
        <w:spacing w:before="31" w:line="579" w:lineRule="exact"/>
        <w:ind w:left="0" w:right="255"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01F19839">
      <w:pPr>
        <w:pStyle w:val="45"/>
        <w:shd w:val="clear"/>
        <w:snapToGrid w:val="0"/>
        <w:spacing w:before="29" w:line="579" w:lineRule="exac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39.质疑无效的处理</w:t>
      </w:r>
    </w:p>
    <w:p w14:paraId="4C4383C5">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2A91DF34">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5AB6EF1C">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39.3质疑人提出的质疑，经评标专家审定后驳回的，列为无效质疑。</w:t>
      </w:r>
    </w:p>
    <w:p w14:paraId="4EC438FC">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17FBCC01">
      <w:pPr>
        <w:pStyle w:val="45"/>
        <w:shd w:val="clear"/>
        <w:snapToGrid w:val="0"/>
        <w:spacing w:before="28" w:line="579" w:lineRule="exac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0BAE8A52">
      <w:pPr>
        <w:pStyle w:val="45"/>
        <w:shd w:val="clear"/>
        <w:snapToGrid w:val="0"/>
        <w:spacing w:before="28" w:line="579" w:lineRule="exact"/>
        <w:ind w:firstLine="458"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color w:val="auto"/>
          <w:w w:val="95"/>
          <w:highlight w:val="none"/>
          <w:lang w:eastAsia="zh-CN"/>
        </w:rPr>
        <w:t>40.其他</w:t>
      </w:r>
    </w:p>
    <w:p w14:paraId="7E4148C1">
      <w:pPr>
        <w:pStyle w:val="45"/>
        <w:shd w:val="clear"/>
        <w:spacing w:before="14" w:line="579" w:lineRule="exac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40.1质疑函和投诉书应当使用中文。质疑函和投诉书的范本，由财政部制定。</w:t>
      </w:r>
    </w:p>
    <w:p w14:paraId="110C28F9">
      <w:pPr>
        <w:pStyle w:val="45"/>
        <w:shd w:val="clear"/>
        <w:spacing w:before="14" w:line="579" w:lineRule="exac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37D82931">
      <w:pPr>
        <w:pStyle w:val="45"/>
        <w:shd w:val="clear"/>
        <w:spacing w:before="14" w:line="579" w:lineRule="exact"/>
        <w:ind w:left="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质疑函制作说明:</w:t>
      </w:r>
    </w:p>
    <w:p w14:paraId="68CA6897">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1.供应商提出质疑时，应提交质疑函和必要的证明材料。</w:t>
      </w:r>
    </w:p>
    <w:p w14:paraId="32F2F9E5">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FD1E82">
      <w:pPr>
        <w:pStyle w:val="38"/>
        <w:shd w:val="clear"/>
        <w:spacing w:before="31"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3.质疑供应商若对项目的某一分包进行质疑，质疑函中应列明具体分包号。</w:t>
      </w:r>
    </w:p>
    <w:p w14:paraId="23106854">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4.质疑函的质疑事项应具体、明确，并有必要的事实依据和法律依据。</w:t>
      </w:r>
    </w:p>
    <w:p w14:paraId="4C99C457">
      <w:pPr>
        <w:pStyle w:val="38"/>
        <w:shd w:val="clear"/>
        <w:spacing w:before="124" w:line="579" w:lineRule="exac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5.质疑函的质疑请求应与质疑事项相关。</w:t>
      </w:r>
    </w:p>
    <w:p w14:paraId="6E80AA9F">
      <w:pPr>
        <w:pStyle w:val="38"/>
        <w:shd w:val="clear"/>
        <w:snapToGrid w:val="0"/>
        <w:spacing w:before="31" w:line="579" w:lineRule="exact"/>
        <w:ind w:left="0" w:right="232" w:firstLine="480" w:firstLineChars="200"/>
        <w:jc w:val="both"/>
        <w:rPr>
          <w:rStyle w:val="35"/>
          <w:rFonts w:ascii="仿宋" w:hAnsi="仿宋" w:eastAsia="仿宋" w:cs="仿宋"/>
          <w:color w:val="auto"/>
          <w:highlight w:val="none"/>
          <w:lang w:eastAsia="zh-CN"/>
        </w:rPr>
        <w:sectPr>
          <w:pgSz w:w="11910" w:h="16840"/>
          <w:pgMar w:top="1480" w:right="1180" w:bottom="1180" w:left="1480" w:header="0" w:footer="912" w:gutter="0"/>
          <w:pgBorders>
            <w:top w:val="none" w:sz="0" w:space="0"/>
            <w:left w:val="none" w:sz="0" w:space="0"/>
            <w:bottom w:val="none" w:sz="0" w:space="0"/>
            <w:right w:val="none" w:sz="0" w:space="0"/>
          </w:pgBorders>
          <w:pgNumType w:fmt="decimal"/>
          <w:cols w:space="720" w:num="1"/>
        </w:sectPr>
      </w:pPr>
      <w:r>
        <w:rPr>
          <w:rStyle w:val="35"/>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780D242C">
      <w:pPr>
        <w:shd w:val="clear"/>
        <w:spacing w:line="579" w:lineRule="exact"/>
        <w:ind w:left="702" w:right="693"/>
        <w:jc w:val="center"/>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质疑函范本</w:t>
      </w:r>
    </w:p>
    <w:p w14:paraId="6867FF0C">
      <w:pPr>
        <w:shd w:val="clear"/>
        <w:spacing w:before="62" w:line="579" w:lineRule="exact"/>
        <w:ind w:left="109" w:right="622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一、质疑供应商基本信息</w:t>
      </w:r>
    </w:p>
    <w:p w14:paraId="0DA3EA7B">
      <w:pPr>
        <w:shd w:val="clear"/>
        <w:spacing w:before="62" w:line="579" w:lineRule="exact"/>
        <w:ind w:left="109" w:right="622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质疑供应商：</w:t>
      </w:r>
    </w:p>
    <w:p w14:paraId="7DC41530">
      <w:pPr>
        <w:pStyle w:val="38"/>
        <w:shd w:val="clear"/>
        <w:spacing w:before="9" w:line="579" w:lineRule="exac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地址：邮编：</w:t>
      </w:r>
    </w:p>
    <w:p w14:paraId="44DBC4C9">
      <w:pPr>
        <w:pStyle w:val="38"/>
        <w:shd w:val="clear"/>
        <w:spacing w:before="9" w:line="579" w:lineRule="exac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联系人：联系电话：授权代表：</w:t>
      </w:r>
    </w:p>
    <w:p w14:paraId="15E752F4">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联系电话：</w:t>
      </w:r>
    </w:p>
    <w:p w14:paraId="71B63123">
      <w:pPr>
        <w:shd w:val="clear"/>
        <w:spacing w:before="45" w:line="579" w:lineRule="exact"/>
        <w:ind w:left="109" w:right="5874"/>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地址：邮编：</w:t>
      </w:r>
    </w:p>
    <w:p w14:paraId="00F0A875">
      <w:pPr>
        <w:shd w:val="clear"/>
        <w:spacing w:before="45" w:line="579" w:lineRule="exact"/>
        <w:ind w:left="109" w:right="5874"/>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二、质疑项目基本情况</w:t>
      </w:r>
    </w:p>
    <w:p w14:paraId="00DF5458">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质疑项目的名称：</w:t>
      </w:r>
    </w:p>
    <w:p w14:paraId="7B255401">
      <w:pPr>
        <w:pStyle w:val="38"/>
        <w:shd w:val="clear"/>
        <w:spacing w:before="45" w:line="579" w:lineRule="exac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质疑项目的编号：包号：</w:t>
      </w:r>
    </w:p>
    <w:p w14:paraId="4AC2A462">
      <w:pPr>
        <w:pStyle w:val="38"/>
        <w:shd w:val="clear"/>
        <w:spacing w:before="45" w:line="579" w:lineRule="exac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采购人名称：</w:t>
      </w:r>
    </w:p>
    <w:p w14:paraId="605164F7">
      <w:pPr>
        <w:shd w:val="clear"/>
        <w:spacing w:before="9" w:line="579" w:lineRule="exac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采购文件获取日期：</w:t>
      </w:r>
    </w:p>
    <w:p w14:paraId="1781F7BD">
      <w:pPr>
        <w:shd w:val="clear"/>
        <w:spacing w:before="9" w:line="579" w:lineRule="exact"/>
        <w:ind w:left="109" w:right="646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三、质疑事项具体内容</w:t>
      </w:r>
    </w:p>
    <w:p w14:paraId="646AE7DA">
      <w:pPr>
        <w:shd w:val="clear"/>
        <w:spacing w:before="9" w:line="579" w:lineRule="exac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13"/>
          <w:sz w:val="24"/>
          <w:szCs w:val="24"/>
          <w:highlight w:val="none"/>
          <w:lang w:eastAsia="zh-CN"/>
        </w:rPr>
        <w:t>质疑事项</w:t>
      </w:r>
      <w:r>
        <w:rPr>
          <w:rStyle w:val="35"/>
          <w:rFonts w:hint="eastAsia" w:ascii="仿宋" w:hAnsi="仿宋" w:eastAsia="仿宋" w:cs="仿宋"/>
          <w:color w:val="auto"/>
          <w:sz w:val="24"/>
          <w:szCs w:val="24"/>
          <w:highlight w:val="none"/>
          <w:lang w:eastAsia="zh-CN"/>
        </w:rPr>
        <w:t>1：</w:t>
      </w:r>
    </w:p>
    <w:p w14:paraId="4C4CD22A">
      <w:pPr>
        <w:pStyle w:val="38"/>
        <w:shd w:val="clear"/>
        <w:spacing w:before="9" w:line="579" w:lineRule="exact"/>
        <w:ind w:right="7675"/>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事实依据：法律依据：质疑事项2</w:t>
      </w:r>
    </w:p>
    <w:p w14:paraId="7DCFDA09">
      <w:pPr>
        <w:pStyle w:val="38"/>
        <w:shd w:val="clear"/>
        <w:spacing w:before="9" w:line="579" w:lineRule="exac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w:t>
      </w:r>
    </w:p>
    <w:p w14:paraId="030437AC">
      <w:pPr>
        <w:shd w:val="clear"/>
        <w:spacing w:before="45" w:line="579" w:lineRule="exact"/>
        <w:ind w:left="109" w:right="55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四、与质疑事项相关的质疑请求</w:t>
      </w:r>
    </w:p>
    <w:p w14:paraId="02C7F427">
      <w:pPr>
        <w:shd w:val="clear"/>
        <w:spacing w:before="45" w:line="579" w:lineRule="exact"/>
        <w:ind w:left="109" w:right="55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请求：</w:t>
      </w:r>
    </w:p>
    <w:p w14:paraId="0AF09644">
      <w:pPr>
        <w:pStyle w:val="38"/>
        <w:shd w:val="clear"/>
        <w:spacing w:before="9" w:line="579" w:lineRule="exac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签字（盖章）：公章：</w:t>
      </w:r>
    </w:p>
    <w:p w14:paraId="0394352C">
      <w:pPr>
        <w:pStyle w:val="38"/>
        <w:shd w:val="clear"/>
        <w:spacing w:before="9" w:line="579" w:lineRule="exac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日期：</w:t>
      </w:r>
    </w:p>
    <w:p w14:paraId="3B26966D">
      <w:pPr>
        <w:shd w:val="clear"/>
        <w:spacing w:line="579" w:lineRule="exact"/>
        <w:rPr>
          <w:rStyle w:val="35"/>
          <w:rFonts w:ascii="仿宋" w:hAnsi="仿宋" w:eastAsia="仿宋" w:cs="仿宋"/>
          <w:color w:val="auto"/>
          <w:sz w:val="24"/>
          <w:szCs w:val="24"/>
          <w:highlight w:val="none"/>
          <w:lang w:eastAsia="zh-CN"/>
        </w:rPr>
        <w:sectPr>
          <w:pgSz w:w="11910" w:h="16840"/>
          <w:pgMar w:top="1480" w:right="1320" w:bottom="1180" w:left="1480" w:header="0" w:footer="912" w:gutter="0"/>
          <w:pgBorders>
            <w:top w:val="none" w:sz="0" w:space="0"/>
            <w:left w:val="none" w:sz="0" w:space="0"/>
            <w:bottom w:val="none" w:sz="0" w:space="0"/>
            <w:right w:val="none" w:sz="0" w:space="0"/>
          </w:pgBorders>
          <w:pgNumType w:fmt="decimal"/>
          <w:cols w:space="720" w:num="1"/>
        </w:sectPr>
      </w:pPr>
    </w:p>
    <w:p w14:paraId="44771572">
      <w:pPr>
        <w:shd w:val="clear"/>
        <w:tabs>
          <w:tab w:val="left" w:pos="1990"/>
        </w:tabs>
        <w:spacing w:line="579" w:lineRule="exact"/>
        <w:ind w:right="147"/>
        <w:jc w:val="center"/>
        <w:outlineLvl w:val="0"/>
        <w:rPr>
          <w:rFonts w:hint="eastAsia" w:ascii="仿宋_GB2312" w:hAnsi="仿宋_GB2312" w:eastAsia="仿宋_GB2312" w:cs="仿宋_GB2312"/>
          <w:color w:val="auto"/>
          <w:sz w:val="32"/>
          <w:szCs w:val="32"/>
          <w:highlight w:val="none"/>
        </w:rPr>
      </w:pPr>
      <w:bookmarkStart w:id="84" w:name="_Toc25644"/>
      <w:bookmarkStart w:id="85" w:name="_Toc24190"/>
      <w:bookmarkStart w:id="86" w:name="_Toc27166"/>
      <w:bookmarkStart w:id="87" w:name="_Toc16613"/>
      <w:bookmarkStart w:id="88" w:name="_Toc28108"/>
      <w:bookmarkStart w:id="89" w:name="_Toc1688"/>
      <w:r>
        <w:rPr>
          <w:rStyle w:val="35"/>
          <w:rFonts w:hint="eastAsia" w:ascii="仿宋" w:hAnsi="仿宋" w:eastAsia="仿宋" w:cs="仿宋"/>
          <w:b/>
          <w:bCs/>
          <w:color w:val="auto"/>
          <w:sz w:val="28"/>
          <w:szCs w:val="28"/>
          <w:highlight w:val="none"/>
          <w:lang w:eastAsia="zh-CN"/>
        </w:rPr>
        <w:t>第三部分采购</w:t>
      </w:r>
      <w:r>
        <w:rPr>
          <w:rStyle w:val="35"/>
          <w:rFonts w:hint="eastAsia" w:ascii="仿宋" w:hAnsi="仿宋" w:eastAsia="仿宋" w:cs="仿宋"/>
          <w:b/>
          <w:bCs/>
          <w:color w:val="auto"/>
          <w:sz w:val="28"/>
          <w:szCs w:val="28"/>
          <w:highlight w:val="none"/>
          <w:lang w:val="en-US" w:eastAsia="zh-CN"/>
        </w:rPr>
        <w:t>需求</w:t>
      </w:r>
      <w:r>
        <w:rPr>
          <w:rStyle w:val="35"/>
          <w:rFonts w:hint="eastAsia" w:ascii="仿宋" w:hAnsi="仿宋" w:eastAsia="仿宋" w:cs="仿宋"/>
          <w:b/>
          <w:bCs/>
          <w:color w:val="auto"/>
          <w:sz w:val="28"/>
          <w:szCs w:val="28"/>
          <w:highlight w:val="none"/>
          <w:lang w:eastAsia="zh-CN"/>
        </w:rPr>
        <w:t>及要求</w:t>
      </w:r>
      <w:bookmarkEnd w:id="84"/>
      <w:bookmarkEnd w:id="85"/>
      <w:bookmarkEnd w:id="86"/>
      <w:bookmarkEnd w:id="87"/>
      <w:bookmarkEnd w:id="88"/>
      <w:bookmarkEnd w:id="89"/>
      <w:bookmarkStart w:id="90" w:name="_Toc28991"/>
      <w:bookmarkStart w:id="91" w:name="_Toc15456"/>
      <w:bookmarkStart w:id="92" w:name="_Toc15289"/>
      <w:bookmarkStart w:id="93" w:name="_Toc20896"/>
      <w:bookmarkStart w:id="94" w:name="_Toc22849"/>
    </w:p>
    <w:p w14:paraId="24347B33">
      <w:pPr>
        <w:pStyle w:val="23"/>
        <w:pageBreakBefore w:val="0"/>
        <w:widowControl/>
        <w:kinsoku/>
        <w:wordWrap/>
        <w:overflowPunct/>
        <w:topLinePunct w:val="0"/>
        <w:autoSpaceDE/>
        <w:autoSpaceDN/>
        <w:bidi w:val="0"/>
        <w:spacing w:beforeAutospacing="0" w:afterAutospacing="0" w:line="360" w:lineRule="auto"/>
        <w:ind w:firstLine="0" w:firstLineChars="0"/>
        <w:jc w:val="both"/>
        <w:outlineLvl w:val="0"/>
        <w:rPr>
          <w:rStyle w:val="30"/>
          <w:rFonts w:hint="eastAsia" w:ascii="仿宋" w:hAnsi="仿宋" w:eastAsia="仿宋" w:cs="仿宋"/>
          <w:color w:val="auto"/>
          <w:sz w:val="24"/>
          <w:szCs w:val="24"/>
          <w:highlight w:val="none"/>
        </w:rPr>
      </w:pPr>
      <w:bookmarkStart w:id="95" w:name="_Toc7973"/>
      <w:r>
        <w:rPr>
          <w:rStyle w:val="30"/>
          <w:rFonts w:hint="eastAsia" w:ascii="仿宋" w:hAnsi="仿宋" w:eastAsia="仿宋" w:cs="仿宋"/>
          <w:color w:val="auto"/>
          <w:sz w:val="24"/>
          <w:szCs w:val="24"/>
          <w:highlight w:val="none"/>
        </w:rPr>
        <w:t>（</w:t>
      </w:r>
      <w:r>
        <w:rPr>
          <w:rStyle w:val="30"/>
          <w:rFonts w:hint="eastAsia" w:ascii="仿宋" w:hAnsi="仿宋" w:eastAsia="仿宋" w:cs="仿宋"/>
          <w:color w:val="auto"/>
          <w:sz w:val="24"/>
          <w:szCs w:val="24"/>
          <w:highlight w:val="none"/>
          <w:lang w:eastAsia="zh-CN"/>
        </w:rPr>
        <w:t>一</w:t>
      </w:r>
      <w:r>
        <w:rPr>
          <w:rStyle w:val="30"/>
          <w:rFonts w:hint="eastAsia" w:ascii="仿宋" w:hAnsi="仿宋" w:eastAsia="仿宋" w:cs="仿宋"/>
          <w:color w:val="auto"/>
          <w:sz w:val="24"/>
          <w:szCs w:val="24"/>
          <w:highlight w:val="none"/>
        </w:rPr>
        <w:t>）工作目标与任务</w:t>
      </w:r>
    </w:p>
    <w:p w14:paraId="5638A34D">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1.工作目标</w:t>
      </w:r>
    </w:p>
    <w:p w14:paraId="0CC32759">
      <w:pPr>
        <w:pageBreakBefore w:val="0"/>
        <w:widowControl/>
        <w:kinsoku/>
        <w:wordWrap/>
        <w:overflowPunct/>
        <w:topLinePunct w:val="0"/>
        <w:autoSpaceDE/>
        <w:autoSpaceDN/>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中华人民共和国网络安全法》等法律法规，按照相关管理规范和技术标准，对2个备案为三级的信息系统开展网络安全等保测评及相关网络安全技术服务工作，准确掌握系统当前的安全保护水平与国家网络安全三级等级保护要求等有关等级保护标准规范要求之间的差距，查找系统中可能存在的安全弱点和缺陷，从而能够有针对性地实施安全建设和整改，提升信息系统的安全保障能力和防护水平，符合信息安全等级保护的相关要求，确保信息系统的安全稳定运行。</w:t>
      </w:r>
    </w:p>
    <w:p w14:paraId="0B2B77EA">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bookmarkStart w:id="96" w:name="_Hlk65234920"/>
      <w:r>
        <w:rPr>
          <w:rFonts w:hint="eastAsia" w:ascii="仿宋" w:hAnsi="仿宋" w:eastAsia="仿宋" w:cs="仿宋"/>
          <w:color w:val="auto"/>
          <w:sz w:val="24"/>
          <w:szCs w:val="24"/>
          <w:highlight w:val="none"/>
        </w:rPr>
        <w:t>2.工作任务</w:t>
      </w:r>
    </w:p>
    <w:p w14:paraId="298583A8">
      <w:pPr>
        <w:pageBreakBefore w:val="0"/>
        <w:widowControl/>
        <w:kinsoku/>
        <w:wordWrap/>
        <w:overflowPunct/>
        <w:topLinePunct w:val="0"/>
        <w:autoSpaceDE/>
        <w:autoSpaceDN/>
        <w:bidi w:val="0"/>
        <w:spacing w:line="360" w:lineRule="auto"/>
        <w:ind w:firstLine="56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（1）信息系统网络安全等级保护测评工作</w:t>
      </w:r>
      <w:r>
        <w:rPr>
          <w:rFonts w:hint="eastAsia" w:ascii="仿宋" w:hAnsi="仿宋" w:eastAsia="仿宋" w:cs="仿宋"/>
          <w:color w:val="auto"/>
          <w:sz w:val="24"/>
          <w:szCs w:val="24"/>
          <w:highlight w:val="none"/>
        </w:rPr>
        <w:t>：由符合规定条件的网络安全测评机构对我单位建设的统一审核系统、丝路国土云平台等2个备案为三级的信息系统进行2025年度网络安全等级测评（三级）工作，掌握系统的整体安全防护状况，排查系统安全隐患和薄弱环节，衡量信息系统的安全保护管理措施是否符合网络安全等级保护测评（三级）要求，完成信息系统安全评估，提供整改方案并协助完成信息系统安全整改工作，出具测评报告供监管审查。</w:t>
      </w:r>
    </w:p>
    <w:p w14:paraId="60FAF75D">
      <w:pPr>
        <w:pStyle w:val="11"/>
        <w:pageBreakBefore w:val="0"/>
        <w:widowControl/>
        <w:kinsoku/>
        <w:wordWrap/>
        <w:overflowPunct/>
        <w:topLinePunct w:val="0"/>
        <w:autoSpaceDE/>
        <w:autoSpaceDN/>
        <w:bidi w:val="0"/>
        <w:spacing w:line="360" w:lineRule="auto"/>
        <w:ind w:firstLine="56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（2）网络安全相关技术支持工作</w:t>
      </w:r>
      <w:r>
        <w:rPr>
          <w:rFonts w:hint="eastAsia" w:ascii="仿宋" w:hAnsi="仿宋" w:eastAsia="仿宋" w:cs="仿宋"/>
          <w:color w:val="auto"/>
          <w:sz w:val="24"/>
          <w:szCs w:val="24"/>
          <w:highlight w:val="none"/>
        </w:rPr>
        <w:t>：对重要信息系统提供常态化网络安全检查与预警评估服务，包含季度性开展代码安全审计、至少2次漏洞扫描和渗透测试、至少2次网络安全培训、固网期间（2周时间）派至少1名中级及以上工程师现场协助开展网络安全加固工作、应急响应服务（根据甲方需要）等工作，对应用系统及网络现状进行提供安全优化建议。</w:t>
      </w:r>
    </w:p>
    <w:p w14:paraId="101FC2D8">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3.工作内容</w:t>
      </w:r>
    </w:p>
    <w:p w14:paraId="45781F48">
      <w:pPr>
        <w:pStyle w:val="11"/>
        <w:pageBreakBefore w:val="0"/>
        <w:widowControl/>
        <w:kinsoku/>
        <w:wordWrap/>
        <w:overflowPunct/>
        <w:topLinePunct w:val="0"/>
        <w:autoSpaceDE/>
        <w:autoSpaceDN/>
        <w:bidi w:val="0"/>
        <w:adjustRightInd w:val="0"/>
        <w:snapToGrid w:val="0"/>
        <w:spacing w:after="0"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信息安全技术网络安全等级保护测评要求》、《信息安全技术网络安全等级保护测评过程指南》等相关国家网络安全标准和规范，开展2个信息系统（1个互联网、1个内部局域网）网络安全等级（三级）测评工作。同时按工作任务要求，开展网络安全相关技术支持工作。</w:t>
      </w:r>
    </w:p>
    <w:tbl>
      <w:tblPr>
        <w:tblStyle w:val="28"/>
        <w:tblpPr w:leftFromText="180" w:rightFromText="180" w:vertAnchor="text" w:horzAnchor="margin" w:tblpY="4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567"/>
        <w:gridCol w:w="6013"/>
      </w:tblGrid>
      <w:tr w14:paraId="6B25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7D032597">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主要内容</w:t>
            </w:r>
          </w:p>
        </w:tc>
        <w:tc>
          <w:tcPr>
            <w:tcW w:w="4184" w:type="pct"/>
            <w:gridSpan w:val="2"/>
            <w:vAlign w:val="center"/>
          </w:tcPr>
          <w:p w14:paraId="3A6AD8BE">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w:t>
            </w:r>
          </w:p>
        </w:tc>
      </w:tr>
      <w:tr w14:paraId="3E7A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14:paraId="6376B129">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2个信息系统网络安全等级保护测评工作</w:t>
            </w:r>
          </w:p>
        </w:tc>
        <w:tc>
          <w:tcPr>
            <w:tcW w:w="865" w:type="pct"/>
            <w:vAlign w:val="center"/>
          </w:tcPr>
          <w:p w14:paraId="54AE7F52">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测评准备</w:t>
            </w:r>
          </w:p>
        </w:tc>
        <w:tc>
          <w:tcPr>
            <w:tcW w:w="3319" w:type="pct"/>
          </w:tcPr>
          <w:p w14:paraId="04443982">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确定测评对象，进行相关信息收集与分析，了解被测评对象的基本信息，进行工具与表单的准备工作，初步分析测评对象的安全状况；</w:t>
            </w:r>
          </w:p>
        </w:tc>
      </w:tr>
      <w:tr w14:paraId="58E2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5" w:type="pct"/>
            <w:vMerge w:val="continue"/>
            <w:vAlign w:val="center"/>
          </w:tcPr>
          <w:p w14:paraId="614CAC09">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bCs w:val="0"/>
                <w:color w:val="auto"/>
                <w:sz w:val="24"/>
                <w:szCs w:val="24"/>
                <w:highlight w:val="none"/>
              </w:rPr>
            </w:pPr>
          </w:p>
        </w:tc>
        <w:tc>
          <w:tcPr>
            <w:tcW w:w="865" w:type="pct"/>
            <w:vAlign w:val="center"/>
          </w:tcPr>
          <w:p w14:paraId="16B63E87">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方案编制</w:t>
            </w:r>
          </w:p>
        </w:tc>
        <w:tc>
          <w:tcPr>
            <w:tcW w:w="3319" w:type="pct"/>
          </w:tcPr>
          <w:p w14:paraId="533010B1">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确定测评内容、测评指标、工具方法、测评步骤等，详细分析被测评对象的整体结构、边界、网络区域、设备部署情况等，编制测评方案；</w:t>
            </w:r>
          </w:p>
        </w:tc>
      </w:tr>
      <w:tr w14:paraId="1D4D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5" w:type="pct"/>
            <w:vMerge w:val="continue"/>
            <w:vAlign w:val="center"/>
          </w:tcPr>
          <w:p w14:paraId="68983B26">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bCs w:val="0"/>
                <w:color w:val="auto"/>
                <w:sz w:val="24"/>
                <w:szCs w:val="24"/>
                <w:highlight w:val="none"/>
              </w:rPr>
            </w:pPr>
          </w:p>
        </w:tc>
        <w:tc>
          <w:tcPr>
            <w:tcW w:w="865" w:type="pct"/>
            <w:vAlign w:val="center"/>
          </w:tcPr>
          <w:p w14:paraId="7FC11E15">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现场测评</w:t>
            </w:r>
          </w:p>
        </w:tc>
        <w:tc>
          <w:tcPr>
            <w:tcW w:w="3319" w:type="pct"/>
          </w:tcPr>
          <w:p w14:paraId="2F120772">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安全物理环境、安全通信网络、安全区域边界、安全计算环境、安全管理中心、安全管理制度、安全管理机构、安全管理人员、安全建设管理、安全运维管理等方面进行现场测评并记录结果。技术测评至少包括：漏洞扫描、渗透测试、配置核查；</w:t>
            </w:r>
          </w:p>
        </w:tc>
      </w:tr>
      <w:tr w14:paraId="36EE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5" w:type="pct"/>
            <w:vMerge w:val="continue"/>
            <w:vAlign w:val="center"/>
          </w:tcPr>
          <w:p w14:paraId="23FCA9BD">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bCs w:val="0"/>
                <w:color w:val="auto"/>
                <w:sz w:val="24"/>
                <w:szCs w:val="24"/>
                <w:highlight w:val="none"/>
              </w:rPr>
            </w:pPr>
          </w:p>
        </w:tc>
        <w:tc>
          <w:tcPr>
            <w:tcW w:w="865" w:type="pct"/>
            <w:vAlign w:val="center"/>
          </w:tcPr>
          <w:p w14:paraId="78A5BB13">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风险整改</w:t>
            </w:r>
          </w:p>
        </w:tc>
        <w:tc>
          <w:tcPr>
            <w:tcW w:w="3319" w:type="pct"/>
          </w:tcPr>
          <w:p w14:paraId="67FD4FA6">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针对各类风险项提供详细整改意见，并指导和配合完成风险整改，针对未达标项进行复测。</w:t>
            </w:r>
          </w:p>
        </w:tc>
      </w:tr>
      <w:tr w14:paraId="1465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5" w:type="pct"/>
            <w:vMerge w:val="continue"/>
            <w:vAlign w:val="center"/>
          </w:tcPr>
          <w:p w14:paraId="50E5F1B2">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bCs w:val="0"/>
                <w:color w:val="auto"/>
                <w:sz w:val="24"/>
                <w:szCs w:val="24"/>
                <w:highlight w:val="none"/>
              </w:rPr>
            </w:pPr>
          </w:p>
        </w:tc>
        <w:tc>
          <w:tcPr>
            <w:tcW w:w="865" w:type="pct"/>
            <w:vAlign w:val="center"/>
          </w:tcPr>
          <w:p w14:paraId="5033671A">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报告编制</w:t>
            </w:r>
          </w:p>
        </w:tc>
        <w:tc>
          <w:tcPr>
            <w:tcW w:w="3319" w:type="pct"/>
          </w:tcPr>
          <w:p w14:paraId="65B57983">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分析判定单项测试和整体测试结果；分析存在的安全情况；形成测评结论，编制测评报告。</w:t>
            </w:r>
          </w:p>
        </w:tc>
      </w:tr>
      <w:tr w14:paraId="453A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5" w:type="pct"/>
            <w:vMerge w:val="restart"/>
            <w:vAlign w:val="center"/>
          </w:tcPr>
          <w:p w14:paraId="7BA5EFAE">
            <w:pPr>
              <w:pageBreakBefore w:val="0"/>
              <w:widowControl/>
              <w:kinsoku/>
              <w:wordWrap/>
              <w:overflowPunct/>
              <w:topLinePunct w:val="0"/>
              <w:autoSpaceDE/>
              <w:autoSpaceDN/>
              <w:bidi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网络安全技术服务</w:t>
            </w:r>
          </w:p>
        </w:tc>
        <w:tc>
          <w:tcPr>
            <w:tcW w:w="865" w:type="pct"/>
            <w:vAlign w:val="center"/>
          </w:tcPr>
          <w:p w14:paraId="4F7E2DA0">
            <w:pPr>
              <w:pageBreakBefore w:val="0"/>
              <w:widowControl/>
              <w:kinsoku/>
              <w:wordWrap/>
              <w:overflowPunct/>
              <w:topLinePunct w:val="0"/>
              <w:autoSpaceDE/>
              <w:autoSpaceDN/>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代码安全审计</w:t>
            </w:r>
          </w:p>
        </w:tc>
        <w:tc>
          <w:tcPr>
            <w:tcW w:w="3319" w:type="pct"/>
          </w:tcPr>
          <w:p w14:paraId="77AC4399">
            <w:pPr>
              <w:pageBreakBefore w:val="0"/>
              <w:widowControl/>
              <w:kinsoku/>
              <w:wordWrap/>
              <w:overflowPunct/>
              <w:topLinePunct w:val="0"/>
              <w:autoSpaceDE/>
              <w:autoSpaceDN/>
              <w:bidi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季度开展，利用专业测评手段对重要信息系统提供代码安全审计技术服务，发现代码的安全缺陷，编制代码审计报告，列出代码中针对审计列表的符合性/违规性条目，提出对代码修订的措施和建议并协助完成风险项整改。</w:t>
            </w:r>
          </w:p>
        </w:tc>
      </w:tr>
      <w:tr w14:paraId="18F2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5" w:type="pct"/>
            <w:vMerge w:val="continue"/>
            <w:vAlign w:val="center"/>
          </w:tcPr>
          <w:p w14:paraId="5C978338">
            <w:pPr>
              <w:pageBreakBefore w:val="0"/>
              <w:widowControl/>
              <w:kinsoku/>
              <w:wordWrap/>
              <w:overflowPunct/>
              <w:topLinePunct w:val="0"/>
              <w:autoSpaceDE/>
              <w:autoSpaceDN/>
              <w:bidi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865" w:type="pct"/>
            <w:vAlign w:val="center"/>
          </w:tcPr>
          <w:p w14:paraId="04A8BC63">
            <w:pPr>
              <w:pageBreakBefore w:val="0"/>
              <w:widowControl/>
              <w:kinsoku/>
              <w:wordWrap/>
              <w:overflowPunct/>
              <w:topLinePunct w:val="0"/>
              <w:autoSpaceDE/>
              <w:autoSpaceDN/>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漏洞扫描和渗透测试</w:t>
            </w:r>
          </w:p>
        </w:tc>
        <w:tc>
          <w:tcPr>
            <w:tcW w:w="3319" w:type="pct"/>
          </w:tcPr>
          <w:p w14:paraId="683D09ED">
            <w:pPr>
              <w:pageBreakBefore w:val="0"/>
              <w:widowControl/>
              <w:kinsoku/>
              <w:wordWrap/>
              <w:overflowPunct/>
              <w:topLinePunct w:val="0"/>
              <w:autoSpaceDE/>
              <w:autoSpaceDN/>
              <w:bidi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至少2次，模拟黑客攻击，使用各种主流测评工具</w:t>
            </w:r>
            <w:r>
              <w:rPr>
                <w:rFonts w:hint="eastAsia" w:ascii="仿宋" w:hAnsi="仿宋" w:eastAsia="仿宋" w:cs="仿宋"/>
                <w:bCs/>
                <w:color w:val="auto"/>
                <w:sz w:val="24"/>
                <w:szCs w:val="24"/>
                <w:highlight w:val="none"/>
                <w:lang w:eastAsia="zh-CN"/>
              </w:rPr>
              <w:t>或</w:t>
            </w:r>
            <w:r>
              <w:rPr>
                <w:rFonts w:hint="eastAsia" w:ascii="仿宋" w:hAnsi="仿宋" w:eastAsia="仿宋" w:cs="仿宋"/>
                <w:bCs/>
                <w:color w:val="auto"/>
                <w:sz w:val="24"/>
                <w:szCs w:val="24"/>
                <w:highlight w:val="none"/>
              </w:rPr>
              <w:t>自主开发的内部测试工具，参考相应安全性能指标标准进行安全检查，如明文传输、用户枚举、弱口令、越权访问、SQL注入等；</w:t>
            </w:r>
          </w:p>
        </w:tc>
      </w:tr>
      <w:tr w14:paraId="7B9E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5" w:type="pct"/>
            <w:vMerge w:val="continue"/>
          </w:tcPr>
          <w:p w14:paraId="26E6E28B">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p>
        </w:tc>
        <w:tc>
          <w:tcPr>
            <w:tcW w:w="865" w:type="pct"/>
            <w:vAlign w:val="center"/>
          </w:tcPr>
          <w:p w14:paraId="7FD2876B">
            <w:pPr>
              <w:pageBreakBefore w:val="0"/>
              <w:widowControl/>
              <w:kinsoku/>
              <w:wordWrap/>
              <w:overflowPunct/>
              <w:topLinePunct w:val="0"/>
              <w:autoSpaceDE/>
              <w:autoSpaceDN/>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安全培训</w:t>
            </w:r>
          </w:p>
        </w:tc>
        <w:tc>
          <w:tcPr>
            <w:tcW w:w="3319" w:type="pct"/>
          </w:tcPr>
          <w:p w14:paraId="4B1679AC">
            <w:pPr>
              <w:pageBreakBefore w:val="0"/>
              <w:widowControl/>
              <w:kinsoku/>
              <w:wordWrap/>
              <w:overflowPunct/>
              <w:topLinePunct w:val="0"/>
              <w:autoSpaceDE/>
              <w:autoSpaceDN/>
              <w:bidi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少于2次的网络安全培训，进行安全制度宣传、培训与指导，协助采购人完善单位内部安全制度和管理办法。相关培训包括：安全意识教育、网络安全等级保护政策文件、网络安全法律法规、标准、网络安全架构知识、网络安全风险知识等。</w:t>
            </w:r>
          </w:p>
        </w:tc>
      </w:tr>
      <w:tr w14:paraId="2A22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5" w:type="pct"/>
            <w:vMerge w:val="continue"/>
          </w:tcPr>
          <w:p w14:paraId="6A038CBD">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p>
        </w:tc>
        <w:tc>
          <w:tcPr>
            <w:tcW w:w="865" w:type="pct"/>
            <w:vAlign w:val="center"/>
          </w:tcPr>
          <w:p w14:paraId="5BB23174">
            <w:pPr>
              <w:pageBreakBefore w:val="0"/>
              <w:widowControl/>
              <w:kinsoku/>
              <w:wordWrap/>
              <w:overflowPunct/>
              <w:topLinePunct w:val="0"/>
              <w:autoSpaceDE/>
              <w:autoSpaceDN/>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护网支撑</w:t>
            </w:r>
          </w:p>
        </w:tc>
        <w:tc>
          <w:tcPr>
            <w:tcW w:w="3319" w:type="pct"/>
          </w:tcPr>
          <w:p w14:paraId="2C2F9012">
            <w:pPr>
              <w:pageBreakBefore w:val="0"/>
              <w:widowControl/>
              <w:kinsoku/>
              <w:wordWrap/>
              <w:overflowPunct/>
              <w:topLinePunct w:val="0"/>
              <w:autoSpaceDE/>
              <w:autoSpaceDN/>
              <w:bidi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固网期间（2周时间）派工程师现场协助开展网络安全自查及加固工作。</w:t>
            </w:r>
          </w:p>
        </w:tc>
      </w:tr>
      <w:tr w14:paraId="5982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5" w:type="pct"/>
            <w:vMerge w:val="continue"/>
          </w:tcPr>
          <w:p w14:paraId="1CB5C095">
            <w:pPr>
              <w:pageBreakBefore w:val="0"/>
              <w:widowControl/>
              <w:kinsoku/>
              <w:wordWrap/>
              <w:overflowPunct/>
              <w:topLinePunct w:val="0"/>
              <w:autoSpaceDE/>
              <w:autoSpaceDN/>
              <w:bidi w:val="0"/>
              <w:spacing w:line="360" w:lineRule="auto"/>
              <w:ind w:firstLine="0" w:firstLineChars="0"/>
              <w:jc w:val="both"/>
              <w:textAlignment w:val="baseline"/>
              <w:rPr>
                <w:rFonts w:hint="eastAsia" w:ascii="仿宋" w:hAnsi="仿宋" w:eastAsia="仿宋" w:cs="仿宋"/>
                <w:bCs/>
                <w:color w:val="auto"/>
                <w:sz w:val="24"/>
                <w:szCs w:val="24"/>
                <w:highlight w:val="none"/>
              </w:rPr>
            </w:pPr>
          </w:p>
        </w:tc>
        <w:tc>
          <w:tcPr>
            <w:tcW w:w="865" w:type="pct"/>
            <w:vAlign w:val="center"/>
          </w:tcPr>
          <w:p w14:paraId="0F6922FF">
            <w:pPr>
              <w:pageBreakBefore w:val="0"/>
              <w:widowControl/>
              <w:kinsoku/>
              <w:wordWrap/>
              <w:overflowPunct/>
              <w:topLinePunct w:val="0"/>
              <w:autoSpaceDE/>
              <w:autoSpaceDN/>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应急响应服务</w:t>
            </w:r>
          </w:p>
        </w:tc>
        <w:tc>
          <w:tcPr>
            <w:tcW w:w="3319" w:type="pct"/>
          </w:tcPr>
          <w:p w14:paraId="07B6FF17">
            <w:pPr>
              <w:pageBreakBefore w:val="0"/>
              <w:widowControl/>
              <w:kinsoku/>
              <w:wordWrap/>
              <w:overflowPunct/>
              <w:topLinePunct w:val="0"/>
              <w:autoSpaceDE/>
              <w:autoSpaceDN/>
              <w:bidi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在发生安全事件时，提供应急响应服务，</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急处置人员需30分钟以内电话响应，并在4小时内安排不少于1名服务工程师到达现场处理。在网络或系统遭受病毒传播、网络攻击、黑客入侵、安全事件从而导致业务中断、系统宕机、网络瘫痪，数据丢失、声誉受损，并对业务运行产生直接或间接的负面影响时，提供专业的入侵原因分析、系统恢复和加固等安全应急响应服务。在完成事件处置后，形成安全事件处置报告。</w:t>
            </w:r>
          </w:p>
        </w:tc>
      </w:tr>
    </w:tbl>
    <w:p w14:paraId="78FD41C9">
      <w:pPr>
        <w:pStyle w:val="23"/>
        <w:pageBreakBefore w:val="0"/>
        <w:widowControl/>
        <w:kinsoku/>
        <w:wordWrap/>
        <w:overflowPunct/>
        <w:topLinePunct w:val="0"/>
        <w:autoSpaceDE/>
        <w:autoSpaceDN/>
        <w:bidi w:val="0"/>
        <w:spacing w:beforeAutospacing="0" w:afterAutospacing="0" w:line="360" w:lineRule="auto"/>
        <w:ind w:firstLine="0" w:firstLineChars="0"/>
        <w:jc w:val="both"/>
        <w:outlineLvl w:val="0"/>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eastAsia="zh-CN"/>
        </w:rPr>
        <w:t>二</w:t>
      </w:r>
      <w:r>
        <w:rPr>
          <w:rFonts w:hint="eastAsia" w:ascii="仿宋" w:hAnsi="仿宋" w:eastAsia="仿宋" w:cs="仿宋"/>
          <w:b/>
          <w:bCs/>
          <w:color w:val="auto"/>
          <w:kern w:val="2"/>
          <w:sz w:val="24"/>
          <w:szCs w:val="24"/>
          <w:highlight w:val="none"/>
        </w:rPr>
        <w:t>）相关要求</w:t>
      </w:r>
    </w:p>
    <w:p w14:paraId="51D7BD8A">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1、质量要求</w:t>
      </w:r>
    </w:p>
    <w:p w14:paraId="02C4A6DD">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应具备《网络安全等级保护测评与检测评估机构服务认证证书》；</w:t>
      </w:r>
      <w:r>
        <w:rPr>
          <w:rFonts w:hint="eastAsia" w:ascii="仿宋" w:hAnsi="仿宋" w:eastAsia="仿宋" w:cs="仿宋"/>
          <w:color w:val="auto"/>
          <w:sz w:val="24"/>
          <w:szCs w:val="24"/>
          <w:highlight w:val="none"/>
        </w:rPr>
        <w:t>须严格执行国家、行业有关标准，完成项目工作内容及预期成果，确保所提交的报告成果能通过采购人质量抽查以及项目验收检验。确保在执行本合同中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为采购人提供服务的第三方软件、设备、工具的合法性。</w:t>
      </w:r>
    </w:p>
    <w:p w14:paraId="4A3918A0">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2、工期要求</w:t>
      </w:r>
    </w:p>
    <w:p w14:paraId="4097E619">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施进度：本项目自合同签订生效之日起开展网络安全服务工作，严格按照合同内容和进度要求以及项目实施计划，通过关键节点的监控、来控制本项目工作的进度，确保按时保质完成本合同约定的全部服务内容。</w:t>
      </w:r>
    </w:p>
    <w:p w14:paraId="1C4BE3B0">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（2）交付期限：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 xml:space="preserve">按照采购人关于合同签订和项目归档的相关规定和要求，在2025年11月30日前完成工作，并提供至少半年（验收之日起算）的网络安全技术服务。在本项目完成验收之日起20个工作日内协助采购人完成本项目成果资料的归档工作，工作过程中，因上级主管部门安排部署变化导致工作提前或延后的，工期相应提前或顺延。                                              </w:t>
      </w:r>
    </w:p>
    <w:p w14:paraId="27EE2769">
      <w:pPr>
        <w:pStyle w:val="3"/>
        <w:keepNext/>
        <w:keepLines/>
        <w:pageBreakBefore w:val="0"/>
        <w:widowControl/>
        <w:kinsoku/>
        <w:wordWrap/>
        <w:overflowPunct/>
        <w:topLinePunct w:val="0"/>
        <w:autoSpaceDE/>
        <w:autoSpaceDN/>
        <w:bidi w:val="0"/>
        <w:adjustRightInd/>
        <w:snapToGrid/>
        <w:spacing w:before="0" w:after="0" w:line="360" w:lineRule="auto"/>
        <w:ind w:firstLine="482"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3、人员要求</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113"/>
        <w:gridCol w:w="6045"/>
      </w:tblGrid>
      <w:tr w14:paraId="007F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7A5B55D7">
            <w:pPr>
              <w:pStyle w:val="4"/>
              <w:pageBreakBefore w:val="0"/>
              <w:widowControl/>
              <w:kinsoku/>
              <w:wordWrap/>
              <w:overflowPunct/>
              <w:topLinePunct w:val="0"/>
              <w:autoSpaceDE/>
              <w:autoSpaceDN/>
              <w:bidi w:val="0"/>
              <w:adjustRightInd/>
              <w:snapToGrid/>
              <w:spacing w:before="0" w:after="0" w:line="360" w:lineRule="auto"/>
              <w:ind w:firstLine="0" w:firstLineChars="0"/>
              <w:jc w:val="center"/>
              <w:textAlignment w:val="baseline"/>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序号</w:t>
            </w:r>
          </w:p>
        </w:tc>
        <w:tc>
          <w:tcPr>
            <w:tcW w:w="1166" w:type="pct"/>
            <w:vAlign w:val="center"/>
          </w:tcPr>
          <w:p w14:paraId="5F89B3ED">
            <w:pPr>
              <w:pStyle w:val="4"/>
              <w:pageBreakBefore w:val="0"/>
              <w:widowControl/>
              <w:kinsoku/>
              <w:wordWrap/>
              <w:overflowPunct/>
              <w:topLinePunct w:val="0"/>
              <w:autoSpaceDE/>
              <w:autoSpaceDN/>
              <w:bidi w:val="0"/>
              <w:adjustRightInd/>
              <w:snapToGrid/>
              <w:spacing w:before="0" w:after="0" w:line="360" w:lineRule="auto"/>
              <w:ind w:firstLine="0" w:firstLineChars="0"/>
              <w:jc w:val="center"/>
              <w:textAlignment w:val="baseline"/>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类型</w:t>
            </w:r>
          </w:p>
        </w:tc>
        <w:tc>
          <w:tcPr>
            <w:tcW w:w="3336" w:type="pct"/>
            <w:vAlign w:val="center"/>
          </w:tcPr>
          <w:p w14:paraId="1BE9727A">
            <w:pPr>
              <w:pStyle w:val="4"/>
              <w:pageBreakBefore w:val="0"/>
              <w:widowControl/>
              <w:kinsoku/>
              <w:wordWrap/>
              <w:overflowPunct/>
              <w:topLinePunct w:val="0"/>
              <w:autoSpaceDE/>
              <w:autoSpaceDN/>
              <w:bidi w:val="0"/>
              <w:adjustRightInd/>
              <w:snapToGrid/>
              <w:spacing w:before="0" w:after="0" w:line="360" w:lineRule="auto"/>
              <w:ind w:firstLine="0" w:firstLineChars="0"/>
              <w:jc w:val="center"/>
              <w:textAlignment w:val="baseline"/>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人员要求</w:t>
            </w:r>
          </w:p>
        </w:tc>
      </w:tr>
      <w:tr w14:paraId="5F3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14:paraId="19B4620A">
            <w:pPr>
              <w:pStyle w:val="4"/>
              <w:pageBreakBefore w:val="0"/>
              <w:widowControl/>
              <w:kinsoku/>
              <w:wordWrap/>
              <w:overflowPunct/>
              <w:topLinePunct w:val="0"/>
              <w:autoSpaceDE/>
              <w:autoSpaceDN/>
              <w:bidi w:val="0"/>
              <w:adjustRightInd/>
              <w:snapToGrid/>
              <w:spacing w:before="0" w:after="0" w:line="360" w:lineRule="auto"/>
              <w:ind w:firstLine="0" w:firstLineChars="0"/>
              <w:jc w:val="center"/>
              <w:textAlignment w:val="baseline"/>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1166" w:type="pct"/>
            <w:vAlign w:val="center"/>
          </w:tcPr>
          <w:p w14:paraId="04C0A4E7">
            <w:pPr>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核心技术团队</w:t>
            </w:r>
          </w:p>
        </w:tc>
        <w:tc>
          <w:tcPr>
            <w:tcW w:w="3336" w:type="pct"/>
            <w:vAlign w:val="center"/>
          </w:tcPr>
          <w:p w14:paraId="5EED205C">
            <w:pPr>
              <w:pageBreakBefore w:val="0"/>
              <w:widowControl/>
              <w:kinsoku/>
              <w:wordWrap/>
              <w:overflowPunct/>
              <w:topLinePunct w:val="0"/>
              <w:autoSpaceDE/>
              <w:autoSpaceDN/>
              <w:bidi w:val="0"/>
              <w:adjustRightInd/>
              <w:snapToGrid/>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指派固定团队为本项目提供专业技术服务，指定专人担任项目经理负责本项目的技术管理工作，要求服务团队成员的技术能力满足本项目开展需要，团队组织分工明确。项目组人员不少于5人，其中高级信息安全等级测评师不少于1人，中级信息安全等级测评师不少于</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人。保证提供现场服务的人数不少于1人，护网现场支持人员需中级及以上1人，人员要求稳定。</w:t>
            </w:r>
          </w:p>
        </w:tc>
      </w:tr>
      <w:bookmarkEnd w:id="96"/>
    </w:tbl>
    <w:p w14:paraId="62F40FC5">
      <w:pPr>
        <w:pStyle w:val="3"/>
        <w:pageBreakBefore w:val="0"/>
        <w:widowControl/>
        <w:kinsoku/>
        <w:wordWrap/>
        <w:overflowPunct/>
        <w:topLinePunct w:val="0"/>
        <w:autoSpaceDE/>
        <w:autoSpaceDN/>
        <w:bidi w:val="0"/>
        <w:spacing w:before="0" w:after="0" w:line="360" w:lineRule="auto"/>
        <w:ind w:firstLine="56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4、场地要求</w:t>
      </w:r>
    </w:p>
    <w:p w14:paraId="0D3E46DF">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须在采购人指定的场地开展相关工作。</w:t>
      </w:r>
    </w:p>
    <w:p w14:paraId="0D8B352C">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5、保密要求</w:t>
      </w:r>
    </w:p>
    <w:p w14:paraId="701CC641">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严格按照国家数据安全保密相关法律法规以及采购人提出的保密规定开展工作，确保数据安全。等级保护测评机构有义务对项目实施过程中所收集、产生的所有与本项目相关文档、资料，包括文字、图片、表格、数字等各种形式的内容保密，项目成员应严格遵守采购人的规章制度和保密制度,项目团队成员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均须与我单位签订安全保密协议。</w:t>
      </w:r>
    </w:p>
    <w:p w14:paraId="706C1190">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中对信息系统采用的任何技术检测（本地核查、网络扫描、安全分析、设备调研）手段和方法，将事先提交详细的实施（检测）方案，明确检测内容、方法、使用的规则（策略）、可能引发的后果、以及后果的处理等内容，经确认通过后才可进行实施。所有对数据库系统和应用系统的技术测试将预选制定数据备份和恢复方案，并提交相关岗位工程师确认。在方案获得确认后，需确认备份数据有效后再进行相关技术测试。（相关技术测试事先已提交过测试方案并获得采购人签字确认后实施）</w:t>
      </w:r>
    </w:p>
    <w:p w14:paraId="4402967C">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6、其他要求</w:t>
      </w:r>
    </w:p>
    <w:p w14:paraId="035D37F3">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（1）售后要求</w:t>
      </w:r>
    </w:p>
    <w:p w14:paraId="19DECBF7">
      <w:pPr>
        <w:keepNext w:val="0"/>
        <w:keepLines w:val="0"/>
        <w:pageBreakBefore w:val="0"/>
        <w:widowControl/>
        <w:kinsoku/>
        <w:wordWrap/>
        <w:overflowPunct/>
        <w:topLinePunct w:val="0"/>
        <w:autoSpaceDE/>
        <w:autoSpaceDN/>
        <w:bidi w:val="0"/>
        <w:adjustRightInd w:val="0"/>
        <w:snapToGrid w:val="0"/>
        <w:spacing w:line="360" w:lineRule="auto"/>
        <w:ind w:firstLine="561"/>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承担单位应提供至少6个月的售后服务（自验收之日算起），服务期间采购人遇安全时间或需要现场技术支撑时，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服务人员需在30分钟以内电话响应并在4小时内安排不少于1名服务工程师到达现场处理，同时提供针对应急、重大活动等事宜的网络安全保障方案。</w:t>
      </w:r>
    </w:p>
    <w:p w14:paraId="275C9F7E">
      <w:pPr>
        <w:pStyle w:val="3"/>
        <w:pageBreakBefore w:val="0"/>
        <w:widowControl/>
        <w:kinsoku/>
        <w:wordWrap/>
        <w:overflowPunct/>
        <w:topLinePunct w:val="0"/>
        <w:autoSpaceDE/>
        <w:autoSpaceDN/>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（2）项目成果要求</w:t>
      </w:r>
    </w:p>
    <w:p w14:paraId="5961807B">
      <w:pPr>
        <w:pageBreakBefore w:val="0"/>
        <w:widowControl/>
        <w:kinsoku/>
        <w:wordWrap/>
        <w:overflowPunct/>
        <w:topLinePunct w:val="0"/>
        <w:autoSpaceDE/>
        <w:autoSpaceDN/>
        <w:bidi w:val="0"/>
        <w:adjustRightInd w:val="0"/>
        <w:snapToGrid w:val="0"/>
        <w:spacing w:line="360" w:lineRule="auto"/>
        <w:ind w:firstLine="56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本次测评工作及安全服务要求严格按照《信息安全技术—网络安全等级保护测评要求》（GB/T 28448-2019）标准执行，项目成果需按阶段按时完成各项成果，符合该标准要求后进行测评结果报备。在项目完成时，将本项目所有文档、资料汇集成册交付给采购人，所有文件要求用中文书写或有完整的中文注释。验收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按采购人档案管理要求，向采购人提供装订成册的纸质文档、电子文档各1套。具体成果内容如下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662"/>
        <w:gridCol w:w="6649"/>
      </w:tblGrid>
      <w:tr w14:paraId="2247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7F3E0A2F">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bookmarkStart w:id="97" w:name="_Toc45495649"/>
            <w:bookmarkStart w:id="98" w:name="_Toc45495648"/>
            <w:r>
              <w:rPr>
                <w:rFonts w:hint="eastAsia" w:ascii="仿宋" w:hAnsi="仿宋" w:eastAsia="仿宋" w:cs="仿宋"/>
                <w:b w:val="0"/>
                <w:color w:val="auto"/>
                <w:sz w:val="24"/>
                <w:szCs w:val="24"/>
                <w:highlight w:val="none"/>
              </w:rPr>
              <w:t>序号</w:t>
            </w:r>
          </w:p>
        </w:tc>
        <w:tc>
          <w:tcPr>
            <w:tcW w:w="917" w:type="pct"/>
            <w:vAlign w:val="center"/>
          </w:tcPr>
          <w:p w14:paraId="1F96CFE3">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类型</w:t>
            </w:r>
          </w:p>
        </w:tc>
        <w:tc>
          <w:tcPr>
            <w:tcW w:w="3669" w:type="pct"/>
            <w:vAlign w:val="center"/>
          </w:tcPr>
          <w:p w14:paraId="19A2DA81">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成果要求</w:t>
            </w:r>
          </w:p>
        </w:tc>
      </w:tr>
      <w:tr w14:paraId="483C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restart"/>
            <w:vAlign w:val="center"/>
          </w:tcPr>
          <w:p w14:paraId="76B092F0">
            <w:pPr>
              <w:pageBreakBefore w:val="0"/>
              <w:widowControl/>
              <w:kinsoku/>
              <w:wordWrap/>
              <w:overflowPunct/>
              <w:topLinePunct w:val="0"/>
              <w:autoSpaceDE/>
              <w:autoSpaceDN/>
              <w:bidi w:val="0"/>
              <w:adjustRightInd w:val="0"/>
              <w:snapToGrid w:val="0"/>
              <w:spacing w:line="360" w:lineRule="auto"/>
              <w:ind w:firstLine="170" w:firstLineChars="71"/>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7" w:type="pct"/>
            <w:vMerge w:val="restart"/>
            <w:vAlign w:val="center"/>
          </w:tcPr>
          <w:p w14:paraId="324018A4">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报告类</w:t>
            </w:r>
          </w:p>
        </w:tc>
        <w:tc>
          <w:tcPr>
            <w:tcW w:w="3669" w:type="pct"/>
            <w:vAlign w:val="center"/>
          </w:tcPr>
          <w:p w14:paraId="08B571C7">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《信息系统安全差距分析报告》（2个系统各1份）</w:t>
            </w:r>
          </w:p>
        </w:tc>
      </w:tr>
      <w:tr w14:paraId="2D2A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01A62511">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73D88AB5">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0961EC88">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《信息系统安全整改建设方案》（2个系统各1份）</w:t>
            </w:r>
          </w:p>
        </w:tc>
      </w:tr>
      <w:tr w14:paraId="75B8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4E2B1939">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23C85017">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6D9E49A0">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《信息系统安全等级保护测评报告》（2个系统各1份）</w:t>
            </w:r>
          </w:p>
        </w:tc>
      </w:tr>
      <w:tr w14:paraId="5FAC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6128A77A">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57F215AA">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7F1EF0B8">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《系统代码审计报告》（按季度）</w:t>
            </w:r>
          </w:p>
        </w:tc>
      </w:tr>
      <w:tr w14:paraId="3362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39D77D1C">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718BB336">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4A5E0249">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《系统漏洞及渗透测试报告》（按次至少2个）</w:t>
            </w:r>
          </w:p>
        </w:tc>
      </w:tr>
      <w:tr w14:paraId="2D92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7DD0ED8F">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6D55CA7D">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4B1B42D6">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《安全事件处置报告》（如有发生）；</w:t>
            </w:r>
          </w:p>
        </w:tc>
      </w:tr>
      <w:tr w14:paraId="01D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12B46285">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63318FE6">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147256E2">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《工作报告》</w:t>
            </w:r>
          </w:p>
        </w:tc>
      </w:tr>
      <w:tr w14:paraId="3AE1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1FE7A758">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4BCBB726">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5AB73539">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《技术报告》</w:t>
            </w:r>
          </w:p>
        </w:tc>
      </w:tr>
      <w:tr w14:paraId="44CD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Merge w:val="continue"/>
            <w:vAlign w:val="center"/>
          </w:tcPr>
          <w:p w14:paraId="36FBF213">
            <w:pPr>
              <w:pStyle w:val="4"/>
              <w:pageBreakBefore w:val="0"/>
              <w:widowControl/>
              <w:kinsoku/>
              <w:wordWrap/>
              <w:overflowPunct/>
              <w:topLinePunct w:val="0"/>
              <w:autoSpaceDE/>
              <w:autoSpaceDN/>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917" w:type="pct"/>
            <w:vMerge w:val="continue"/>
            <w:vAlign w:val="center"/>
          </w:tcPr>
          <w:p w14:paraId="7B03373F">
            <w:pPr>
              <w:pageBreakBefore w:val="0"/>
              <w:widowControl/>
              <w:kinsoku/>
              <w:wordWrap/>
              <w:overflowPunct/>
              <w:topLinePunct w:val="0"/>
              <w:autoSpaceDE/>
              <w:autoSpaceDN/>
              <w:bidi w:val="0"/>
              <w:adjustRightInd w:val="0"/>
              <w:snapToGrid w:val="0"/>
              <w:spacing w:line="360" w:lineRule="auto"/>
              <w:ind w:firstLine="480"/>
              <w:jc w:val="both"/>
              <w:textAlignment w:val="baseline"/>
              <w:rPr>
                <w:rFonts w:hint="eastAsia" w:ascii="仿宋" w:hAnsi="仿宋" w:eastAsia="仿宋" w:cs="仿宋"/>
                <w:color w:val="auto"/>
                <w:sz w:val="24"/>
                <w:szCs w:val="24"/>
                <w:highlight w:val="none"/>
              </w:rPr>
            </w:pPr>
          </w:p>
        </w:tc>
        <w:tc>
          <w:tcPr>
            <w:tcW w:w="3669" w:type="pct"/>
            <w:vAlign w:val="center"/>
          </w:tcPr>
          <w:p w14:paraId="3CC320FF">
            <w:pPr>
              <w:pStyle w:val="11"/>
              <w:pageBreakBefore w:val="0"/>
              <w:widowControl/>
              <w:kinsoku/>
              <w:wordWrap/>
              <w:overflowPunct/>
              <w:topLinePunct w:val="0"/>
              <w:autoSpaceDE/>
              <w:autoSpaceDN/>
              <w:bidi w:val="0"/>
              <w:adjustRightInd w:val="0"/>
              <w:snapToGrid w:val="0"/>
              <w:spacing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《决算报告》</w:t>
            </w:r>
          </w:p>
        </w:tc>
      </w:tr>
      <w:bookmarkEnd w:id="97"/>
      <w:bookmarkEnd w:id="98"/>
    </w:tbl>
    <w:p w14:paraId="1336B37F">
      <w:pPr>
        <w:pageBreakBefore w:val="0"/>
        <w:widowControl/>
        <w:kinsoku/>
        <w:wordWrap/>
        <w:overflowPunct/>
        <w:topLinePunct w:val="0"/>
        <w:autoSpaceDE/>
        <w:autoSpaceDN/>
        <w:bidi w:val="0"/>
        <w:spacing w:line="360" w:lineRule="auto"/>
        <w:rPr>
          <w:rFonts w:hint="eastAsia" w:ascii="仿宋" w:hAnsi="仿宋" w:eastAsia="仿宋" w:cs="仿宋"/>
          <w:b/>
          <w:bCs/>
          <w:color w:val="auto"/>
          <w:sz w:val="24"/>
          <w:szCs w:val="24"/>
          <w:highlight w:val="none"/>
          <w:lang w:eastAsia="zh-CN"/>
        </w:rPr>
      </w:pPr>
    </w:p>
    <w:p w14:paraId="7F8265C9">
      <w:pPr>
        <w:rPr>
          <w:rFonts w:hint="eastAsia" w:ascii="仿宋" w:hAnsi="仿宋" w:eastAsia="仿宋" w:cs="仿宋"/>
          <w:b/>
          <w:bCs/>
          <w:color w:val="auto"/>
          <w:sz w:val="32"/>
          <w:szCs w:val="40"/>
          <w:highlight w:val="none"/>
          <w:lang w:eastAsia="zh-CN"/>
        </w:rPr>
      </w:pPr>
      <w:r>
        <w:rPr>
          <w:rFonts w:hint="eastAsia" w:ascii="仿宋" w:hAnsi="仿宋" w:eastAsia="仿宋" w:cs="仿宋"/>
          <w:b/>
          <w:bCs/>
          <w:color w:val="auto"/>
          <w:sz w:val="32"/>
          <w:szCs w:val="40"/>
          <w:highlight w:val="none"/>
          <w:lang w:eastAsia="zh-CN"/>
        </w:rPr>
        <w:br w:type="page"/>
      </w:r>
    </w:p>
    <w:p w14:paraId="24FBA8D4">
      <w:pPr>
        <w:shd w:val="clear"/>
        <w:spacing w:line="579" w:lineRule="exact"/>
        <w:ind w:firstLine="643" w:firstLineChars="200"/>
        <w:jc w:val="center"/>
        <w:outlineLvl w:val="0"/>
        <w:rPr>
          <w:rFonts w:ascii="仿宋" w:hAnsi="仿宋" w:eastAsia="仿宋" w:cs="仿宋"/>
          <w:color w:val="auto"/>
          <w:highlight w:val="none"/>
          <w:lang w:eastAsia="zh-CN"/>
        </w:rPr>
      </w:pPr>
      <w:r>
        <w:rPr>
          <w:rFonts w:hint="eastAsia" w:ascii="仿宋" w:hAnsi="仿宋" w:eastAsia="仿宋" w:cs="仿宋"/>
          <w:b/>
          <w:bCs/>
          <w:color w:val="auto"/>
          <w:sz w:val="32"/>
          <w:szCs w:val="40"/>
          <w:highlight w:val="none"/>
          <w:lang w:eastAsia="zh-CN"/>
        </w:rPr>
        <w:t>第四部分  合同条款</w:t>
      </w:r>
      <w:bookmarkEnd w:id="90"/>
      <w:bookmarkEnd w:id="91"/>
      <w:bookmarkEnd w:id="92"/>
      <w:bookmarkEnd w:id="93"/>
      <w:bookmarkEnd w:id="94"/>
      <w:bookmarkEnd w:id="95"/>
    </w:p>
    <w:p w14:paraId="3010A6EC">
      <w:pPr>
        <w:pStyle w:val="60"/>
        <w:pBdr>
          <w:top w:val="none" w:color="auto" w:sz="0" w:space="0"/>
          <w:left w:val="none" w:color="auto" w:sz="0" w:space="0"/>
          <w:bottom w:val="none" w:color="auto" w:sz="0" w:space="0"/>
          <w:right w:val="none" w:color="auto" w:sz="0" w:space="0"/>
        </w:pBdr>
        <w:shd w:val="clea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14B0CF54">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14:paraId="66D3B49A">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55F3D5D">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69788697">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34D8CD4">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27FCA88A">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102F1DD1">
      <w:pPr>
        <w:pStyle w:val="60"/>
        <w:pBdr>
          <w:top w:val="none" w:color="auto" w:sz="0" w:space="0"/>
          <w:left w:val="none" w:color="auto" w:sz="0" w:space="0"/>
          <w:bottom w:val="none" w:color="auto" w:sz="0" w:space="0"/>
          <w:right w:val="none" w:color="auto" w:sz="0" w:space="0"/>
        </w:pBdr>
        <w:shd w:val="clear"/>
        <w:tabs>
          <w:tab w:val="left" w:pos="2625"/>
        </w:tabs>
        <w:spacing w:line="579" w:lineRule="exact"/>
        <w:ind w:firstLine="220" w:firstLineChars="100"/>
        <w:rPr>
          <w:rFonts w:hint="eastAsia" w:ascii="仿宋" w:hAnsi="仿宋" w:eastAsia="仿宋" w:cs="仿宋"/>
          <w:color w:val="auto"/>
          <w:highlight w:val="none"/>
          <w:lang w:eastAsia="zh-CN"/>
        </w:rPr>
      </w:pPr>
    </w:p>
    <w:p w14:paraId="4BF6EB3B">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1BBA531">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DB371C2">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30D896F">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4AF3430">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67FE29E0">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7A07ACCE">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1A20E2F">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E04D3BB">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43505079">
      <w:pPr>
        <w:shd w:val="clea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28E630B">
      <w:pPr>
        <w:pStyle w:val="25"/>
        <w:shd w:val="clear"/>
        <w:rPr>
          <w:rFonts w:ascii="仿宋" w:hAnsi="仿宋" w:eastAsia="仿宋" w:cs="仿宋"/>
          <w:b/>
          <w:bCs/>
          <w:color w:val="auto"/>
          <w:sz w:val="48"/>
          <w:szCs w:val="48"/>
          <w:highlight w:val="none"/>
          <w:lang w:val="zh-CN" w:eastAsia="zh-CN"/>
        </w:rPr>
      </w:pPr>
    </w:p>
    <w:p w14:paraId="5091E93B">
      <w:pPr>
        <w:rPr>
          <w:rFonts w:ascii="黑体" w:hAnsi="黑体" w:eastAsia="黑体"/>
          <w:color w:val="auto"/>
          <w:sz w:val="32"/>
          <w:szCs w:val="36"/>
          <w:highlight w:val="none"/>
        </w:rPr>
      </w:pPr>
      <w:bookmarkStart w:id="99" w:name="_Toc15427"/>
      <w:bookmarkStart w:id="100" w:name="_Toc7400"/>
      <w:bookmarkStart w:id="101" w:name="_Toc17311"/>
      <w:bookmarkStart w:id="102" w:name="_Toc4727"/>
      <w:bookmarkStart w:id="103" w:name="_Toc3023"/>
      <w:r>
        <w:rPr>
          <w:rFonts w:hint="eastAsia" w:ascii="仿宋_GB2312" w:hAnsi="仿宋" w:eastAsia="仿宋_GB2312"/>
          <w:color w:val="auto"/>
          <w:sz w:val="30"/>
          <w:szCs w:val="20"/>
          <w:highlight w:val="none"/>
        </w:rPr>
        <w:t>合同编号：</w:t>
      </w:r>
    </w:p>
    <w:p w14:paraId="27512F79">
      <w:pPr>
        <w:spacing w:line="360" w:lineRule="auto"/>
        <w:jc w:val="center"/>
        <w:rPr>
          <w:rFonts w:ascii="仿宋_GB2312" w:eastAsia="仿宋_GB2312"/>
          <w:color w:val="auto"/>
          <w:sz w:val="30"/>
          <w:szCs w:val="20"/>
          <w:highlight w:val="none"/>
        </w:rPr>
      </w:pPr>
    </w:p>
    <w:p w14:paraId="11802F59">
      <w:pPr>
        <w:pStyle w:val="82"/>
        <w:outlineLvl w:val="9"/>
        <w:rPr>
          <w:rFonts w:ascii="黑体" w:hAnsi="黑体" w:eastAsia="黑体"/>
          <w:color w:val="auto"/>
          <w:sz w:val="40"/>
          <w:szCs w:val="40"/>
          <w:highlight w:val="none"/>
        </w:rPr>
      </w:pPr>
      <w:r>
        <w:rPr>
          <w:rFonts w:hint="eastAsia" w:ascii="黑体" w:hAnsi="黑体" w:eastAsia="黑体"/>
          <w:color w:val="auto"/>
          <w:sz w:val="40"/>
          <w:szCs w:val="40"/>
          <w:highlight w:val="none"/>
        </w:rPr>
        <w:t>自治区自然资源规划研究院委托业务项目合同书</w:t>
      </w:r>
    </w:p>
    <w:p w14:paraId="0EE521D1">
      <w:pPr>
        <w:spacing w:line="360" w:lineRule="auto"/>
        <w:ind w:left="360" w:hanging="360"/>
        <w:jc w:val="center"/>
        <w:rPr>
          <w:rFonts w:ascii="仿宋_GB2312" w:eastAsia="仿宋_GB2312"/>
          <w:b/>
          <w:color w:val="auto"/>
          <w:spacing w:val="100"/>
          <w:sz w:val="30"/>
          <w:szCs w:val="20"/>
          <w:highlight w:val="none"/>
        </w:rPr>
      </w:pPr>
    </w:p>
    <w:p w14:paraId="37D73F27">
      <w:pPr>
        <w:spacing w:line="360" w:lineRule="auto"/>
        <w:ind w:left="360" w:hanging="360"/>
        <w:jc w:val="center"/>
        <w:rPr>
          <w:rFonts w:ascii="仿宋_GB2312" w:eastAsia="仿宋_GB2312"/>
          <w:b/>
          <w:color w:val="auto"/>
          <w:spacing w:val="100"/>
          <w:sz w:val="30"/>
          <w:szCs w:val="20"/>
          <w:highlight w:val="none"/>
        </w:rPr>
      </w:pPr>
    </w:p>
    <w:p w14:paraId="472AF1B0">
      <w:pPr>
        <w:spacing w:line="360" w:lineRule="auto"/>
        <w:ind w:left="360" w:hanging="360"/>
        <w:jc w:val="center"/>
        <w:rPr>
          <w:rFonts w:ascii="仿宋_GB2312" w:eastAsia="仿宋_GB2312"/>
          <w:b/>
          <w:color w:val="auto"/>
          <w:spacing w:val="100"/>
          <w:sz w:val="30"/>
          <w:szCs w:val="20"/>
          <w:highlight w:val="none"/>
        </w:rPr>
      </w:pPr>
    </w:p>
    <w:p w14:paraId="32D4C17E">
      <w:pPr>
        <w:spacing w:line="360" w:lineRule="auto"/>
        <w:ind w:left="360" w:hanging="360"/>
        <w:jc w:val="center"/>
        <w:rPr>
          <w:rFonts w:ascii="仿宋_GB2312" w:eastAsia="仿宋_GB2312"/>
          <w:b/>
          <w:color w:val="auto"/>
          <w:spacing w:val="100"/>
          <w:sz w:val="30"/>
          <w:szCs w:val="20"/>
          <w:highlight w:val="none"/>
        </w:rPr>
      </w:pPr>
    </w:p>
    <w:p w14:paraId="28D3CC73">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委托业务项目：</w:t>
      </w:r>
    </w:p>
    <w:p w14:paraId="05AA69C8">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项目承担单位： </w:t>
      </w:r>
    </w:p>
    <w:p w14:paraId="61D925ED">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负 责 人： </w:t>
      </w:r>
    </w:p>
    <w:p w14:paraId="0126CBE7">
      <w:pPr>
        <w:spacing w:before="312" w:beforeLines="100" w:line="360" w:lineRule="auto"/>
        <w:ind w:left="376" w:leftChars="171" w:firstLine="960" w:firstLineChars="300"/>
        <w:rPr>
          <w:rFonts w:ascii="黑体" w:hAnsi="黑体" w:eastAsia="黑体"/>
          <w:bCs/>
          <w:color w:val="auto"/>
          <w:sz w:val="32"/>
          <w:szCs w:val="32"/>
          <w:highlight w:val="none"/>
        </w:rPr>
      </w:pPr>
      <w:r>
        <w:rPr>
          <w:rFonts w:hint="eastAsia" w:ascii="黑体" w:hAnsi="黑体" w:eastAsia="黑体"/>
          <w:bCs/>
          <w:color w:val="auto"/>
          <w:sz w:val="32"/>
          <w:szCs w:val="32"/>
          <w:highlight w:val="none"/>
        </w:rPr>
        <w:t>起止时间：20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w:t>
      </w:r>
    </w:p>
    <w:p w14:paraId="12E81D1B">
      <w:pPr>
        <w:spacing w:before="312" w:beforeLines="100" w:line="360" w:lineRule="auto"/>
        <w:ind w:left="376" w:leftChars="171" w:firstLine="960" w:firstLineChars="300"/>
        <w:rPr>
          <w:rFonts w:ascii="仿宋_GB2312" w:eastAsia="仿宋_GB2312"/>
          <w:bCs/>
          <w:color w:val="auto"/>
          <w:sz w:val="32"/>
          <w:szCs w:val="32"/>
          <w:highlight w:val="none"/>
        </w:rPr>
      </w:pPr>
      <w:r>
        <w:rPr>
          <w:rFonts w:hint="eastAsia" w:ascii="黑体" w:hAnsi="黑体" w:eastAsia="黑体"/>
          <w:bCs/>
          <w:color w:val="auto"/>
          <w:sz w:val="32"/>
          <w:szCs w:val="32"/>
          <w:highlight w:val="none"/>
        </w:rPr>
        <w:t xml:space="preserve">签订地点：    </w:t>
      </w:r>
    </w:p>
    <w:p w14:paraId="71C0746E">
      <w:pPr>
        <w:spacing w:line="360" w:lineRule="auto"/>
        <w:rPr>
          <w:rFonts w:ascii="仿宋_GB2312" w:eastAsia="仿宋_GB2312"/>
          <w:b/>
          <w:color w:val="auto"/>
          <w:spacing w:val="100"/>
          <w:sz w:val="30"/>
          <w:szCs w:val="20"/>
          <w:highlight w:val="none"/>
        </w:rPr>
      </w:pPr>
    </w:p>
    <w:p w14:paraId="070AF45B">
      <w:pPr>
        <w:spacing w:line="360" w:lineRule="auto"/>
        <w:jc w:val="both"/>
        <w:rPr>
          <w:rFonts w:ascii="黑体" w:hAnsi="黑体" w:eastAsia="黑体"/>
          <w:bCs/>
          <w:color w:val="auto"/>
          <w:sz w:val="32"/>
          <w:szCs w:val="32"/>
          <w:highlight w:val="none"/>
        </w:rPr>
      </w:pPr>
    </w:p>
    <w:p w14:paraId="175A66D5">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自治区自然资源规划研究院制</w:t>
      </w:r>
    </w:p>
    <w:p w14:paraId="45482E5C">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年 </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 xml:space="preserve"> 月  </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日</w:t>
      </w:r>
    </w:p>
    <w:p w14:paraId="3D6A5327">
      <w:pPr>
        <w:rPr>
          <w:rFonts w:hint="eastAsia" w:ascii="仿宋_GB2312" w:hAnsi="仿宋" w:eastAsia="仿宋_GB2312"/>
          <w:b/>
          <w:color w:val="auto"/>
          <w:sz w:val="30"/>
          <w:szCs w:val="20"/>
          <w:highlight w:val="none"/>
        </w:rPr>
      </w:pPr>
      <w:r>
        <w:rPr>
          <w:rFonts w:hint="eastAsia" w:ascii="仿宋_GB2312" w:hAnsi="仿宋" w:eastAsia="仿宋_GB2312"/>
          <w:b/>
          <w:color w:val="auto"/>
          <w:sz w:val="30"/>
          <w:szCs w:val="20"/>
          <w:highlight w:val="none"/>
        </w:rPr>
        <w:br w:type="page"/>
      </w:r>
    </w:p>
    <w:p w14:paraId="57459E91">
      <w:pPr>
        <w:spacing w:before="156" w:beforeLines="50" w:line="360" w:lineRule="auto"/>
        <w:rPr>
          <w:rFonts w:ascii="仿宋_GB2312" w:hAnsi="仿宋" w:eastAsia="仿宋_GB2312"/>
          <w:b/>
          <w:color w:val="auto"/>
          <w:sz w:val="30"/>
          <w:szCs w:val="20"/>
          <w:highlight w:val="none"/>
        </w:rPr>
      </w:pPr>
      <w:r>
        <w:rPr>
          <w:rFonts w:hint="eastAsia" w:ascii="仿宋_GB2312" w:hAnsi="仿宋" w:eastAsia="仿宋_GB2312"/>
          <w:b/>
          <w:color w:val="auto"/>
          <w:sz w:val="30"/>
          <w:szCs w:val="20"/>
          <w:highlight w:val="none"/>
        </w:rPr>
        <w:t>填写说明：</w:t>
      </w:r>
    </w:p>
    <w:p w14:paraId="5F3A62E4">
      <w:pPr>
        <w:spacing w:before="156" w:beforeLines="50" w:line="360" w:lineRule="auto"/>
        <w:ind w:firstLine="600"/>
        <w:rPr>
          <w:rFonts w:ascii="仿宋_GB2312" w:hAnsi="仿宋" w:eastAsia="仿宋_GB2312"/>
          <w:color w:val="auto"/>
          <w:sz w:val="30"/>
          <w:szCs w:val="20"/>
          <w:highlight w:val="none"/>
        </w:rPr>
      </w:pPr>
      <w:r>
        <w:rPr>
          <w:rFonts w:hint="eastAsia" w:ascii="仿宋_GB2312" w:hAnsi="仿宋" w:eastAsia="仿宋_GB2312"/>
          <w:color w:val="auto"/>
          <w:sz w:val="30"/>
          <w:szCs w:val="20"/>
          <w:highlight w:val="none"/>
        </w:rPr>
        <w:t>1.本委托业务项目合同书文本是院为执行业务计划，与委托业务单位签订的合同书文本。</w:t>
      </w:r>
    </w:p>
    <w:p w14:paraId="1222061D">
      <w:pPr>
        <w:spacing w:before="156" w:beforeLines="50" w:line="360" w:lineRule="auto"/>
        <w:ind w:firstLine="600"/>
        <w:rPr>
          <w:rFonts w:ascii="仿宋_GB2312" w:eastAsia="仿宋_GB2312"/>
          <w:color w:val="auto"/>
          <w:sz w:val="30"/>
          <w:szCs w:val="20"/>
          <w:highlight w:val="none"/>
        </w:rPr>
      </w:pPr>
      <w:r>
        <w:rPr>
          <w:rFonts w:hint="eastAsia" w:ascii="仿宋_GB2312" w:hAnsi="仿宋" w:eastAsia="仿宋_GB2312"/>
          <w:color w:val="auto"/>
          <w:sz w:val="30"/>
          <w:szCs w:val="20"/>
          <w:highlight w:val="none"/>
        </w:rPr>
        <w:t>2.本委托业务项目合同书文本要求用计算机A3纸打印，字迹清晰，要符合规定的字体、排版要求，全文使用小四仿宋，条为小四仿宋加黑，行间距为单倍行间距，段间距为段前0.5行。</w:t>
      </w:r>
    </w:p>
    <w:p w14:paraId="00721F50">
      <w:pPr>
        <w:ind w:firstLine="600"/>
        <w:rPr>
          <w:rFonts w:ascii="仿宋_GB2312" w:eastAsia="仿宋_GB2312"/>
          <w:color w:val="auto"/>
          <w:sz w:val="30"/>
          <w:szCs w:val="20"/>
          <w:highlight w:val="none"/>
        </w:rPr>
      </w:pPr>
    </w:p>
    <w:p w14:paraId="52E51ECF">
      <w:pPr>
        <w:ind w:firstLine="600"/>
        <w:rPr>
          <w:rFonts w:ascii="仿宋_GB2312" w:eastAsia="仿宋_GB2312"/>
          <w:color w:val="auto"/>
          <w:sz w:val="30"/>
          <w:szCs w:val="20"/>
          <w:highlight w:val="none"/>
        </w:rPr>
      </w:pPr>
    </w:p>
    <w:p w14:paraId="14FCDC5B">
      <w:pPr>
        <w:tabs>
          <w:tab w:val="right" w:pos="5670"/>
          <w:tab w:val="right" w:pos="7980"/>
        </w:tabs>
        <w:spacing w:line="360" w:lineRule="auto"/>
        <w:ind w:left="360" w:firstLine="60"/>
        <w:rPr>
          <w:rFonts w:ascii="仿宋_GB2312" w:eastAsia="仿宋_GB2312"/>
          <w:color w:val="auto"/>
          <w:sz w:val="28"/>
          <w:szCs w:val="20"/>
          <w:highlight w:val="none"/>
        </w:rPr>
      </w:pPr>
    </w:p>
    <w:p w14:paraId="1A835D37">
      <w:pPr>
        <w:autoSpaceDE w:val="0"/>
        <w:autoSpaceDN w:val="0"/>
        <w:adjustRightInd w:val="0"/>
        <w:spacing w:after="156" w:afterLines="50" w:line="360" w:lineRule="auto"/>
        <w:ind w:firstLine="420"/>
        <w:jc w:val="center"/>
        <w:rPr>
          <w:rFonts w:ascii="仿宋_GB2312" w:hAnsi="宋体" w:eastAsia="仿宋_GB2312"/>
          <w:color w:val="auto"/>
          <w:sz w:val="44"/>
          <w:szCs w:val="44"/>
          <w:highlight w:val="none"/>
        </w:rPr>
      </w:pPr>
      <w:r>
        <w:rPr>
          <w:rFonts w:hint="eastAsia" w:ascii="仿宋_GB2312" w:eastAsia="仿宋_GB2312"/>
          <w:color w:val="auto"/>
          <w:sz w:val="28"/>
          <w:szCs w:val="20"/>
          <w:highlight w:val="none"/>
        </w:rPr>
        <w:br w:type="page"/>
      </w:r>
    </w:p>
    <w:p w14:paraId="2C8560BD">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委托单位（甲方）： </w:t>
      </w:r>
      <w:r>
        <w:rPr>
          <w:rFonts w:ascii="仿宋_GB2312" w:eastAsia="仿宋_GB2312" w:cs="宋体"/>
          <w:b/>
          <w:color w:val="auto"/>
          <w:kern w:val="0"/>
          <w:sz w:val="24"/>
          <w:highlight w:val="none"/>
          <w:lang w:val="zh-CN"/>
        </w:rPr>
        <w:t xml:space="preserve">                              </w:t>
      </w:r>
    </w:p>
    <w:p w14:paraId="12B51239">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097B26CE">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036C2582">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传真： </w:t>
      </w:r>
      <w:r>
        <w:rPr>
          <w:rFonts w:ascii="仿宋_GB2312" w:hAnsi="宋体" w:eastAsia="仿宋_GB2312"/>
          <w:color w:val="auto"/>
          <w:sz w:val="24"/>
          <w:highlight w:val="none"/>
        </w:rPr>
        <w:t xml:space="preserve">                              </w:t>
      </w:r>
    </w:p>
    <w:p w14:paraId="558FB0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15E69250">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乙方： </w:t>
      </w:r>
      <w:r>
        <w:rPr>
          <w:rFonts w:ascii="仿宋_GB2312" w:eastAsia="仿宋_GB2312" w:cs="宋体"/>
          <w:b/>
          <w:color w:val="auto"/>
          <w:kern w:val="0"/>
          <w:sz w:val="24"/>
          <w:highlight w:val="none"/>
          <w:lang w:val="zh-CN"/>
        </w:rPr>
        <w:t xml:space="preserve">                              </w:t>
      </w:r>
    </w:p>
    <w:p w14:paraId="0CA9AB01">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6CCC0B6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6FAD99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传真： </w:t>
      </w:r>
      <w:r>
        <w:rPr>
          <w:rFonts w:ascii="仿宋_GB2312" w:hAnsi="宋体" w:eastAsia="仿宋_GB2312"/>
          <w:color w:val="auto"/>
          <w:sz w:val="24"/>
          <w:highlight w:val="none"/>
        </w:rPr>
        <w:t xml:space="preserve">                              </w:t>
      </w:r>
    </w:p>
    <w:p w14:paraId="18219FB0">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7A22D1B4">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通过</w:t>
      </w:r>
      <w:r>
        <w:rPr>
          <w:rFonts w:hint="eastAsia" w:ascii="仿宋_GB2312" w:hAnsi="宋体" w:eastAsia="仿宋_GB2312"/>
          <w:color w:val="auto"/>
          <w:sz w:val="24"/>
          <w:highlight w:val="none"/>
          <w:u w:val="single"/>
        </w:rPr>
        <w:t xml:space="preserve">        （公开招标、邀请招标、竞争性谈判、单一来源采购、询价等）</w:t>
      </w:r>
      <w:r>
        <w:rPr>
          <w:rFonts w:hint="eastAsia" w:ascii="仿宋_GB2312" w:hAnsi="宋体" w:eastAsia="仿宋_GB2312"/>
          <w:color w:val="auto"/>
          <w:sz w:val="24"/>
          <w:highlight w:val="none"/>
        </w:rPr>
        <w:t>方式，确定由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乙方)承担此项目,根据《中华人民共和国民法典》及其他有关法律、法规规定，本着自愿、平等、诚实信用的原则，甲、乙双方就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项目，协商一致，达成如下协议：</w:t>
      </w:r>
    </w:p>
    <w:p w14:paraId="444B2438">
      <w:pPr>
        <w:tabs>
          <w:tab w:val="left" w:pos="1134"/>
          <w:tab w:val="left" w:pos="1418"/>
        </w:tabs>
        <w:spacing w:after="156" w:afterLines="50" w:line="360" w:lineRule="auto"/>
        <w:ind w:firstLine="361" w:firstLineChars="150"/>
        <w:rPr>
          <w:rFonts w:ascii="仿宋_GB2312" w:hAnsi="宋体" w:eastAsia="仿宋_GB2312"/>
          <w:b/>
          <w:color w:val="auto"/>
          <w:sz w:val="24"/>
          <w:highlight w:val="none"/>
        </w:rPr>
      </w:pPr>
      <w:r>
        <w:rPr>
          <w:rFonts w:hint="eastAsia" w:ascii="仿宋_GB2312" w:hAnsi="宋体" w:eastAsia="仿宋_GB2312"/>
          <w:b/>
          <w:color w:val="auto"/>
          <w:sz w:val="24"/>
          <w:highlight w:val="none"/>
        </w:rPr>
        <w:t>第一条 项目内容</w:t>
      </w:r>
    </w:p>
    <w:p w14:paraId="3FB3F6FA">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 项目名称：</w:t>
      </w:r>
    </w:p>
    <w:p w14:paraId="0EC3275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0FD14A8">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 主要内容</w:t>
      </w:r>
      <w:bookmarkStart w:id="104" w:name="_Toc292698630"/>
      <w:r>
        <w:rPr>
          <w:rFonts w:hint="eastAsia" w:ascii="仿宋_GB2312" w:hAnsi="宋体" w:eastAsia="仿宋_GB2312"/>
          <w:color w:val="auto"/>
          <w:sz w:val="24"/>
          <w:highlight w:val="none"/>
        </w:rPr>
        <w:t>：</w:t>
      </w:r>
      <w:bookmarkEnd w:id="104"/>
    </w:p>
    <w:p w14:paraId="0AA2E4EC">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47A69225">
      <w:pPr>
        <w:spacing w:after="156" w:afterLines="50" w:line="360" w:lineRule="auto"/>
        <w:ind w:left="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阶段安排和阶段性成果要求：</w:t>
      </w:r>
    </w:p>
    <w:p w14:paraId="0962A443">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0F0231A6">
      <w:pPr>
        <w:widowControl/>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 委托业务项目主要考核指标（主要成果名称及形式）：</w:t>
      </w:r>
    </w:p>
    <w:p w14:paraId="7C17C70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5209BEE1">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5.成果应符合以下质量要求：</w:t>
      </w:r>
    </w:p>
    <w:p w14:paraId="025CA0C9">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10B8A21">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第二条 经费及支付</w:t>
      </w:r>
    </w:p>
    <w:p w14:paraId="7707F643">
      <w:pPr>
        <w:spacing w:after="156" w:afterLines="50" w:line="360" w:lineRule="auto"/>
        <w:ind w:firstLine="470" w:firstLineChars="196"/>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hint="eastAsia" w:ascii="仿宋_GB2312" w:hAnsi="宋体" w:eastAsia="仿宋_GB2312"/>
          <w:color w:val="auto"/>
          <w:sz w:val="24"/>
          <w:highlight w:val="none"/>
        </w:rPr>
        <w:t xml:space="preserve"> 本项目技术服务费为：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元人民币，大写：</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。上述费用为含税价，并包括乙方在整个服务过程中产生的所有费用。</w:t>
      </w:r>
    </w:p>
    <w:p w14:paraId="691BD498">
      <w:pPr>
        <w:spacing w:after="156" w:afterLines="50" w:line="360" w:lineRule="auto"/>
        <w:ind w:firstLine="465" w:firstLineChars="194"/>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2.服务费采用分期支付的方式，本合同签订后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%的预付款（即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元）。乙方向甲方交付所有项目成果，并经甲方验收合格后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w:t>
      </w:r>
      <w:r>
        <w:rPr>
          <w:rFonts w:hint="eastAsia" w:ascii="仿宋_GB2312" w:hAnsi="宋体" w:eastAsia="仿宋_GB2312"/>
          <w:color w:val="auto"/>
          <w:sz w:val="24"/>
          <w:highlight w:val="none"/>
        </w:rPr>
        <w:t>即：在满足上述条件的情况下，甲方分别在每个结算周期收到乙方开具增值税发票后，以银行转账方式向乙方分别支付相应的费用。</w:t>
      </w:r>
    </w:p>
    <w:p w14:paraId="463B7771">
      <w:pPr>
        <w:topLinePunct/>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服务费汇入乙方指定的以下账户：</w:t>
      </w:r>
    </w:p>
    <w:p w14:paraId="26E847B8">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收款单位名称：</w:t>
      </w:r>
      <w:r>
        <w:rPr>
          <w:rFonts w:hint="eastAsia" w:ascii="仿宋_GB2312" w:hAnsi="宋体" w:eastAsia="仿宋_GB2312"/>
          <w:color w:val="auto"/>
          <w:sz w:val="24"/>
          <w:highlight w:val="none"/>
          <w:u w:val="single"/>
        </w:rPr>
        <w:t xml:space="preserve">                     </w:t>
      </w:r>
    </w:p>
    <w:p w14:paraId="29A011E7">
      <w:pPr>
        <w:spacing w:after="156" w:afterLines="5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社会统一信用代码：</w:t>
      </w:r>
      <w:r>
        <w:rPr>
          <w:rFonts w:hint="eastAsia" w:ascii="仿宋_GB2312" w:hAnsi="宋体" w:eastAsia="仿宋_GB2312"/>
          <w:color w:val="auto"/>
          <w:sz w:val="24"/>
          <w:highlight w:val="none"/>
          <w:u w:val="single"/>
        </w:rPr>
        <w:t xml:space="preserve">                   </w:t>
      </w:r>
    </w:p>
    <w:p w14:paraId="324EE237">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开户行名称：</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FD8A176">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开户行地址：</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D2579C4">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银行账号：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599F68B">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联行行号：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81B0886">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财务联系人：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p>
    <w:p w14:paraId="799CFC4A">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乙方应对上述账户信息的真实性、安全性、完整性、准确性负责，否则因此给甲方和乙方造成的损失均由乙方负责承担和赔偿。</w:t>
      </w:r>
    </w:p>
    <w:p w14:paraId="3AF1E0EA">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第三条 项目履行期限及地点</w:t>
      </w:r>
    </w:p>
    <w:p w14:paraId="2B4D9B1A">
      <w:pPr>
        <w:spacing w:after="156" w:afterLines="50" w:line="360" w:lineRule="auto"/>
        <w:ind w:firstLine="480" w:firstLineChars="200"/>
        <w:rPr>
          <w:rFonts w:ascii="仿宋_GB2312" w:hAnsi="宋体" w:eastAsia="仿宋_GB2312"/>
          <w:b/>
          <w:color w:val="auto"/>
          <w:sz w:val="24"/>
          <w:highlight w:val="none"/>
        </w:rPr>
      </w:pPr>
      <w:r>
        <w:rPr>
          <w:rFonts w:hint="eastAsia" w:ascii="仿宋_GB2312" w:hAnsi="宋体" w:eastAsia="仿宋_GB2312" w:cs="宋体"/>
          <w:color w:val="auto"/>
          <w:kern w:val="0"/>
          <w:sz w:val="24"/>
          <w:highlight w:val="none"/>
          <w:lang w:val="zh-CN"/>
        </w:rPr>
        <w:t>1.项目履行期限为：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日起，</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日止。（此履行期仅指乙方工作完成并提交验收的期限，</w:t>
      </w:r>
      <w:r>
        <w:rPr>
          <w:rFonts w:ascii="仿宋_GB2312" w:hAnsi="宋体" w:eastAsia="仿宋_GB2312" w:cs="宋体"/>
          <w:color w:val="auto"/>
          <w:kern w:val="0"/>
          <w:sz w:val="24"/>
          <w:highlight w:val="none"/>
          <w:lang w:val="zh-CN"/>
        </w:rPr>
        <w:t>对于</w:t>
      </w:r>
      <w:r>
        <w:rPr>
          <w:rFonts w:hint="eastAsia" w:ascii="仿宋_GB2312" w:hAnsi="宋体" w:eastAsia="仿宋_GB2312" w:cs="宋体"/>
          <w:color w:val="auto"/>
          <w:kern w:val="0"/>
          <w:sz w:val="24"/>
          <w:highlight w:val="none"/>
          <w:lang w:val="zh-CN"/>
        </w:rPr>
        <w:t>验收合格通过后乙方仍有一年期的质保售后义务，</w:t>
      </w:r>
      <w:r>
        <w:rPr>
          <w:rFonts w:ascii="仿宋_GB2312" w:hAnsi="宋体" w:eastAsia="仿宋_GB2312" w:cs="宋体"/>
          <w:color w:val="auto"/>
          <w:kern w:val="0"/>
          <w:sz w:val="24"/>
          <w:highlight w:val="none"/>
          <w:lang w:val="zh-CN"/>
        </w:rPr>
        <w:t>起算</w:t>
      </w:r>
      <w:r>
        <w:rPr>
          <w:rFonts w:hint="eastAsia" w:ascii="仿宋_GB2312" w:hAnsi="宋体" w:eastAsia="仿宋_GB2312" w:cs="宋体"/>
          <w:color w:val="auto"/>
          <w:kern w:val="0"/>
          <w:sz w:val="24"/>
          <w:highlight w:val="none"/>
          <w:lang w:val="zh-CN"/>
        </w:rPr>
        <w:t>时间为验收合格之日起算一年</w:t>
      </w:r>
      <w:r>
        <w:rPr>
          <w:rFonts w:ascii="仿宋_GB2312" w:hAnsi="宋体" w:eastAsia="仿宋_GB2312" w:cs="宋体"/>
          <w:color w:val="auto"/>
          <w:kern w:val="0"/>
          <w:sz w:val="24"/>
          <w:highlight w:val="none"/>
          <w:lang w:val="zh-CN"/>
        </w:rPr>
        <w:t>）</w:t>
      </w:r>
    </w:p>
    <w:p w14:paraId="297DC150">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2．项目履行地点为：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17BC3CC6">
      <w:pPr>
        <w:autoSpaceDE w:val="0"/>
        <w:autoSpaceDN w:val="0"/>
        <w:adjustRightInd w:val="0"/>
        <w:spacing w:after="156" w:afterLines="50" w:line="360" w:lineRule="auto"/>
        <w:ind w:firstLine="482"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第四条 </w:t>
      </w:r>
      <w:r>
        <w:rPr>
          <w:rFonts w:hint="eastAsia" w:ascii="仿宋_GB2312" w:hAnsi="宋体" w:eastAsia="仿宋_GB2312"/>
          <w:b/>
          <w:color w:val="auto"/>
          <w:sz w:val="24"/>
          <w:highlight w:val="none"/>
        </w:rPr>
        <w:t>基本要求</w:t>
      </w:r>
    </w:p>
    <w:p w14:paraId="29998AC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自本合同签订之日起，乙方应履行合同所规定的任务，按时完成并交付项目成果。</w:t>
      </w:r>
    </w:p>
    <w:p w14:paraId="2DDFF71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snapToGrid w:val="0"/>
          <w:color w:val="auto"/>
          <w:kern w:val="0"/>
          <w:sz w:val="24"/>
          <w:highlight w:val="none"/>
        </w:rPr>
        <w:t>2.乙方在整个服务过程中应提供和保持一套质量保证体系和严格的质量控制程序，保证使用适当合格的人员为甲方提供服务，保证按本合同规定提供的服务满足合同要求，符合本项目目标。</w:t>
      </w:r>
    </w:p>
    <w:p w14:paraId="799EA7B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3.本合同规定的任务未经甲方书面同意，不得转包和分包。</w:t>
      </w:r>
    </w:p>
    <w:p w14:paraId="786A3C88">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第五条 验收、交付</w:t>
      </w:r>
    </w:p>
    <w:p w14:paraId="3AEA2DF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甲方对乙方提供成果进行验收。</w:t>
      </w:r>
      <w:r>
        <w:rPr>
          <w:rFonts w:hint="eastAsia" w:ascii="仿宋_GB2312" w:hAnsi="宋体" w:eastAsia="仿宋_GB2312"/>
          <w:color w:val="auto"/>
          <w:sz w:val="24"/>
          <w:highlight w:val="none"/>
        </w:rPr>
        <w:t>甲方验收采用</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方式进行。</w:t>
      </w:r>
      <w:r>
        <w:rPr>
          <w:rFonts w:hint="eastAsia" w:ascii="仿宋_GB2312" w:hAnsi="宋体" w:eastAsia="仿宋_GB2312" w:cs="宋体"/>
          <w:color w:val="auto"/>
          <w:kern w:val="0"/>
          <w:sz w:val="24"/>
          <w:highlight w:val="none"/>
          <w:lang w:val="zh-CN"/>
        </w:rPr>
        <w:t>甲方可委托具有相应监理资质的监理机构对乙方提供成果进行评价。</w:t>
      </w:r>
    </w:p>
    <w:p w14:paraId="7B2D875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乙方应于服务期限届满前完成服务内容，乙方完成服务内容后，</w:t>
      </w:r>
      <w:r>
        <w:rPr>
          <w:rFonts w:hint="eastAsia" w:ascii="仿宋_GB2312" w:hAnsi="宋体" w:eastAsia="仿宋_GB2312" w:cs="宋体"/>
          <w:color w:val="auto"/>
          <w:kern w:val="0"/>
          <w:sz w:val="24"/>
          <w:highlight w:val="none"/>
          <w:lang w:val="zh-CN"/>
        </w:rPr>
        <w:t>以书面方式通知甲方。</w:t>
      </w:r>
      <w:r>
        <w:rPr>
          <w:rFonts w:hint="eastAsia" w:ascii="仿宋_GB2312" w:hAnsi="宋体" w:eastAsia="仿宋_GB2312"/>
          <w:color w:val="auto"/>
          <w:sz w:val="24"/>
          <w:highlight w:val="none"/>
        </w:rPr>
        <w:t>甲方在接到通知后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日内对乙方服务成果组织验收。</w:t>
      </w:r>
    </w:p>
    <w:p w14:paraId="1C00054B">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3</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乙方提交的项目成果经甲方全部验收合格之后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w:t>
      </w:r>
      <w:r>
        <w:rPr>
          <w:rFonts w:hint="eastAsia" w:ascii="仿宋_GB2312" w:hAnsi="宋体" w:eastAsia="仿宋_GB2312"/>
          <w:color w:val="auto"/>
          <w:sz w:val="24"/>
          <w:highlight w:val="none"/>
        </w:rPr>
        <w:t>应向甲方提供技术服务的资料、数据：</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，视为乙方完成服务成果交付。服务成果交付作为甲方向乙方支付服务费用的前提条件。</w:t>
      </w:r>
    </w:p>
    <w:p w14:paraId="41AC299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成果质量不符合甲方要求或未通过验收，</w:t>
      </w:r>
      <w:r>
        <w:rPr>
          <w:rFonts w:ascii="仿宋_GB2312" w:hAnsi="宋体" w:eastAsia="仿宋_GB2312"/>
          <w:color w:val="auto"/>
          <w:sz w:val="24"/>
          <w:highlight w:val="none"/>
        </w:rPr>
        <w:t>需</w:t>
      </w:r>
      <w:r>
        <w:rPr>
          <w:rFonts w:hint="eastAsia" w:ascii="仿宋_GB2312" w:hAnsi="宋体" w:eastAsia="仿宋_GB2312"/>
          <w:color w:val="auto"/>
          <w:sz w:val="24"/>
          <w:highlight w:val="none"/>
        </w:rPr>
        <w:t>按照甲方或专家的要求在规定期限内整改完成并通过验收，</w:t>
      </w:r>
      <w:r>
        <w:rPr>
          <w:rFonts w:ascii="仿宋_GB2312" w:hAnsi="宋体" w:eastAsia="仿宋_GB2312"/>
          <w:color w:val="auto"/>
          <w:sz w:val="24"/>
          <w:highlight w:val="none"/>
        </w:rPr>
        <w:t>因</w:t>
      </w:r>
      <w:r>
        <w:rPr>
          <w:rFonts w:hint="eastAsia" w:ascii="仿宋_GB2312" w:hAnsi="宋体" w:eastAsia="仿宋_GB2312"/>
          <w:color w:val="auto"/>
          <w:sz w:val="24"/>
          <w:highlight w:val="none"/>
        </w:rPr>
        <w:t>整改造成委托人的损失予以赔偿，甲方有权在剩余未付未付款中扣除损失，</w:t>
      </w:r>
      <w:r>
        <w:rPr>
          <w:rFonts w:ascii="仿宋_GB2312" w:hAnsi="宋体" w:eastAsia="仿宋_GB2312"/>
          <w:color w:val="auto"/>
          <w:sz w:val="24"/>
          <w:highlight w:val="none"/>
        </w:rPr>
        <w:t>无法</w:t>
      </w:r>
      <w:r>
        <w:rPr>
          <w:rFonts w:hint="eastAsia" w:ascii="仿宋_GB2312" w:hAnsi="宋体" w:eastAsia="仿宋_GB2312"/>
          <w:color w:val="auto"/>
          <w:sz w:val="24"/>
          <w:highlight w:val="none"/>
        </w:rPr>
        <w:t>计算损失时或声誉款项不足以弥补损失的，</w:t>
      </w:r>
      <w:r>
        <w:rPr>
          <w:rFonts w:ascii="仿宋_GB2312" w:hAnsi="宋体" w:eastAsia="仿宋_GB2312"/>
          <w:color w:val="auto"/>
          <w:sz w:val="24"/>
          <w:highlight w:val="none"/>
        </w:rPr>
        <w:t>则</w:t>
      </w:r>
      <w:r>
        <w:rPr>
          <w:rFonts w:hint="eastAsia" w:ascii="仿宋_GB2312" w:hAnsi="宋体" w:eastAsia="仿宋_GB2312"/>
          <w:color w:val="auto"/>
          <w:sz w:val="24"/>
          <w:highlight w:val="none"/>
        </w:rPr>
        <w:t>乙方需按照实际损失赔偿并承担合同总金额10</w:t>
      </w:r>
      <w:r>
        <w:rPr>
          <w:rFonts w:ascii="仿宋_GB2312" w:hAnsi="宋体" w:eastAsia="仿宋_GB2312"/>
          <w:color w:val="auto"/>
          <w:sz w:val="24"/>
          <w:highlight w:val="none"/>
        </w:rPr>
        <w:t>%的</w:t>
      </w:r>
      <w:r>
        <w:rPr>
          <w:rFonts w:hint="eastAsia" w:ascii="仿宋_GB2312" w:hAnsi="宋体" w:eastAsia="仿宋_GB2312"/>
          <w:color w:val="auto"/>
          <w:sz w:val="24"/>
          <w:highlight w:val="none"/>
        </w:rPr>
        <w:t>违约金。</w:t>
      </w:r>
    </w:p>
    <w:p w14:paraId="3F538C06">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第六条 知识产权及保密</w:t>
      </w:r>
    </w:p>
    <w:p w14:paraId="3B39B2A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甲方利用乙方提交的技术服务工作成果所完成的新的技术成果，归甲方所有。</w:t>
      </w:r>
      <w:r>
        <w:rPr>
          <w:rFonts w:hint="eastAsia" w:ascii="仿宋_GB2312" w:hAnsi="宋体" w:eastAsia="仿宋_GB2312" w:cs="宋体"/>
          <w:color w:val="auto"/>
          <w:kern w:val="0"/>
          <w:sz w:val="24"/>
          <w:highlight w:val="none"/>
          <w:lang w:val="zh-CN"/>
        </w:rPr>
        <w:t>乙方应保证为甲方提供服务时不得侵犯第三人的权利。</w:t>
      </w:r>
    </w:p>
    <w:p w14:paraId="2790D66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2.乙方在为甲方提供服务时所获得成果的知识产权归甲方所有，未经甲方许可，乙方不得以任何方式使用，亦不得出于任何目的向第三方披露或许可第三方使用。</w:t>
      </w:r>
    </w:p>
    <w:p w14:paraId="79EA130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3.若乙方在为甲方提供服务时侵犯了第三人的权利，致使甲方受到索赔或起诉，由此给甲方造成的一切损失由乙方承担，同时甲方有权解除合同，并有权要求乙方支付合同总额的10%的违约金。</w:t>
      </w:r>
    </w:p>
    <w:p w14:paraId="6D305D48">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4.若未经甲方许可，乙方擅自使用或向第三方披露或许可第三方使用在为甲方提供服务时所获得的成果，甲方有权要求乙方或第三方立即停止使用，同时有权要求乙方支付合同总额20%的违约金。</w:t>
      </w:r>
    </w:p>
    <w:p w14:paraId="1723E54C">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第七条 保密</w:t>
      </w:r>
    </w:p>
    <w:p w14:paraId="20B8B633">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在合同履行期间，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w:t>
      </w:r>
    </w:p>
    <w:p w14:paraId="1BB3DEFF">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乙方在项目实施过程中接触或产生涉密数据的，应严格按《中华人民共和国保守国家秘密法》、《自治区自然资源规划研究院涉密数据安全使用管理办法》以及其他相关法律法规和制度执行。如由于乙方的原因而导致泄密的，乙方应承担相应法律责任。</w:t>
      </w:r>
    </w:p>
    <w:p w14:paraId="12683C1D">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在本合同的履行期内，</w:t>
      </w:r>
      <w:r>
        <w:rPr>
          <w:rFonts w:ascii="仿宋_GB2312" w:hAnsi="宋体" w:eastAsia="仿宋_GB2312"/>
          <w:color w:val="auto"/>
          <w:sz w:val="24"/>
          <w:highlight w:val="none"/>
        </w:rPr>
        <w:t>任何</w:t>
      </w:r>
      <w:r>
        <w:rPr>
          <w:rFonts w:hint="eastAsia" w:ascii="仿宋_GB2312" w:hAnsi="宋体" w:eastAsia="仿宋_GB2312"/>
          <w:color w:val="auto"/>
          <w:sz w:val="24"/>
          <w:highlight w:val="none"/>
        </w:rPr>
        <w:t>一方可以获得与本项目相关的对方的商业秘密，</w:t>
      </w:r>
      <w:r>
        <w:rPr>
          <w:rFonts w:ascii="仿宋_GB2312" w:hAnsi="宋体" w:eastAsia="仿宋_GB2312"/>
          <w:color w:val="auto"/>
          <w:sz w:val="24"/>
          <w:highlight w:val="none"/>
        </w:rPr>
        <w:t>对此</w:t>
      </w:r>
      <w:r>
        <w:rPr>
          <w:rFonts w:hint="eastAsia" w:ascii="仿宋_GB2312" w:hAnsi="宋体" w:eastAsia="仿宋_GB2312"/>
          <w:color w:val="auto"/>
          <w:sz w:val="24"/>
          <w:highlight w:val="none"/>
        </w:rPr>
        <w:t>双方皆应谨慎地进行披露和接受。</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对方商业秘密的一方仅可将该商业秘密用于履行其在本合同项下的义务，</w:t>
      </w:r>
      <w:r>
        <w:rPr>
          <w:rFonts w:ascii="仿宋_GB2312" w:hAnsi="宋体" w:eastAsia="仿宋_GB2312"/>
          <w:color w:val="auto"/>
          <w:sz w:val="24"/>
          <w:highlight w:val="none"/>
        </w:rPr>
        <w:t>且</w:t>
      </w:r>
      <w:r>
        <w:rPr>
          <w:rFonts w:hint="eastAsia" w:ascii="仿宋_GB2312" w:hAnsi="宋体" w:eastAsia="仿宋_GB2312"/>
          <w:color w:val="auto"/>
          <w:sz w:val="24"/>
          <w:highlight w:val="none"/>
        </w:rPr>
        <w:t>只能由相关的工程技术人员使用。</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对方商业秘密的乙方应当采取适当有效的方式保护所获取的商业秘密，</w:t>
      </w:r>
      <w:r>
        <w:rPr>
          <w:rFonts w:ascii="仿宋_GB2312" w:hAnsi="宋体" w:eastAsia="仿宋_GB2312"/>
          <w:color w:val="auto"/>
          <w:sz w:val="24"/>
          <w:highlight w:val="none"/>
        </w:rPr>
        <w:t>未经</w:t>
      </w:r>
      <w:r>
        <w:rPr>
          <w:rFonts w:hint="eastAsia" w:ascii="仿宋_GB2312" w:hAnsi="宋体" w:eastAsia="仿宋_GB2312"/>
          <w:color w:val="auto"/>
          <w:sz w:val="24"/>
          <w:highlight w:val="none"/>
        </w:rPr>
        <w:t>授权不得使用、</w:t>
      </w:r>
      <w:r>
        <w:rPr>
          <w:rFonts w:ascii="仿宋_GB2312" w:hAnsi="宋体" w:eastAsia="仿宋_GB2312"/>
          <w:color w:val="auto"/>
          <w:sz w:val="24"/>
          <w:highlight w:val="none"/>
        </w:rPr>
        <w:t>传播</w:t>
      </w:r>
      <w:r>
        <w:rPr>
          <w:rFonts w:hint="eastAsia" w:ascii="仿宋_GB2312" w:hAnsi="宋体" w:eastAsia="仿宋_GB2312"/>
          <w:color w:val="auto"/>
          <w:sz w:val="24"/>
          <w:highlight w:val="none"/>
        </w:rPr>
        <w:t>或公开商业秘密。</w:t>
      </w:r>
      <w:r>
        <w:rPr>
          <w:rFonts w:ascii="仿宋_GB2312" w:hAnsi="宋体" w:eastAsia="仿宋_GB2312"/>
          <w:color w:val="auto"/>
          <w:sz w:val="24"/>
          <w:highlight w:val="none"/>
        </w:rPr>
        <w:t>除非</w:t>
      </w:r>
      <w:r>
        <w:rPr>
          <w:rFonts w:hint="eastAsia" w:ascii="仿宋_GB2312" w:hAnsi="宋体" w:eastAsia="仿宋_GB2312"/>
          <w:color w:val="auto"/>
          <w:sz w:val="24"/>
          <w:highlight w:val="none"/>
        </w:rPr>
        <w:t>有对方的书面许可，</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该信息已被拥有方认为不再是商业秘密，</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已在社会上公开，</w:t>
      </w:r>
      <w:r>
        <w:rPr>
          <w:rFonts w:ascii="仿宋_GB2312" w:hAnsi="宋体" w:eastAsia="仿宋_GB2312"/>
          <w:color w:val="auto"/>
          <w:sz w:val="24"/>
          <w:highlight w:val="none"/>
        </w:rPr>
        <w:t>该</w:t>
      </w:r>
      <w:r>
        <w:rPr>
          <w:rFonts w:hint="eastAsia" w:ascii="仿宋_GB2312" w:hAnsi="宋体" w:eastAsia="仿宋_GB2312"/>
          <w:color w:val="auto"/>
          <w:sz w:val="24"/>
          <w:highlight w:val="none"/>
        </w:rPr>
        <w:t>商业秘密应当在</w:t>
      </w:r>
      <w:r>
        <w:rPr>
          <w:rFonts w:hint="eastAsia" w:ascii="仿宋_GB2312" w:hAnsi="宋体" w:eastAsia="仿宋_GB2312"/>
          <w:b/>
          <w:color w:val="auto"/>
          <w:sz w:val="24"/>
          <w:highlight w:val="none"/>
        </w:rPr>
        <w:t>三年内</w:t>
      </w:r>
      <w:r>
        <w:rPr>
          <w:rFonts w:hint="eastAsia" w:ascii="仿宋_GB2312" w:hAnsi="宋体" w:eastAsia="仿宋_GB2312"/>
          <w:color w:val="auto"/>
          <w:sz w:val="24"/>
          <w:highlight w:val="none"/>
        </w:rPr>
        <w:t>不得对外披露。</w:t>
      </w:r>
    </w:p>
    <w:p w14:paraId="3446A809">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第八条 甲方的权利和义务</w:t>
      </w:r>
    </w:p>
    <w:p w14:paraId="5AACB92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甲方应按本合同约定付款，有权要求乙方按照本合同约定交付技术服务成果。</w:t>
      </w:r>
    </w:p>
    <w:p w14:paraId="477D34F8">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甲方对乙方提供的工作成果进行验收，如发现与合同约定不符或不满足甲方需求，有权拒绝接受该工作成果。</w:t>
      </w:r>
    </w:p>
    <w:p w14:paraId="59B10A5D">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甲方将向乙方提供为完成服务工作所需要的信息、资料和其他相关协助。</w:t>
      </w:r>
    </w:p>
    <w:p w14:paraId="58AF20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4.</w:t>
      </w:r>
      <w:r>
        <w:rPr>
          <w:rFonts w:hint="eastAsia" w:ascii="仿宋_GB2312" w:hAnsi="宋体" w:eastAsia="仿宋_GB2312"/>
          <w:color w:val="auto"/>
          <w:sz w:val="24"/>
          <w:highlight w:val="none"/>
        </w:rPr>
        <w:t>甲方有权要求乙方提供相关的技术资料和必要的技术指导及培训。</w:t>
      </w:r>
    </w:p>
    <w:p w14:paraId="2F9DC8F6">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甲方有权随时了解乙方的工作进展情况，并对经费使用进行监督检查，有权要求乙方对其服务过程中存在的问题进行整改。</w:t>
      </w:r>
    </w:p>
    <w:p w14:paraId="32660955">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第九条 乙方的权利和义务</w:t>
      </w:r>
    </w:p>
    <w:p w14:paraId="3004C19D">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1.乙方应根据本合同的约定提供服务并提交最终工作成果，交付符合本合同要求的工作成果后获得报酬。</w:t>
      </w:r>
    </w:p>
    <w:p w14:paraId="16DCB13B">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乙方应根据本合同的约定提交相关文件、资料，并对所提供的技术材料、数据信息的真实性、合法性和有效性负责。</w:t>
      </w:r>
    </w:p>
    <w:p w14:paraId="7B4D4EBE">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在合同执行过程中，乙方有义务协助甲方对工作成果进行验收；并就甲方需要注意的事项以书面形式提请甲方注意。</w:t>
      </w:r>
    </w:p>
    <w:p w14:paraId="6B6C062E">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4.接受甲方的经费检查，按要求及时提交相关财务资料。</w:t>
      </w:r>
    </w:p>
    <w:p w14:paraId="3941CB7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乙方对于甲方的密级业务需求、技术资料、数据、保密信息等严格保密，并承担泄密造成的后果。</w:t>
      </w:r>
    </w:p>
    <w:p w14:paraId="05822D72">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6.</w:t>
      </w:r>
      <w:r>
        <w:rPr>
          <w:rFonts w:hint="eastAsia" w:ascii="仿宋_GB2312" w:hAnsi="宋体" w:eastAsia="仿宋_GB2312"/>
          <w:color w:val="auto"/>
          <w:sz w:val="24"/>
          <w:highlight w:val="none"/>
        </w:rPr>
        <w:t>在合同履行期间及工作成果提交后，对甲方的任何问题，乙方有义务提供免费咨询。</w:t>
      </w:r>
    </w:p>
    <w:p w14:paraId="30B8A7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rPr>
        <w:t>项目验收后，乙方应在接到甲方通知后，</w:t>
      </w:r>
      <w:r>
        <w:rPr>
          <w:rFonts w:ascii="仿宋_GB2312" w:hAnsi="宋体" w:eastAsia="仿宋_GB2312"/>
          <w:color w:val="auto"/>
          <w:sz w:val="24"/>
          <w:highlight w:val="none"/>
        </w:rPr>
        <w:t>在</w:t>
      </w:r>
      <w:r>
        <w:rPr>
          <w:rFonts w:hint="eastAsia" w:ascii="仿宋_GB2312" w:hAnsi="宋体" w:eastAsia="仿宋_GB2312"/>
          <w:color w:val="auto"/>
          <w:sz w:val="24"/>
          <w:highlight w:val="none"/>
        </w:rPr>
        <w:t>约定时间内向甲方工作人员免费培训、传授与该项目相关的技术知识和操作技能，并提供相关的技术资料和必要的技术指导。</w:t>
      </w:r>
    </w:p>
    <w:p w14:paraId="2E5C7F42">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第十条 违约索赔与赔偿</w:t>
      </w:r>
    </w:p>
    <w:p w14:paraId="36C50C58">
      <w:pPr>
        <w:numPr>
          <w:ilvl w:val="0"/>
          <w:numId w:val="1"/>
        </w:numPr>
        <w:autoSpaceDE w:val="0"/>
        <w:autoSpaceDN w:val="0"/>
        <w:adjustRightInd w:val="0"/>
        <w:spacing w:after="156" w:afterLines="50" w:line="360" w:lineRule="auto"/>
        <w:jc w:val="left"/>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误期索赔</w:t>
      </w:r>
    </w:p>
    <w:p w14:paraId="7BF5581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1）除非双方书面同意延迟，若乙方未能按本合同的约定提供服务、交付服务成果，甲方有权要求乙方支付违约金。每延迟一日</w:t>
      </w:r>
      <w:r>
        <w:rPr>
          <w:rFonts w:hint="eastAsia" w:ascii="仿宋_GB2312" w:hAnsi="宋体" w:eastAsia="仿宋_GB2312" w:cs="宋体"/>
          <w:color w:val="auto"/>
          <w:sz w:val="24"/>
          <w:highlight w:val="none"/>
          <w:lang w:val="zh-CN"/>
        </w:rPr>
        <w:t>违约金的金额为合同总额的</w:t>
      </w:r>
      <w:r>
        <w:rPr>
          <w:rFonts w:hint="eastAsia" w:ascii="仿宋_GB2312" w:hAnsi="宋体" w:eastAsia="仿宋_GB2312"/>
          <w:color w:val="auto"/>
          <w:sz w:val="24"/>
          <w:highlight w:val="none"/>
          <w:lang w:val="en-GB"/>
        </w:rPr>
        <w:t>0.1</w:t>
      </w:r>
      <w:r>
        <w:rPr>
          <w:rFonts w:hint="eastAsia" w:ascii="仿宋_GB2312" w:hAnsi="宋体" w:eastAsia="仿宋_GB2312" w:cs="宋体"/>
          <w:color w:val="auto"/>
          <w:sz w:val="24"/>
          <w:highlight w:val="none"/>
          <w:lang w:val="zh-CN"/>
        </w:rPr>
        <w:t>％</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并</w:t>
      </w:r>
      <w:r>
        <w:rPr>
          <w:rFonts w:hint="eastAsia" w:ascii="仿宋_GB2312" w:hAnsi="宋体" w:eastAsia="仿宋_GB2312" w:cs="宋体"/>
          <w:color w:val="auto"/>
          <w:kern w:val="0"/>
          <w:sz w:val="24"/>
          <w:highlight w:val="none"/>
          <w:lang w:val="zh-CN"/>
        </w:rPr>
        <w:t>有权要求乙方承担甲方维权产生的费用，</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3F1EB5C0">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2）</w:t>
      </w:r>
      <w:r>
        <w:rPr>
          <w:rFonts w:hint="eastAsia" w:ascii="仿宋_GB2312" w:hAnsi="宋体" w:eastAsia="仿宋_GB2312" w:cs="宋体"/>
          <w:color w:val="auto"/>
          <w:sz w:val="24"/>
          <w:highlight w:val="none"/>
          <w:lang w:val="zh-CN"/>
        </w:rPr>
        <w:t>如果乙方</w:t>
      </w:r>
      <w:r>
        <w:rPr>
          <w:rFonts w:hint="eastAsia" w:ascii="仿宋_GB2312" w:hAnsi="宋体" w:eastAsia="仿宋_GB2312" w:cs="宋体"/>
          <w:color w:val="auto"/>
          <w:kern w:val="0"/>
          <w:sz w:val="24"/>
          <w:highlight w:val="none"/>
          <w:lang w:val="zh-CN"/>
        </w:rPr>
        <w:t>未能按本合同的约定提供服务，且延迟期限超过30日，</w:t>
      </w:r>
      <w:r>
        <w:rPr>
          <w:rFonts w:hint="eastAsia" w:ascii="仿宋_GB2312" w:hAnsi="宋体" w:eastAsia="仿宋_GB2312" w:cs="宋体"/>
          <w:color w:val="auto"/>
          <w:sz w:val="24"/>
          <w:highlight w:val="none"/>
          <w:lang w:val="zh-CN"/>
        </w:rPr>
        <w:t>甲方有权单方解除本合同，并有权要求乙方支付本合同总额10%的违约金以及因此产生的其他费用，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432AAB7">
      <w:pPr>
        <w:numPr>
          <w:ilvl w:val="0"/>
          <w:numId w:val="1"/>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质量索赔 </w:t>
      </w:r>
    </w:p>
    <w:p w14:paraId="6493EB5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乙方应提供与合同要求相符的服务，如</w:t>
      </w:r>
      <w:r>
        <w:rPr>
          <w:rFonts w:hint="eastAsia" w:ascii="仿宋_GB2312" w:hAnsi="宋体" w:eastAsia="仿宋_GB2312" w:cs="宋体"/>
          <w:color w:val="auto"/>
          <w:sz w:val="24"/>
          <w:highlight w:val="none"/>
          <w:lang w:val="zh-CN"/>
        </w:rPr>
        <w:t>乙方向甲方提供的服务或交付的服务成果不符合合同约定</w:t>
      </w:r>
      <w:r>
        <w:rPr>
          <w:rFonts w:hint="eastAsia" w:ascii="仿宋_GB2312" w:hAnsi="宋体" w:eastAsia="仿宋_GB2312" w:cs="宋体"/>
          <w:color w:val="auto"/>
          <w:kern w:val="0"/>
          <w:sz w:val="24"/>
          <w:highlight w:val="none"/>
          <w:lang w:val="zh-CN"/>
        </w:rPr>
        <w:t>，甲方有权选择下述一种或多种方法结合的方式解决索赔事宜：</w:t>
      </w:r>
    </w:p>
    <w:p w14:paraId="18E6B9EC">
      <w:pPr>
        <w:autoSpaceDE w:val="0"/>
        <w:autoSpaceDN w:val="0"/>
        <w:adjustRightInd w:val="0"/>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1）责令乙方重新提供服务、交付服务成果，以使服务达到合同要求，同时乙方承担一切费用和风险，负担甲方遭受的一切损失</w:t>
      </w:r>
      <w:r>
        <w:rPr>
          <w:rFonts w:hint="eastAsia" w:ascii="仿宋_GB2312" w:hAnsi="宋体" w:eastAsia="仿宋_GB2312" w:cs="宋体"/>
          <w:color w:val="auto"/>
          <w:sz w:val="24"/>
          <w:highlight w:val="none"/>
          <w:lang w:val="zh-CN"/>
        </w:rPr>
        <w:t>，并承担延迟提供服务、交付服务成果的责任。</w:t>
      </w:r>
    </w:p>
    <w:p w14:paraId="1B03F1D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2</w:t>
      </w:r>
      <w:r>
        <w:rPr>
          <w:rFonts w:hint="eastAsia" w:ascii="仿宋_GB2312" w:hAnsi="宋体" w:eastAsia="仿宋_GB2312" w:cs="宋体"/>
          <w:color w:val="auto"/>
          <w:kern w:val="0"/>
          <w:sz w:val="24"/>
          <w:highlight w:val="none"/>
          <w:lang w:val="zh-CN"/>
        </w:rPr>
        <w:t>）甲方解除合同，</w:t>
      </w:r>
      <w:r>
        <w:rPr>
          <w:rFonts w:hint="eastAsia" w:ascii="仿宋_GB2312" w:hAnsi="宋体" w:eastAsia="仿宋_GB2312" w:cs="宋体"/>
          <w:color w:val="auto"/>
          <w:sz w:val="24"/>
          <w:highlight w:val="none"/>
          <w:lang w:val="zh-CN"/>
        </w:rPr>
        <w:t>乙方将甲方已付的所有款项退还甲方，乙方承担由此发生的一切损失和费用，并向甲方支付本合同总额10%的违约金以及因此产生的其他费用，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1BBA9AB1">
      <w:pPr>
        <w:numPr>
          <w:ilvl w:val="0"/>
          <w:numId w:val="1"/>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不履行合同以及未按合同约定履行的违约索赔：</w:t>
      </w:r>
    </w:p>
    <w:p w14:paraId="05C8D8E4">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未经</w:t>
      </w:r>
      <w:r>
        <w:rPr>
          <w:rFonts w:hint="eastAsia" w:ascii="仿宋_GB2312" w:hAnsi="宋体" w:eastAsia="仿宋_GB2312" w:cs="宋体"/>
          <w:color w:val="auto"/>
          <w:sz w:val="24"/>
          <w:highlight w:val="none"/>
          <w:lang w:val="zh-CN"/>
        </w:rPr>
        <w:t>甲方同意，</w:t>
      </w:r>
      <w:r>
        <w:rPr>
          <w:rFonts w:hint="eastAsia" w:ascii="仿宋_GB2312" w:hAnsi="宋体" w:eastAsia="仿宋_GB2312" w:cs="宋体"/>
          <w:color w:val="auto"/>
          <w:kern w:val="0"/>
          <w:sz w:val="24"/>
          <w:highlight w:val="none"/>
          <w:lang w:val="zh-CN"/>
        </w:rPr>
        <w:t>乙方拒不履行合同或部分不履行合同，导致合同解除或部分解除的，乙方按解除部分合同金额的</w:t>
      </w:r>
      <w:r>
        <w:rPr>
          <w:rFonts w:hint="eastAsia" w:ascii="仿宋_GB2312" w:hAnsi="宋体" w:eastAsia="仿宋_GB2312"/>
          <w:color w:val="auto"/>
          <w:kern w:val="0"/>
          <w:sz w:val="24"/>
          <w:highlight w:val="none"/>
        </w:rPr>
        <w:t>20%</w:t>
      </w:r>
      <w:r>
        <w:rPr>
          <w:rFonts w:hint="eastAsia" w:ascii="仿宋_GB2312" w:hAnsi="宋体" w:eastAsia="仿宋_GB2312" w:cs="宋体"/>
          <w:color w:val="auto"/>
          <w:kern w:val="0"/>
          <w:sz w:val="24"/>
          <w:highlight w:val="none"/>
          <w:lang w:val="zh-CN"/>
        </w:rPr>
        <w:t>向甲方支付违约金</w:t>
      </w:r>
      <w:r>
        <w:rPr>
          <w:rFonts w:hint="eastAsia" w:ascii="仿宋_GB2312" w:hAnsi="宋体" w:eastAsia="仿宋_GB2312" w:cs="宋体"/>
          <w:color w:val="auto"/>
          <w:sz w:val="24"/>
          <w:highlight w:val="none"/>
          <w:lang w:val="zh-CN"/>
        </w:rPr>
        <w:t>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DD87AB1">
      <w:pPr>
        <w:autoSpaceDE w:val="0"/>
        <w:autoSpaceDN w:val="0"/>
        <w:adjustRightInd w:val="0"/>
        <w:spacing w:after="156" w:afterLines="50" w:line="360" w:lineRule="auto"/>
        <w:ind w:firstLine="480" w:firstLineChars="200"/>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乙方存在合同约定的违约行为时，甲方有权书面向乙方发出索赔通知，乙方应当在收到甲方索赔通知之日起10天内书面答复甲方，否则，视为该索赔已被乙方接受。乙方未能在收到索赔通知后10天内，或征得甲方同意的延长期限内，按照甲方从上列方法中选择的方案解决索赔事宜的，甲方将有权从未付合同价款中扣回索赔金额，同时保留进一步要求索赔的权利。所有违约金和赔偿金的支付不减轻乙方合同项下的任何责任和义务。</w:t>
      </w:r>
    </w:p>
    <w:p w14:paraId="60F8F7CA">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第十一条 不可抗力</w:t>
      </w:r>
    </w:p>
    <w:p w14:paraId="652518B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lang w:val="zh-CN"/>
        </w:rPr>
        <w:t>如果本合同任何一方因受不可抗力事件影响而未能履行其在本合同下的全部或部分义务，该义务的履行在不可抗力事件妨碍其履行期间应予中止。</w:t>
      </w:r>
    </w:p>
    <w:p w14:paraId="507538C7">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53CC87B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3.当事人迟延履行后发生不可抗力的，不能免除责任。</w:t>
      </w:r>
    </w:p>
    <w:p w14:paraId="17E8FC57">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第十二条 争议的解决</w:t>
      </w:r>
    </w:p>
    <w:p w14:paraId="78DA4CF5">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本合同在履行中发生争议，由甲、乙双方协商解决。协商不成时，甲、乙双方同意提交乌鲁木齐市新市区人民法院裁决。</w:t>
      </w:r>
    </w:p>
    <w:p w14:paraId="6ED710F5">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第十三条 其它</w:t>
      </w:r>
    </w:p>
    <w:p w14:paraId="5F84C12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1.本合同之附件均为本合同不可分割之部分。</w:t>
      </w:r>
    </w:p>
    <w:p w14:paraId="044179DD">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2.本合同未尽事宜，由甲、乙双方另行议定，并签订补充协议。补充协议与本合同不一致的，以补充协议为准。</w:t>
      </w:r>
    </w:p>
    <w:p w14:paraId="57BC89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3.本合同及其附件和补充协议中未规定的事项，均遵照中华人民共和国有关法律、法规执行。</w:t>
      </w:r>
    </w:p>
    <w:p w14:paraId="56E3A2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4.本合同连同附件一式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份，甲、乙双方各执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份，均具有同等法律效力。合同附件作为本合同的组成部分，</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违反合同附件的相关内容，</w:t>
      </w:r>
      <w:r>
        <w:rPr>
          <w:rFonts w:ascii="仿宋_GB2312" w:hAnsi="宋体" w:eastAsia="仿宋_GB2312"/>
          <w:color w:val="auto"/>
          <w:sz w:val="24"/>
          <w:highlight w:val="none"/>
        </w:rPr>
        <w:t>视为</w:t>
      </w:r>
      <w:r>
        <w:rPr>
          <w:rFonts w:hint="eastAsia" w:ascii="仿宋_GB2312" w:hAnsi="宋体" w:eastAsia="仿宋_GB2312"/>
          <w:color w:val="auto"/>
          <w:sz w:val="24"/>
          <w:highlight w:val="none"/>
        </w:rPr>
        <w:t>违反本合同。</w:t>
      </w:r>
    </w:p>
    <w:p w14:paraId="08DF84D7">
      <w:pPr>
        <w:spacing w:after="156" w:afterLines="50" w:line="360" w:lineRule="auto"/>
        <w:ind w:firstLine="48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 xml:space="preserve"> 合同双方法人或委托代理人盖章或签字，本合同生效。</w:t>
      </w:r>
    </w:p>
    <w:p w14:paraId="3B0522AD">
      <w:pPr>
        <w:spacing w:after="156" w:afterLines="50" w:line="360" w:lineRule="auto"/>
        <w:ind w:firstLine="48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附件：（1）</w:t>
      </w:r>
      <w:r>
        <w:rPr>
          <w:rFonts w:hint="eastAsia" w:ascii="仿宋_GB2312" w:hAnsi="宋体" w:eastAsia="仿宋_GB2312"/>
          <w:color w:val="auto"/>
          <w:sz w:val="24"/>
          <w:highlight w:val="none"/>
          <w:u w:val="single"/>
        </w:rPr>
        <w:t xml:space="preserve"> 项目实施方案 </w:t>
      </w:r>
    </w:p>
    <w:p w14:paraId="1399D3BA">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保密协议及保密责任书</w:t>
      </w:r>
    </w:p>
    <w:p w14:paraId="41B276CD">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u w:val="single"/>
        </w:rPr>
        <w:t>廉政承诺书</w:t>
      </w:r>
    </w:p>
    <w:p w14:paraId="15237887">
      <w:pPr>
        <w:spacing w:after="156" w:afterLines="50" w:line="360" w:lineRule="auto"/>
        <w:ind w:firstLine="1080" w:firstLineChars="45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u w:val="single"/>
        </w:rPr>
        <w:t>安全生产承诺书</w:t>
      </w:r>
    </w:p>
    <w:p w14:paraId="516B482C">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甲方：自治区自然资源规划研究院（盖章）</w:t>
      </w:r>
    </w:p>
    <w:p w14:paraId="5821F497">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01FCDEDE">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037ED626">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乙方：（盖章）</w:t>
      </w:r>
    </w:p>
    <w:p w14:paraId="186E1DBA">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5E74C016">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7B24C25C">
      <w:pPr>
        <w:rPr>
          <w:rFonts w:ascii="仿宋_GB2312" w:eastAsia="仿宋_GB2312"/>
          <w:color w:val="auto"/>
          <w:highlight w:val="none"/>
        </w:rPr>
      </w:pPr>
    </w:p>
    <w:p w14:paraId="0E65771A">
      <w:pPr>
        <w:outlineLvl w:val="1"/>
        <w:rPr>
          <w:rFonts w:ascii="黑体" w:hAnsi="黑体" w:eastAsia="黑体"/>
          <w:color w:val="auto"/>
          <w:sz w:val="32"/>
          <w:szCs w:val="28"/>
          <w:highlight w:val="none"/>
        </w:rPr>
      </w:pPr>
      <w:r>
        <w:rPr>
          <w:rFonts w:hint="eastAsia" w:ascii="仿宋_GB2312" w:eastAsia="仿宋_GB2312"/>
          <w:color w:val="auto"/>
          <w:sz w:val="28"/>
          <w:szCs w:val="28"/>
          <w:highlight w:val="none"/>
        </w:rPr>
        <w:br w:type="page"/>
      </w:r>
    </w:p>
    <w:p w14:paraId="03E6C5D7">
      <w:pPr>
        <w:spacing w:line="360" w:lineRule="auto"/>
        <w:jc w:val="left"/>
        <w:rPr>
          <w:rFonts w:ascii="仿宋_GB2312" w:hAnsi="仿宋" w:eastAsia="仿宋_GB2312"/>
          <w:color w:val="auto"/>
          <w:sz w:val="30"/>
          <w:szCs w:val="20"/>
          <w:highlight w:val="none"/>
        </w:rPr>
      </w:pPr>
      <w:r>
        <w:rPr>
          <w:rFonts w:hint="eastAsia" w:ascii="仿宋_GB2312" w:hAnsi="仿宋" w:eastAsia="仿宋_GB2312"/>
          <w:color w:val="auto"/>
          <w:sz w:val="30"/>
          <w:szCs w:val="20"/>
          <w:highlight w:val="none"/>
        </w:rPr>
        <w:t>合同编号：</w:t>
      </w:r>
    </w:p>
    <w:p w14:paraId="653F5AC5">
      <w:pPr>
        <w:spacing w:line="360" w:lineRule="auto"/>
        <w:jc w:val="center"/>
        <w:rPr>
          <w:rFonts w:ascii="仿宋_GB2312" w:eastAsia="仿宋_GB2312"/>
          <w:color w:val="auto"/>
          <w:sz w:val="30"/>
          <w:szCs w:val="20"/>
          <w:highlight w:val="none"/>
        </w:rPr>
      </w:pPr>
    </w:p>
    <w:p w14:paraId="7C658B3F">
      <w:pPr>
        <w:pStyle w:val="82"/>
        <w:outlineLvl w:val="9"/>
        <w:rPr>
          <w:rFonts w:ascii="黑体" w:hAnsi="黑体" w:eastAsia="黑体"/>
          <w:color w:val="auto"/>
          <w:sz w:val="40"/>
          <w:szCs w:val="40"/>
          <w:highlight w:val="none"/>
        </w:rPr>
      </w:pPr>
      <w:r>
        <w:rPr>
          <w:rFonts w:hint="eastAsia" w:ascii="黑体" w:hAnsi="黑体" w:eastAsia="黑体"/>
          <w:color w:val="auto"/>
          <w:sz w:val="40"/>
          <w:szCs w:val="40"/>
          <w:highlight w:val="none"/>
        </w:rPr>
        <w:t>自治区自然资源规划研究院委托业务项目合同书</w:t>
      </w:r>
    </w:p>
    <w:p w14:paraId="41451869">
      <w:pPr>
        <w:spacing w:line="360" w:lineRule="auto"/>
        <w:ind w:left="360" w:hanging="360"/>
        <w:jc w:val="center"/>
        <w:rPr>
          <w:rFonts w:ascii="仿宋_GB2312" w:eastAsia="仿宋_GB2312"/>
          <w:b/>
          <w:color w:val="auto"/>
          <w:spacing w:val="100"/>
          <w:sz w:val="30"/>
          <w:szCs w:val="20"/>
          <w:highlight w:val="none"/>
        </w:rPr>
      </w:pPr>
    </w:p>
    <w:p w14:paraId="3D1CBB37">
      <w:pPr>
        <w:spacing w:line="360" w:lineRule="auto"/>
        <w:ind w:left="360" w:hanging="360"/>
        <w:jc w:val="center"/>
        <w:rPr>
          <w:rFonts w:ascii="仿宋_GB2312" w:eastAsia="仿宋_GB2312"/>
          <w:b/>
          <w:color w:val="auto"/>
          <w:spacing w:val="100"/>
          <w:sz w:val="30"/>
          <w:szCs w:val="20"/>
          <w:highlight w:val="none"/>
        </w:rPr>
      </w:pPr>
    </w:p>
    <w:p w14:paraId="01DDF5FE">
      <w:pPr>
        <w:spacing w:line="360" w:lineRule="auto"/>
        <w:ind w:left="360" w:hanging="360"/>
        <w:jc w:val="center"/>
        <w:rPr>
          <w:rFonts w:ascii="仿宋_GB2312" w:eastAsia="仿宋_GB2312"/>
          <w:b/>
          <w:color w:val="auto"/>
          <w:spacing w:val="100"/>
          <w:sz w:val="30"/>
          <w:szCs w:val="20"/>
          <w:highlight w:val="none"/>
        </w:rPr>
      </w:pPr>
    </w:p>
    <w:p w14:paraId="41A0A2CB">
      <w:pPr>
        <w:spacing w:line="360" w:lineRule="auto"/>
        <w:ind w:left="360" w:hanging="360"/>
        <w:jc w:val="center"/>
        <w:rPr>
          <w:rFonts w:ascii="仿宋_GB2312" w:eastAsia="仿宋_GB2312"/>
          <w:b/>
          <w:color w:val="auto"/>
          <w:spacing w:val="100"/>
          <w:sz w:val="30"/>
          <w:szCs w:val="20"/>
          <w:highlight w:val="none"/>
        </w:rPr>
      </w:pPr>
    </w:p>
    <w:p w14:paraId="026050D8">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委托业务项目：</w:t>
      </w:r>
    </w:p>
    <w:p w14:paraId="66822DF7">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项目承担单位：</w:t>
      </w:r>
    </w:p>
    <w:p w14:paraId="3BEC5AEF">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负 责 人： </w:t>
      </w:r>
    </w:p>
    <w:p w14:paraId="0D85863F">
      <w:pPr>
        <w:spacing w:before="312" w:beforeLines="100" w:line="360" w:lineRule="auto"/>
        <w:ind w:left="376" w:leftChars="171" w:firstLine="960" w:firstLineChars="300"/>
        <w:rPr>
          <w:rFonts w:ascii="黑体" w:hAnsi="黑体" w:eastAsia="黑体"/>
          <w:color w:val="auto"/>
          <w:spacing w:val="100"/>
          <w:sz w:val="32"/>
          <w:szCs w:val="32"/>
          <w:highlight w:val="none"/>
        </w:rPr>
      </w:pPr>
      <w:r>
        <w:rPr>
          <w:rFonts w:hint="eastAsia" w:ascii="黑体" w:hAnsi="黑体" w:eastAsia="黑体"/>
          <w:bCs/>
          <w:color w:val="auto"/>
          <w:sz w:val="32"/>
          <w:szCs w:val="32"/>
          <w:highlight w:val="none"/>
        </w:rPr>
        <w:t>起止时间：     年    月—     年   月</w:t>
      </w:r>
    </w:p>
    <w:p w14:paraId="69807741">
      <w:pPr>
        <w:spacing w:before="312" w:beforeLines="100" w:line="360" w:lineRule="auto"/>
        <w:ind w:left="376" w:leftChars="171" w:firstLine="960" w:firstLineChars="3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签订地点：    </w:t>
      </w:r>
    </w:p>
    <w:p w14:paraId="6116E7FE">
      <w:pPr>
        <w:spacing w:line="360" w:lineRule="auto"/>
        <w:rPr>
          <w:rFonts w:ascii="黑体" w:hAnsi="黑体" w:eastAsia="黑体"/>
          <w:color w:val="auto"/>
          <w:spacing w:val="100"/>
          <w:sz w:val="32"/>
          <w:szCs w:val="32"/>
          <w:highlight w:val="none"/>
        </w:rPr>
      </w:pPr>
    </w:p>
    <w:p w14:paraId="0BA5F370">
      <w:pPr>
        <w:spacing w:line="360" w:lineRule="auto"/>
        <w:rPr>
          <w:rFonts w:ascii="黑体" w:hAnsi="黑体" w:eastAsia="黑体"/>
          <w:color w:val="auto"/>
          <w:spacing w:val="100"/>
          <w:sz w:val="32"/>
          <w:szCs w:val="32"/>
          <w:highlight w:val="none"/>
        </w:rPr>
      </w:pPr>
    </w:p>
    <w:p w14:paraId="71FD795C">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自治区自然资源规划研究院制</w:t>
      </w:r>
    </w:p>
    <w:p w14:paraId="27DDBF39">
      <w:pPr>
        <w:spacing w:line="360" w:lineRule="auto"/>
        <w:ind w:left="360" w:hanging="360"/>
        <w:jc w:val="center"/>
        <w:rPr>
          <w:rFonts w:ascii="黑体" w:hAnsi="黑体" w:eastAsia="黑体"/>
          <w:color w:val="auto"/>
          <w:spacing w:val="100"/>
          <w:sz w:val="32"/>
          <w:szCs w:val="32"/>
          <w:highlight w:val="none"/>
        </w:rPr>
      </w:pPr>
      <w:r>
        <w:rPr>
          <w:rFonts w:hint="eastAsia" w:ascii="黑体" w:hAnsi="黑体" w:eastAsia="黑体"/>
          <w:color w:val="auto"/>
          <w:sz w:val="32"/>
          <w:szCs w:val="32"/>
          <w:highlight w:val="none"/>
        </w:rPr>
        <w:t>年  月  日</w:t>
      </w:r>
    </w:p>
    <w:p w14:paraId="08DA0ACD">
      <w:pPr>
        <w:spacing w:before="156" w:beforeLines="50" w:line="360" w:lineRule="auto"/>
        <w:jc w:val="left"/>
        <w:rPr>
          <w:rFonts w:ascii="仿宋_GB2312" w:hAnsi="仿宋" w:eastAsia="仿宋_GB2312"/>
          <w:b/>
          <w:color w:val="auto"/>
          <w:sz w:val="30"/>
          <w:szCs w:val="20"/>
          <w:highlight w:val="none"/>
        </w:rPr>
      </w:pPr>
      <w:r>
        <w:rPr>
          <w:rFonts w:hint="eastAsia" w:ascii="仿宋_GB2312" w:hAnsi="宋体" w:eastAsia="仿宋_GB2312" w:cs="宋体"/>
          <w:b/>
          <w:color w:val="auto"/>
          <w:kern w:val="0"/>
          <w:sz w:val="44"/>
          <w:szCs w:val="44"/>
          <w:highlight w:val="none"/>
          <w:lang w:val="zh-CN"/>
        </w:rPr>
        <w:br w:type="page"/>
      </w:r>
      <w:r>
        <w:rPr>
          <w:rFonts w:hint="eastAsia" w:ascii="仿宋_GB2312" w:hAnsi="仿宋" w:eastAsia="仿宋_GB2312"/>
          <w:b/>
          <w:color w:val="auto"/>
          <w:sz w:val="30"/>
          <w:szCs w:val="20"/>
          <w:highlight w:val="none"/>
        </w:rPr>
        <w:t>填写说明：</w:t>
      </w:r>
    </w:p>
    <w:p w14:paraId="3670D8A5">
      <w:pPr>
        <w:spacing w:before="156" w:beforeLines="50" w:line="360" w:lineRule="auto"/>
        <w:ind w:firstLine="6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1.本委托业务项目合同书文本是院为执行业务计划中软件开发、升级维护以及数据库建库任务，与委托业务单位签订的合同书文本。</w:t>
      </w:r>
    </w:p>
    <w:p w14:paraId="0490EFC8">
      <w:pPr>
        <w:spacing w:before="156" w:beforeLines="50" w:line="360" w:lineRule="auto"/>
        <w:ind w:firstLine="6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2.本委托业务项目合同书文本要求用计算机A3纸打印，字迹清晰，要符合规定的字体、排版要求，全文使用小四仿宋，条为小四仿宋加黑，行间距为单倍行间距，段间距为段前0.5行。</w:t>
      </w:r>
    </w:p>
    <w:p w14:paraId="1897376F">
      <w:pPr>
        <w:autoSpaceDE w:val="0"/>
        <w:autoSpaceDN w:val="0"/>
        <w:adjustRightInd w:val="0"/>
        <w:spacing w:after="156" w:afterLines="50" w:line="360" w:lineRule="auto"/>
        <w:jc w:val="center"/>
        <w:rPr>
          <w:rFonts w:ascii="仿宋_GB2312" w:hAnsi="宋体" w:eastAsia="仿宋_GB2312" w:cs="宋体"/>
          <w:b/>
          <w:color w:val="auto"/>
          <w:kern w:val="0"/>
          <w:sz w:val="44"/>
          <w:szCs w:val="44"/>
          <w:highlight w:val="none"/>
        </w:rPr>
      </w:pPr>
      <w:r>
        <w:rPr>
          <w:rFonts w:hint="eastAsia" w:ascii="仿宋_GB2312" w:hAnsi="宋体" w:eastAsia="仿宋_GB2312" w:cs="宋体"/>
          <w:b/>
          <w:color w:val="auto"/>
          <w:kern w:val="0"/>
          <w:sz w:val="44"/>
          <w:szCs w:val="44"/>
          <w:highlight w:val="none"/>
        </w:rPr>
        <w:br w:type="page"/>
      </w:r>
    </w:p>
    <w:p w14:paraId="44E0F1C8">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甲方： </w:t>
      </w:r>
      <w:r>
        <w:rPr>
          <w:rFonts w:ascii="仿宋_GB2312" w:eastAsia="仿宋_GB2312" w:cs="宋体"/>
          <w:b/>
          <w:color w:val="auto"/>
          <w:kern w:val="0"/>
          <w:sz w:val="24"/>
          <w:highlight w:val="none"/>
          <w:lang w:val="zh-CN"/>
        </w:rPr>
        <w:t xml:space="preserve">                              </w:t>
      </w:r>
    </w:p>
    <w:p w14:paraId="636DC647">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4C054F17">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0F70BF54">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传真： </w:t>
      </w:r>
      <w:r>
        <w:rPr>
          <w:rFonts w:ascii="仿宋_GB2312" w:hAnsi="宋体" w:eastAsia="仿宋_GB2312"/>
          <w:color w:val="auto"/>
          <w:sz w:val="24"/>
          <w:highlight w:val="none"/>
        </w:rPr>
        <w:t xml:space="preserve">                              </w:t>
      </w:r>
    </w:p>
    <w:p w14:paraId="372627D8">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0BDC0D9B">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乙方： </w:t>
      </w:r>
      <w:r>
        <w:rPr>
          <w:rFonts w:ascii="仿宋_GB2312" w:eastAsia="仿宋_GB2312" w:cs="宋体"/>
          <w:b/>
          <w:color w:val="auto"/>
          <w:kern w:val="0"/>
          <w:sz w:val="24"/>
          <w:highlight w:val="none"/>
          <w:lang w:val="zh-CN"/>
        </w:rPr>
        <w:t xml:space="preserve">                              </w:t>
      </w:r>
    </w:p>
    <w:p w14:paraId="0778BABF">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71103DA5">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6A039B9F">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传真： </w:t>
      </w:r>
      <w:r>
        <w:rPr>
          <w:rFonts w:ascii="仿宋_GB2312" w:hAnsi="宋体" w:eastAsia="仿宋_GB2312"/>
          <w:color w:val="auto"/>
          <w:sz w:val="24"/>
          <w:highlight w:val="none"/>
        </w:rPr>
        <w:t xml:space="preserve">                              </w:t>
      </w:r>
    </w:p>
    <w:p w14:paraId="3B008D0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6901D350">
      <w:pPr>
        <w:spacing w:after="156" w:afterLines="50" w:line="360" w:lineRule="auto"/>
        <w:ind w:firstLine="566" w:firstLineChars="236"/>
        <w:rPr>
          <w:rFonts w:ascii="仿宋_GB2312" w:hAnsi="宋体" w:eastAsia="仿宋_GB2312"/>
          <w:color w:val="auto"/>
          <w:sz w:val="24"/>
          <w:highlight w:val="none"/>
        </w:rPr>
      </w:pPr>
      <w:r>
        <w:rPr>
          <w:rFonts w:hint="eastAsia" w:ascii="仿宋_GB2312" w:hAnsi="宋体" w:eastAsia="仿宋_GB2312"/>
          <w:color w:val="auto"/>
          <w:sz w:val="24"/>
          <w:highlight w:val="none"/>
        </w:rPr>
        <w:t>通过</w:t>
      </w:r>
      <w:r>
        <w:rPr>
          <w:rFonts w:hint="eastAsia" w:ascii="仿宋_GB2312" w:hAnsi="宋体" w:eastAsia="仿宋_GB2312"/>
          <w:color w:val="auto"/>
          <w:sz w:val="24"/>
          <w:highlight w:val="none"/>
          <w:u w:val="single"/>
        </w:rPr>
        <w:t xml:space="preserve">        （公开招标、邀请招标、竞争性谈判、单一来源采购、询价等）</w:t>
      </w:r>
      <w:r>
        <w:rPr>
          <w:rFonts w:hint="eastAsia" w:ascii="仿宋_GB2312" w:hAnsi="宋体" w:eastAsia="仿宋_GB2312"/>
          <w:color w:val="auto"/>
          <w:sz w:val="24"/>
          <w:highlight w:val="none"/>
        </w:rPr>
        <w:t>方式，确定由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乙方)承担此项目,根据《中华人民共和国民法典》及其他有关法律、法规规定，本着自愿、平等、诚实信用的原则，甲、乙双方就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项目，协商一致，达成如下协议： </w:t>
      </w:r>
    </w:p>
    <w:p w14:paraId="565FAFCB">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项目任务</w:t>
      </w:r>
    </w:p>
    <w:p w14:paraId="40288F8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本合同应完成的任务包括：</w:t>
      </w:r>
    </w:p>
    <w:p w14:paraId="61E79EEE">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软件开发：本软件是甲方为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而开发的软件；该软件的名称为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，主要功能包括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，交付时间为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 xml:space="preserve">   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日。该软件的主要模块、里程碑、详细功能、性能、规格、版本、测试标准等相关情况见附件     。</w:t>
      </w:r>
    </w:p>
    <w:p w14:paraId="1611F096">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s="宋体"/>
          <w:color w:val="auto"/>
          <w:kern w:val="0"/>
          <w:sz w:val="24"/>
          <w:highlight w:val="none"/>
          <w:lang w:val="zh-CN"/>
        </w:rPr>
        <w:t>2.</w:t>
      </w:r>
      <w:r>
        <w:rPr>
          <w:rFonts w:hint="eastAsia" w:ascii="仿宋_GB2312" w:hAnsi="宋体" w:eastAsia="仿宋_GB2312" w:cs="宋体"/>
          <w:color w:val="auto"/>
          <w:kern w:val="0"/>
          <w:sz w:val="24"/>
          <w:highlight w:val="none"/>
          <w:lang w:val="zh-CN"/>
        </w:rPr>
        <w:t>软件升级：本软件是甲方为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而升级的软件；该升级软件的名称为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，升级的功能主要包括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，交付时间为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 xml:space="preserve">年 </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日。该软件升级的主要功能模块、里程碑、性能、规格、版本、测试标准等相关情况见附件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441F435D">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3.软件维护：维护软件名称为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；该软件维护的主要目的是</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，维护的内容主要包括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。维护期限及要求详见附件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76F751CA">
      <w:pPr>
        <w:autoSpaceDE w:val="0"/>
        <w:autoSpaceDN w:val="0"/>
        <w:adjustRightInd w:val="0"/>
        <w:spacing w:after="156" w:afterLines="50" w:line="360" w:lineRule="auto"/>
        <w:ind w:firstLine="480" w:firstLineChars="200"/>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4.数据整合建库：整合建库的主要目的是</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；整合建库的数据主要包括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；整合建库的主要工作内容包括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。完成期限及工作要求详见附件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404AE3E4">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经费及支付</w:t>
      </w:r>
    </w:p>
    <w:p w14:paraId="6E7ED87E">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 本项目技术服务费为：         元人民币，大写：        。上述费用为含税价，并包括乙方在整个服务过程中产生的所有费用。</w:t>
      </w:r>
    </w:p>
    <w:p w14:paraId="4AF55313">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2.服务费采用分期支付的方式，本合同签订后    日内，甲方支付乙方总合同价款         %的预付款（即      元）。乙方向甲方交付所有项目成果，并经甲方验收合格后    日内，甲方支付乙方总合同价款     %（即      元）。即：在满足上述条件的情况下，甲方分别在每个结算周期收到乙方开具增值税发票后，以银行转账方式向乙方分别支付相应的费用。</w:t>
      </w:r>
    </w:p>
    <w:p w14:paraId="49794C30">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 服务费汇入乙方指定的以下账户：</w:t>
      </w:r>
    </w:p>
    <w:p w14:paraId="5C673FF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收款单位名称：                     </w:t>
      </w:r>
    </w:p>
    <w:p w14:paraId="6E2310F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社会统一信用代码：                   </w:t>
      </w:r>
    </w:p>
    <w:p w14:paraId="69B46CFD">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开户行名称：                       </w:t>
      </w:r>
    </w:p>
    <w:p w14:paraId="07BB7233">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开户行地址：                       </w:t>
      </w:r>
    </w:p>
    <w:p w14:paraId="54978377">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银行账号：                         </w:t>
      </w:r>
    </w:p>
    <w:p w14:paraId="0A336F50">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联行行号：                         </w:t>
      </w:r>
    </w:p>
    <w:p w14:paraId="329C124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财务联系人：            电话：                 </w:t>
      </w:r>
    </w:p>
    <w:p w14:paraId="045F9DB1">
      <w:pPr>
        <w:spacing w:after="156" w:afterLines="50" w:line="360" w:lineRule="auto"/>
        <w:ind w:firstLine="465" w:firstLineChars="194"/>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zh-CN"/>
        </w:rPr>
        <w:t>乙方应对上述账户信息的真实性、安全性、完整性、准确性负责，否则因此给甲方和乙方造成的损失均由乙方负责承担和赔偿。</w:t>
      </w:r>
    </w:p>
    <w:p w14:paraId="1B04C166">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项目履行期限及地点</w:t>
      </w:r>
    </w:p>
    <w:p w14:paraId="6B5404FB">
      <w:pPr>
        <w:spacing w:after="156" w:afterLines="50" w:line="360" w:lineRule="auto"/>
        <w:ind w:firstLine="470" w:firstLineChars="196"/>
        <w:rPr>
          <w:rFonts w:ascii="仿宋_GB2312" w:hAnsi="宋体" w:eastAsia="仿宋_GB2312"/>
          <w:b/>
          <w:color w:val="auto"/>
          <w:sz w:val="24"/>
          <w:highlight w:val="none"/>
        </w:rPr>
      </w:pPr>
      <w:r>
        <w:rPr>
          <w:rFonts w:hint="eastAsia" w:ascii="仿宋_GB2312" w:hAnsi="宋体" w:eastAsia="仿宋_GB2312" w:cs="宋体"/>
          <w:color w:val="auto"/>
          <w:kern w:val="0"/>
          <w:sz w:val="24"/>
          <w:highlight w:val="none"/>
          <w:lang w:val="zh-CN"/>
        </w:rPr>
        <w:t>1．项目履行期限为：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日起，</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日止。</w:t>
      </w:r>
    </w:p>
    <w:p w14:paraId="04F309FF">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2．项目履行地点为：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197AE828">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项目基本要求</w:t>
      </w:r>
    </w:p>
    <w:p w14:paraId="3059E214">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自本合同签订之日起，乙方应履行合同所规定的任务，按时完成并交付项目成果。</w:t>
      </w:r>
    </w:p>
    <w:p w14:paraId="5E5272EB">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软件开发及升级任务的项目成果至少应包括：需求分析报告、系统设计报告、用户测试报告、用户使用手册、源代码、安装盘，具体成果见附件。</w:t>
      </w:r>
    </w:p>
    <w:p w14:paraId="284D4CB2">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软件开发和升级工作必须提交《需求分析报告》。《需求分析报告》经甲方组织专家论证通过后，作为本合同的组成部分，与本合同具有同等法律效力。</w:t>
      </w:r>
    </w:p>
    <w:p w14:paraId="4262E90F">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软件开发、软件升级、数据整合建库工作的实施应遵循相关数据库及信息系统建设规程或标准。</w:t>
      </w:r>
    </w:p>
    <w:p w14:paraId="257F3B9A">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本合同规定的任务未经甲方书面同意，不得转包和分包。</w:t>
      </w:r>
    </w:p>
    <w:p w14:paraId="6E601113">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自本合同签订之日起，乙方应严格按照甲方进度要求开展工作，并向甲方提交具体项目进度安排，内容包括项目进度及里程碑计划情况，具体进度安排见附件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0BA72CC1">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第三方监理：甲方有权聘请第三方作为本项目实施的监理。如甲方指定了第三方作为甲方的监理，依甲方的授权，该监理享有与本合同中所约定的甲方同等的权利，以监理本项目的进行。</w:t>
      </w:r>
    </w:p>
    <w:p w14:paraId="4C0DBEF5">
      <w:pPr>
        <w:numPr>
          <w:ilvl w:val="0"/>
          <w:numId w:val="3"/>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系统上线运行前，</w:t>
      </w:r>
      <w:r>
        <w:rPr>
          <w:rFonts w:ascii="仿宋_GB2312" w:hAnsi="宋体" w:eastAsia="仿宋_GB2312" w:cs="宋体"/>
          <w:color w:val="auto"/>
          <w:kern w:val="0"/>
          <w:sz w:val="24"/>
          <w:highlight w:val="none"/>
          <w:lang w:val="zh-CN"/>
        </w:rPr>
        <w:t>必须</w:t>
      </w:r>
      <w:r>
        <w:rPr>
          <w:rFonts w:hint="eastAsia" w:ascii="仿宋_GB2312" w:hAnsi="宋体" w:eastAsia="仿宋_GB2312" w:cs="宋体"/>
          <w:color w:val="auto"/>
          <w:kern w:val="0"/>
          <w:sz w:val="24"/>
          <w:highlight w:val="none"/>
          <w:lang w:val="zh-CN"/>
        </w:rPr>
        <w:t>提供经过第三方认证的网络安全测评报告。</w:t>
      </w:r>
    </w:p>
    <w:p w14:paraId="0F87A9E4">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验收、交付</w:t>
      </w:r>
    </w:p>
    <w:p w14:paraId="32523A33">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乙方应在验收前</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个工作日内，以书面方式通知甲方。甲方应当在接到通知后的</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个工作日内安排验收。软件开发、软件升级工作在项目验收前必须通过甲方组织的用户测试，用户测试具体要求及内容见附件。</w:t>
      </w:r>
    </w:p>
    <w:p w14:paraId="363E576C">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如由于甲方的原因而导致验收不能按照规定的时间进行，乙方将按延期时间顺延验收。如由于乙方的原因而导致验收不能按照规定的时间进行，乙方应按照本合同约定承担相应违约责任。</w:t>
      </w:r>
    </w:p>
    <w:p w14:paraId="1F74ED70">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乙方提交的项目成果经甲方全部验收合格之后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个工作日内，乙方应按规定交付全部成果资料，详细成果资料清单见附件。</w:t>
      </w:r>
      <w:r>
        <w:rPr>
          <w:rFonts w:hint="eastAsia" w:ascii="仿宋_GB2312" w:hAnsi="宋体" w:eastAsia="仿宋_GB2312"/>
          <w:color w:val="auto"/>
          <w:sz w:val="24"/>
          <w:highlight w:val="none"/>
        </w:rPr>
        <w:t>视为乙方完成服务成果交付，服务成果交付作为甲方向乙方支付服务费用的前提条件。</w:t>
      </w:r>
    </w:p>
    <w:p w14:paraId="76BAE6F8">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知识产权 </w:t>
      </w:r>
    </w:p>
    <w:p w14:paraId="34C3411D">
      <w:pPr>
        <w:numPr>
          <w:ilvl w:val="0"/>
          <w:numId w:val="5"/>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甲方拥有按照本合同约定所开发及升级软件的知识产权。乙方非经甲方同意，不得以任何方式向第三方披露、转让和许可有关的技术成果、计算机软件、涉密信息、技术资料和文件。未得到甲方的书面许可，乙方不得以任何方式商业性地利用上述资料和技术。如乙方违反本条的规定，除立即停止违约行为外，还应承担违约的相关责任和相应的经济处罚。</w:t>
      </w:r>
    </w:p>
    <w:p w14:paraId="7D47E2DF">
      <w:pPr>
        <w:numPr>
          <w:ilvl w:val="0"/>
          <w:numId w:val="5"/>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乙方在项目实施过程中所形成的所有原始资料、中间及最终成果归甲方所有。</w:t>
      </w:r>
    </w:p>
    <w:p w14:paraId="59458371">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培训和维护</w:t>
      </w:r>
    </w:p>
    <w:p w14:paraId="21E19B0C">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1．软件的维护和支持</w:t>
      </w:r>
    </w:p>
    <w:p w14:paraId="6492522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乙方同意在本项目验收通过之日起的</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年内向甲方提供免费的软件维护和支持服务，</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在收到甲方要求软件维护和支持服务的通知后，</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需在3日内解决，逾期未解决的，</w:t>
      </w:r>
      <w:r>
        <w:rPr>
          <w:rFonts w:ascii="仿宋_GB2312" w:hAnsi="宋体" w:eastAsia="仿宋_GB2312" w:cs="宋体"/>
          <w:color w:val="auto"/>
          <w:kern w:val="0"/>
          <w:sz w:val="24"/>
          <w:highlight w:val="none"/>
          <w:lang w:val="zh-CN"/>
        </w:rPr>
        <w:t>甲方</w:t>
      </w:r>
      <w:r>
        <w:rPr>
          <w:rFonts w:hint="eastAsia" w:ascii="仿宋_GB2312" w:hAnsi="宋体" w:eastAsia="仿宋_GB2312" w:cs="宋体"/>
          <w:color w:val="auto"/>
          <w:kern w:val="0"/>
          <w:sz w:val="24"/>
          <w:highlight w:val="none"/>
          <w:lang w:val="zh-CN"/>
        </w:rPr>
        <w:t>有权追究乙方的违约责任。维护和支持服务期满后，如甲方继续聘请乙方提供上述服务，甲、乙双方将视情况另行签订维护和支持协议。</w:t>
      </w:r>
    </w:p>
    <w:p w14:paraId="357CC5B8">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2．项目培训</w:t>
      </w:r>
    </w:p>
    <w:p w14:paraId="21DDB194">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乙方应及时对甲方的相关人员进行培训，培训目标为受训者能够独立、熟练地完成操作，实现依据本合同所规定的软件的目标和功能。培训计划详见附件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08F92547">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乙方保证与侵权赔偿</w:t>
      </w:r>
    </w:p>
    <w:p w14:paraId="7FA1D90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1、乙方保证：</w:t>
      </w:r>
    </w:p>
    <w:p w14:paraId="6124D078">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1）乙方履行本合同项下的义务。授予甲方的许可权没有受到任何第三方的约束或限制，也没有承担任何约束或限制性义务。</w:t>
      </w:r>
    </w:p>
    <w:p w14:paraId="6F0FD9FB">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2）本软件或其授予的权利不会侵犯任何第三人的知识产权或其他权利，也没有其他针对乙方拥有本软件权利的未决诉讼，或甲方行使乙方所授予的软件权利会侵犯任何第三人的合法权利。</w:t>
      </w:r>
    </w:p>
    <w:p w14:paraId="4F16BB76">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3）所开发的软件必须符合国家有关软件产品方面的规定和软件标准规范。</w:t>
      </w:r>
    </w:p>
    <w:p w14:paraId="2F43C54C">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4）在乙方所交付的软件系统中，不含任何可以自动终止或妨碍系统运作的软件。</w:t>
      </w:r>
    </w:p>
    <w:p w14:paraId="517A5AD6">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5）如乙方所交付和许可甲方使用的软件需经国家有关部门登记、备案、审批或许可的，乙方应保证所提供的软件已完成了上述手续。</w:t>
      </w:r>
    </w:p>
    <w:p w14:paraId="43B1219E">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2、侵权赔偿</w:t>
      </w:r>
    </w:p>
    <w:p w14:paraId="6F14FEBB">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同意，如有第三方声称甲方使用本软件侵犯了第三方的知识产权或其它财产权利，乙方将对由此而引起的任何诉讼或法律请求进行抗辩。乙方同意支付有关判决或和解所确定的赔偿金额以及其他因此产生的费用，</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w:t>
      </w:r>
      <w:r>
        <w:rPr>
          <w:rFonts w:hint="eastAsia" w:ascii="仿宋_GB2312" w:hAnsi="宋体" w:eastAsia="仿宋_GB2312" w:cs="宋体"/>
          <w:color w:val="auto"/>
          <w:kern w:val="0"/>
          <w:sz w:val="24"/>
          <w:highlight w:val="none"/>
          <w:lang w:val="zh-CN"/>
        </w:rPr>
        <w:t>费、</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6D36632">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甲方同意，一旦发生此类诉讼或请求，甲方将及时通知乙方并对乙方处理该诉讼或请求提供合理的帮助，以便乙方获得应有的权利，并在征得乙方书面同意的情况下处理与此相关的应诉、抗辩或进行和解。如乙方由于经济或其他原因不能针对该项诉请进行应诉或和解，甲方有权应诉或进行和解，其发生的费用由乙方承担，</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w:t>
      </w:r>
      <w:r>
        <w:rPr>
          <w:rFonts w:hint="eastAsia" w:ascii="仿宋_GB2312" w:hAnsi="宋体" w:eastAsia="仿宋_GB2312" w:cs="宋体"/>
          <w:color w:val="auto"/>
          <w:kern w:val="0"/>
          <w:sz w:val="24"/>
          <w:highlight w:val="none"/>
          <w:lang w:val="zh-CN"/>
        </w:rPr>
        <w:t>费、</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4B2519B4">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3）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否则甲方有权单方面解除合同，</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需退回服务费并赔偿甲方损失。</w:t>
      </w:r>
    </w:p>
    <w:p w14:paraId="2A662E9C">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保密</w:t>
      </w:r>
    </w:p>
    <w:p w14:paraId="2FB7EF97">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在本合同的履行期内，乙方获得与本项目相关的信息（包括获得的资料及成果等），应当采取适当有效的方式保护，不得未经授权使用、传播或公开。</w:t>
      </w:r>
    </w:p>
    <w:p w14:paraId="3D6D147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乙方在项目实施过程中接触或产生涉密数据的，应严格按《中华人民共和国保守国家秘密法》、</w:t>
      </w:r>
      <w:r>
        <w:rPr>
          <w:rFonts w:hint="eastAsia" w:ascii="仿宋_GB2312" w:hAnsi="宋体" w:eastAsia="仿宋_GB2312"/>
          <w:color w:val="auto"/>
          <w:sz w:val="24"/>
          <w:highlight w:val="none"/>
        </w:rPr>
        <w:t>《自治区自然资源规划研究院涉密数据安全使用管理办法》</w:t>
      </w:r>
      <w:r>
        <w:rPr>
          <w:rFonts w:hint="eastAsia" w:ascii="仿宋_GB2312" w:hAnsi="宋体" w:eastAsia="仿宋_GB2312" w:cs="宋体"/>
          <w:color w:val="auto"/>
          <w:kern w:val="0"/>
          <w:sz w:val="24"/>
          <w:highlight w:val="none"/>
          <w:lang w:val="zh-CN"/>
        </w:rPr>
        <w:t>以及其他相关法律法规和制度执行。如由于乙方的原因而导致泄密的，乙方应承担相应法律责任。</w:t>
      </w:r>
    </w:p>
    <w:p w14:paraId="2BE862FB">
      <w:pPr>
        <w:autoSpaceDE w:val="0"/>
        <w:autoSpaceDN w:val="0"/>
        <w:adjustRightInd w:val="0"/>
        <w:spacing w:after="156" w:afterLines="50" w:line="360" w:lineRule="auto"/>
        <w:ind w:firstLine="480" w:firstLineChars="200"/>
        <w:jc w:val="left"/>
        <w:rPr>
          <w:rFonts w:ascii="仿宋_GB2312" w:hAnsi="宋体" w:eastAsia="仿宋_GB2312" w:cs="宋体"/>
          <w:b/>
          <w:color w:val="auto"/>
          <w:kern w:val="0"/>
          <w:sz w:val="24"/>
          <w:highlight w:val="none"/>
          <w:lang w:val="zh-CN"/>
        </w:rPr>
      </w:pPr>
      <w:r>
        <w:rPr>
          <w:rFonts w:hint="eastAsia" w:ascii="仿宋_GB2312" w:hAnsi="宋体" w:eastAsia="仿宋_GB2312" w:cs="宋体"/>
          <w:color w:val="auto"/>
          <w:kern w:val="0"/>
          <w:sz w:val="24"/>
          <w:highlight w:val="none"/>
          <w:lang w:val="zh-CN"/>
        </w:rPr>
        <w:t>3</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在本合同的履行期内，任何一方可以获得与本项目相关的对方的商业秘密，对此双方皆应谨慎地进行披露和接受。获取对方商业秘密的一方仅可将该商业秘密用于履行其在本合同项下的义务，且只能由相关的工程技术人员使用。获取对方商业秘密的一方应当采取适当有效的方式保护所获取的商业秘密，未经授权不得使用、传播或公开商业秘密。除非有对方的书面许可，或该信息已被拥有方认为不再是商业秘密，或已在社会上公开，该商业秘密应当在</w:t>
      </w:r>
      <w:r>
        <w:rPr>
          <w:rFonts w:hint="eastAsia" w:ascii="仿宋_GB2312" w:hAnsi="宋体" w:eastAsia="仿宋_GB2312" w:cs="宋体"/>
          <w:b/>
          <w:color w:val="auto"/>
          <w:kern w:val="0"/>
          <w:sz w:val="24"/>
          <w:highlight w:val="none"/>
          <w:lang w:val="zh-CN"/>
        </w:rPr>
        <w:t>三年内</w:t>
      </w:r>
      <w:r>
        <w:rPr>
          <w:rFonts w:hint="eastAsia" w:ascii="仿宋_GB2312" w:hAnsi="宋体" w:eastAsia="仿宋_GB2312" w:cs="宋体"/>
          <w:color w:val="auto"/>
          <w:kern w:val="0"/>
          <w:sz w:val="24"/>
          <w:highlight w:val="none"/>
          <w:lang w:val="zh-CN"/>
        </w:rPr>
        <w:t>不得对外披露。</w:t>
      </w:r>
    </w:p>
    <w:p w14:paraId="73688D91">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违约与赔偿责任</w:t>
      </w:r>
    </w:p>
    <w:p w14:paraId="26B556CB">
      <w:pPr>
        <w:numPr>
          <w:ilvl w:val="0"/>
          <w:numId w:val="6"/>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在合同所规定的时间内完成和交付本合同规定的项目。所交付的项目成果经甲方验收不合格的，乙方应在甲方规定的期限内完成返工，由此造成的经济损失由乙方承担。若乙方拒绝返工或者超过甲方规定的期限未返工的或者返工之后未达到甲方要求的，</w:t>
      </w:r>
      <w:r>
        <w:rPr>
          <w:rFonts w:ascii="仿宋_GB2312" w:hAnsi="宋体" w:eastAsia="仿宋_GB2312" w:cs="宋体"/>
          <w:color w:val="auto"/>
          <w:kern w:val="0"/>
          <w:sz w:val="24"/>
          <w:highlight w:val="none"/>
          <w:lang w:val="zh-CN"/>
        </w:rPr>
        <w:t>甲方</w:t>
      </w:r>
      <w:r>
        <w:rPr>
          <w:rFonts w:hint="eastAsia" w:ascii="仿宋_GB2312" w:hAnsi="宋体" w:eastAsia="仿宋_GB2312" w:cs="宋体"/>
          <w:color w:val="auto"/>
          <w:kern w:val="0"/>
          <w:sz w:val="24"/>
          <w:highlight w:val="none"/>
          <w:lang w:val="zh-CN"/>
        </w:rPr>
        <w:t>有权解除本合同，</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需退还甲方服务费并承担总服务费10</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的违约金以及其他由此造成的直接和间接损失，</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、保函费等费用。</w:t>
      </w:r>
    </w:p>
    <w:p w14:paraId="7951FC86">
      <w:pPr>
        <w:numPr>
          <w:ilvl w:val="0"/>
          <w:numId w:val="6"/>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在乙方违约情况下，除依合同支付违约金外，甲方有权要求乙方做出补偿和采取补救措施，并继续履行本合同所规定的义务。违约金的具体确定方式为：</w:t>
      </w:r>
    </w:p>
    <w:p w14:paraId="6A6B01F3">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--每延期一日，乙方应向甲方支付合同总价</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0.1</w:t>
      </w:r>
      <w:r>
        <w:rPr>
          <w:rFonts w:hint="eastAsia" w:ascii="仿宋_GB2312" w:hAnsi="宋体" w:eastAsia="仿宋_GB2312" w:cs="宋体"/>
          <w:color w:val="auto"/>
          <w:kern w:val="0"/>
          <w:sz w:val="24"/>
          <w:highlight w:val="none"/>
          <w:lang w:val="zh-CN"/>
        </w:rPr>
        <w:t xml:space="preserve">％的违约金，但违约金的总数不超过合同总价的 </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20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3C3C4C3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--如延期时间超过</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30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天，甲方有权终止合同，除前款所约定的违约金外，并要求乙方支付合同总价的</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20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作为对甲方的赔偿。如甲方由此终止本合同，乙方应在两个星期内返还甲方所支付的费用，并按甲方的要求退还或销毁所有的基础性文件和原始资料，并赔偿甲方由此而引起的直接和间接损失，包括但不限于诉讼费、律师费、差旅费、保全费、保函费等费用。</w:t>
      </w:r>
    </w:p>
    <w:p w14:paraId="5A6B2EED">
      <w:pPr>
        <w:numPr>
          <w:ilvl w:val="0"/>
          <w:numId w:val="6"/>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如发生违约事件，守约方要求违约方支付违约金时，应以书面方式通知违约方，内容包括违约事件、违约金、支付时间和方式等。违约方在收到上述通知后，应于</w:t>
      </w:r>
      <w:r>
        <w:rPr>
          <w:rFonts w:hint="eastAsia" w:ascii="仿宋_GB2312" w:hAnsi="宋体" w:eastAsia="仿宋_GB2312" w:cs="宋体"/>
          <w:color w:val="auto"/>
          <w:kern w:val="0"/>
          <w:sz w:val="24"/>
          <w:highlight w:val="none"/>
          <w:u w:val="single"/>
          <w:lang w:val="zh-CN"/>
        </w:rPr>
        <w:t>_</w:t>
      </w:r>
      <w:r>
        <w:rPr>
          <w:rFonts w:ascii="仿宋_GB2312" w:hAnsi="宋体" w:eastAsia="仿宋_GB2312" w:cs="宋体"/>
          <w:color w:val="auto"/>
          <w:kern w:val="0"/>
          <w:sz w:val="24"/>
          <w:highlight w:val="none"/>
          <w:u w:val="single"/>
          <w:lang w:val="zh-CN"/>
        </w:rPr>
        <w:t>10</w:t>
      </w:r>
      <w:r>
        <w:rPr>
          <w:rFonts w:hint="eastAsia" w:ascii="仿宋_GB2312" w:hAnsi="宋体" w:eastAsia="仿宋_GB2312" w:cs="宋体"/>
          <w:color w:val="auto"/>
          <w:kern w:val="0"/>
          <w:sz w:val="24"/>
          <w:highlight w:val="none"/>
          <w:u w:val="single"/>
          <w:lang w:val="zh-CN"/>
        </w:rPr>
        <w:t>_</w:t>
      </w:r>
      <w:r>
        <w:rPr>
          <w:rFonts w:hint="eastAsia" w:ascii="仿宋_GB2312" w:hAnsi="宋体" w:eastAsia="仿宋_GB2312" w:cs="宋体"/>
          <w:color w:val="auto"/>
          <w:kern w:val="0"/>
          <w:sz w:val="24"/>
          <w:highlight w:val="none"/>
          <w:lang w:val="zh-CN"/>
        </w:rPr>
        <w:t>天内答复对方，并支付违约金。如双方不能就此达成一致意见，将按照本合同所规定的争议解决条款解决双方的纠纷，但任何一方不得采取非法手段或以损害本项目的方式实现违约金。</w:t>
      </w:r>
    </w:p>
    <w:p w14:paraId="2C60542B">
      <w:pPr>
        <w:numPr>
          <w:ilvl w:val="0"/>
          <w:numId w:val="6"/>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在项目实施过程中应保证安全，如造成人员伤亡或财产损失，由乙方自负经济、法律责任。</w:t>
      </w:r>
    </w:p>
    <w:p w14:paraId="3ABE370F">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不可抗力</w:t>
      </w:r>
    </w:p>
    <w:p w14:paraId="628CDF51">
      <w:pPr>
        <w:autoSpaceDE w:val="0"/>
        <w:autoSpaceDN w:val="0"/>
        <w:adjustRightInd w:val="0"/>
        <w:spacing w:after="50" w:line="360" w:lineRule="auto"/>
        <w:ind w:firstLine="480" w:firstLineChars="20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1、如果本合同任何一方因受不可抗力事件影响而未能履行其在本合同下的全部或部分义务，该义务的履行在不可抗力事件妨碍其履行期间应予中止。</w:t>
      </w:r>
    </w:p>
    <w:p w14:paraId="62A3F908">
      <w:pPr>
        <w:autoSpaceDE w:val="0"/>
        <w:autoSpaceDN w:val="0"/>
        <w:adjustRightInd w:val="0"/>
        <w:spacing w:after="50" w:line="360" w:lineRule="auto"/>
        <w:ind w:firstLine="360" w:firstLineChars="15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72F43E03">
      <w:pPr>
        <w:autoSpaceDE w:val="0"/>
        <w:autoSpaceDN w:val="0"/>
        <w:adjustRightInd w:val="0"/>
        <w:spacing w:after="50" w:line="360" w:lineRule="auto"/>
        <w:ind w:firstLine="360" w:firstLineChars="15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3、当事人迟延履行后发生不可抗力的，不能免除责任。</w:t>
      </w:r>
    </w:p>
    <w:p w14:paraId="09352676">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争议的解决</w:t>
      </w:r>
    </w:p>
    <w:p w14:paraId="59573910">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本合同在履行中发生争议，由甲、乙双方协商解决。协商不成时，甲、乙双方同意提交乌鲁木齐市新市区人民法院裁决。</w:t>
      </w:r>
    </w:p>
    <w:p w14:paraId="67453AA3">
      <w:pPr>
        <w:numPr>
          <w:ilvl w:val="0"/>
          <w:numId w:val="2"/>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 其它</w:t>
      </w:r>
    </w:p>
    <w:p w14:paraId="183D87B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1.本合同之附件均为本合同不可分割之部分。</w:t>
      </w:r>
    </w:p>
    <w:p w14:paraId="4924285B">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2.本合同未尽事宜，由甲、乙双方另行议定，并签订补充协议。补充协议与本合同不一致的，以补充协议为准。</w:t>
      </w:r>
    </w:p>
    <w:p w14:paraId="650F45B9">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3.本合同及其附件和补充协议中未规定的事项，均遵照中华人民共和国有关法律、法规执行。</w:t>
      </w:r>
    </w:p>
    <w:p w14:paraId="1862249D">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4.本合同连同附件一式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份，甲、乙双方各执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份，均具有同等法律效力。合同附件作为本合同的组成部分，</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违反合同附件的相关内容，</w:t>
      </w:r>
      <w:r>
        <w:rPr>
          <w:rFonts w:ascii="仿宋_GB2312" w:hAnsi="宋体" w:eastAsia="仿宋_GB2312"/>
          <w:color w:val="auto"/>
          <w:sz w:val="24"/>
          <w:highlight w:val="none"/>
        </w:rPr>
        <w:t>视为</w:t>
      </w:r>
      <w:r>
        <w:rPr>
          <w:rFonts w:hint="eastAsia" w:ascii="仿宋_GB2312" w:hAnsi="宋体" w:eastAsia="仿宋_GB2312"/>
          <w:color w:val="auto"/>
          <w:sz w:val="24"/>
          <w:highlight w:val="none"/>
        </w:rPr>
        <w:t>违反本合同。</w:t>
      </w:r>
    </w:p>
    <w:p w14:paraId="27F3577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5. 合同双方法人或委托代理人盖章或签字，本合同生效。</w:t>
      </w:r>
    </w:p>
    <w:p w14:paraId="53F36E8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附件：</w:t>
      </w:r>
      <w:r>
        <w:rPr>
          <w:rFonts w:hint="eastAsia" w:ascii="仿宋_GB2312" w:hAnsi="宋体" w:eastAsia="仿宋_GB2312"/>
          <w:color w:val="auto"/>
          <w:sz w:val="24"/>
          <w:highlight w:val="none"/>
          <w:u w:val="single"/>
        </w:rPr>
        <w:t xml:space="preserve">（1） 项目实施方案 </w:t>
      </w:r>
    </w:p>
    <w:p w14:paraId="416B9506">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（2）保密协议及保密责任书</w:t>
      </w:r>
    </w:p>
    <w:p w14:paraId="199D04FF">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（3）廉政承诺书</w:t>
      </w:r>
    </w:p>
    <w:p w14:paraId="0D968F8F">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（4）安全生产承诺书</w:t>
      </w:r>
    </w:p>
    <w:p w14:paraId="53963620">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甲方：自治区自然资源规划研究院（盖章）</w:t>
      </w:r>
    </w:p>
    <w:p w14:paraId="68B795FE">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4FDBDCF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40053F2E">
      <w:pPr>
        <w:tabs>
          <w:tab w:val="right" w:pos="5880"/>
        </w:tabs>
        <w:spacing w:before="312" w:beforeLines="100"/>
        <w:ind w:firstLine="420"/>
        <w:rPr>
          <w:rFonts w:ascii="仿宋_GB2312" w:hAnsi="宋体" w:eastAsia="仿宋_GB2312"/>
          <w:color w:val="auto"/>
          <w:sz w:val="24"/>
          <w:highlight w:val="none"/>
        </w:rPr>
      </w:pPr>
    </w:p>
    <w:p w14:paraId="3F9F1D4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乙方：（盖章）</w:t>
      </w:r>
    </w:p>
    <w:p w14:paraId="412F41C4">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240072B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19B58DAA">
      <w:pPr>
        <w:tabs>
          <w:tab w:val="right" w:pos="5880"/>
        </w:tabs>
        <w:spacing w:before="312" w:beforeLines="100"/>
        <w:ind w:firstLine="420"/>
        <w:rPr>
          <w:rFonts w:ascii="仿宋_GB2312" w:hAnsi="宋体" w:eastAsia="仿宋_GB2312"/>
          <w:b/>
          <w:color w:val="auto"/>
          <w:sz w:val="24"/>
          <w:highlight w:val="none"/>
        </w:rPr>
      </w:pPr>
    </w:p>
    <w:p w14:paraId="601AF251">
      <w:pPr>
        <w:rPr>
          <w:color w:val="auto"/>
          <w:highlight w:val="none"/>
        </w:rPr>
      </w:pPr>
    </w:p>
    <w:p w14:paraId="345740A2">
      <w:pPr>
        <w:keepNext w:val="0"/>
        <w:keepLines w:val="0"/>
        <w:pageBreakBefore w:val="0"/>
        <w:widowControl/>
        <w:shd w:val="clear"/>
        <w:kinsoku/>
        <w:wordWrap/>
        <w:overflowPunct/>
        <w:topLinePunct w:val="0"/>
        <w:autoSpaceDE/>
        <w:autoSpaceDN/>
        <w:bidi w:val="0"/>
        <w:adjustRightInd/>
        <w:snapToGrid/>
        <w:spacing w:before="95" w:line="560" w:lineRule="exact"/>
        <w:ind w:right="1814"/>
        <w:jc w:val="both"/>
        <w:textAlignment w:val="baseline"/>
        <w:outlineLvl w:val="9"/>
        <w:rPr>
          <w:rFonts w:hint="eastAsia" w:ascii="仿宋" w:hAnsi="仿宋" w:eastAsia="仿宋" w:cs="仿宋"/>
          <w:b/>
          <w:bCs/>
          <w:color w:val="auto"/>
          <w:sz w:val="24"/>
          <w:szCs w:val="24"/>
          <w:highlight w:val="none"/>
        </w:rPr>
      </w:pPr>
    </w:p>
    <w:p w14:paraId="0C963E53">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21CEF5B7">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3F49BDCE">
      <w:pPr>
        <w:keepNext/>
        <w:keepLines/>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b/>
          <w:bCs/>
          <w:color w:val="auto"/>
          <w:sz w:val="24"/>
          <w:szCs w:val="24"/>
          <w:highlight w:val="none"/>
        </w:rPr>
      </w:pPr>
    </w:p>
    <w:p w14:paraId="44D3D057">
      <w:pPr>
        <w:shd w:val="clear"/>
        <w:rPr>
          <w:rFonts w:hint="eastAsia"/>
          <w:color w:val="auto"/>
          <w:highlight w:val="none"/>
        </w:rPr>
      </w:pPr>
    </w:p>
    <w:p w14:paraId="7B65CD92">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4560CE76">
      <w:pPr>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rPr>
      </w:pPr>
    </w:p>
    <w:p w14:paraId="6123B920">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2654AA83">
      <w:pPr>
        <w:rPr>
          <w:rStyle w:val="35"/>
          <w:rFonts w:hint="eastAsia" w:ascii="仿宋" w:hAnsi="仿宋" w:eastAsia="仿宋" w:cs="仿宋"/>
          <w:b/>
          <w:color w:val="auto"/>
          <w:sz w:val="36"/>
          <w:highlight w:val="none"/>
          <w:lang w:eastAsia="zh-CN"/>
        </w:rPr>
      </w:pPr>
      <w:bookmarkStart w:id="105" w:name="_Toc14191"/>
      <w:r>
        <w:rPr>
          <w:rStyle w:val="35"/>
          <w:rFonts w:hint="eastAsia" w:ascii="仿宋" w:hAnsi="仿宋" w:eastAsia="仿宋" w:cs="仿宋"/>
          <w:b/>
          <w:color w:val="auto"/>
          <w:sz w:val="36"/>
          <w:highlight w:val="none"/>
          <w:lang w:eastAsia="zh-CN"/>
        </w:rPr>
        <w:br w:type="page"/>
      </w:r>
    </w:p>
    <w:p w14:paraId="0B70620B">
      <w:pPr>
        <w:keepNext w:val="0"/>
        <w:keepLines w:val="0"/>
        <w:pageBreakBefore w:val="0"/>
        <w:widowControl/>
        <w:shd w:val="clear"/>
        <w:kinsoku/>
        <w:wordWrap/>
        <w:overflowPunct/>
        <w:topLinePunct w:val="0"/>
        <w:autoSpaceDE/>
        <w:autoSpaceDN/>
        <w:bidi w:val="0"/>
        <w:adjustRightInd/>
        <w:spacing w:before="95" w:line="560" w:lineRule="exact"/>
        <w:ind w:left="2166" w:right="1814"/>
        <w:jc w:val="center"/>
        <w:textAlignment w:val="baseline"/>
        <w:outlineLvl w:val="0"/>
        <w:rPr>
          <w:rStyle w:val="35"/>
          <w:rFonts w:ascii="仿宋" w:hAnsi="仿宋" w:eastAsia="仿宋" w:cs="仿宋"/>
          <w:b/>
          <w:color w:val="auto"/>
          <w:sz w:val="36"/>
          <w:highlight w:val="none"/>
          <w:lang w:eastAsia="zh-CN"/>
        </w:rPr>
      </w:pPr>
      <w:r>
        <w:rPr>
          <w:rStyle w:val="35"/>
          <w:rFonts w:hint="eastAsia" w:ascii="仿宋" w:hAnsi="仿宋" w:eastAsia="仿宋" w:cs="仿宋"/>
          <w:b/>
          <w:color w:val="auto"/>
          <w:sz w:val="36"/>
          <w:highlight w:val="none"/>
          <w:lang w:eastAsia="zh-CN"/>
        </w:rPr>
        <w:t>第五部分附件</w:t>
      </w:r>
      <w:bookmarkEnd w:id="99"/>
      <w:bookmarkEnd w:id="100"/>
      <w:bookmarkEnd w:id="101"/>
      <w:bookmarkEnd w:id="102"/>
      <w:bookmarkEnd w:id="103"/>
      <w:bookmarkEnd w:id="105"/>
    </w:p>
    <w:p w14:paraId="59F2FAD9">
      <w:pPr>
        <w:pStyle w:val="61"/>
        <w:shd w:val="clear"/>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70DA0203">
      <w:pPr>
        <w:shd w:val="clear"/>
        <w:spacing w:line="579" w:lineRule="exact"/>
        <w:rPr>
          <w:rFonts w:ascii="仿宋" w:hAnsi="仿宋" w:eastAsia="仿宋" w:cs="仿宋"/>
          <w:b/>
          <w:color w:val="auto"/>
          <w:highlight w:val="none"/>
          <w:lang w:eastAsia="zh-CN"/>
        </w:rPr>
      </w:pPr>
    </w:p>
    <w:p w14:paraId="5C270FCD">
      <w:pPr>
        <w:shd w:val="clear"/>
        <w:spacing w:line="579" w:lineRule="exact"/>
        <w:jc w:val="center"/>
        <w:rPr>
          <w:rFonts w:ascii="仿宋" w:hAnsi="仿宋" w:eastAsia="仿宋" w:cs="仿宋"/>
          <w:b/>
          <w:color w:val="auto"/>
          <w:sz w:val="48"/>
          <w:szCs w:val="36"/>
          <w:highlight w:val="none"/>
          <w:lang w:eastAsia="zh-CN" w:bidi="ar"/>
        </w:rPr>
      </w:pPr>
    </w:p>
    <w:p w14:paraId="14CDADF5">
      <w:pPr>
        <w:shd w:val="clear"/>
        <w:spacing w:line="579" w:lineRule="exact"/>
        <w:jc w:val="center"/>
        <w:rPr>
          <w:rFonts w:ascii="仿宋" w:hAnsi="仿宋" w:eastAsia="仿宋" w:cs="仿宋"/>
          <w:b/>
          <w:color w:val="auto"/>
          <w:sz w:val="52"/>
          <w:szCs w:val="40"/>
          <w:highlight w:val="none"/>
          <w:lang w:eastAsia="zh-CN" w:bidi="ar"/>
        </w:rPr>
      </w:pPr>
      <w:r>
        <w:rPr>
          <w:rFonts w:hint="eastAsia" w:ascii="仿宋" w:hAnsi="仿宋" w:eastAsia="仿宋" w:cs="仿宋"/>
          <w:b/>
          <w:color w:val="auto"/>
          <w:sz w:val="52"/>
          <w:szCs w:val="52"/>
          <w:highlight w:val="none"/>
          <w:lang w:eastAsia="zh-CN"/>
        </w:rPr>
        <w:t>2025年自治区自然资源规划研究院网络安全等级保护测评服务</w:t>
      </w:r>
    </w:p>
    <w:p w14:paraId="3D72213D">
      <w:pPr>
        <w:shd w:val="clear"/>
        <w:spacing w:line="579" w:lineRule="exact"/>
        <w:jc w:val="center"/>
        <w:rPr>
          <w:rFonts w:ascii="仿宋" w:hAnsi="仿宋" w:eastAsia="仿宋" w:cs="仿宋"/>
          <w:b/>
          <w:color w:val="auto"/>
          <w:sz w:val="52"/>
          <w:szCs w:val="40"/>
          <w:highlight w:val="none"/>
          <w:lang w:eastAsia="zh-CN" w:bidi="ar"/>
        </w:rPr>
      </w:pPr>
    </w:p>
    <w:p w14:paraId="6EAF740E">
      <w:pPr>
        <w:shd w:val="clea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eastAsia="zh-CN" w:bidi="ar"/>
        </w:rPr>
        <w:t>磋 商 响 应 文 件</w:t>
      </w:r>
    </w:p>
    <w:p w14:paraId="31387D70">
      <w:pPr>
        <w:shd w:val="clear"/>
        <w:spacing w:line="579" w:lineRule="exact"/>
        <w:rPr>
          <w:rFonts w:ascii="仿宋" w:hAnsi="仿宋" w:eastAsia="仿宋" w:cs="仿宋"/>
          <w:color w:val="auto"/>
          <w:highlight w:val="none"/>
          <w:lang w:eastAsia="zh-CN"/>
        </w:rPr>
      </w:pPr>
    </w:p>
    <w:p w14:paraId="1C43B5B9">
      <w:pPr>
        <w:shd w:val="clear"/>
        <w:spacing w:line="579" w:lineRule="exact"/>
        <w:rPr>
          <w:rFonts w:ascii="仿宋" w:hAnsi="仿宋" w:eastAsia="仿宋" w:cs="仿宋"/>
          <w:color w:val="auto"/>
          <w:highlight w:val="none"/>
          <w:lang w:eastAsia="zh-CN"/>
        </w:rPr>
      </w:pPr>
    </w:p>
    <w:p w14:paraId="0432666D">
      <w:pPr>
        <w:shd w:val="clear"/>
        <w:spacing w:line="579" w:lineRule="exact"/>
        <w:rPr>
          <w:rFonts w:ascii="仿宋" w:hAnsi="仿宋" w:eastAsia="仿宋" w:cs="仿宋"/>
          <w:color w:val="auto"/>
          <w:highlight w:val="none"/>
          <w:lang w:eastAsia="zh-CN"/>
        </w:rPr>
      </w:pPr>
    </w:p>
    <w:p w14:paraId="7EAC5C04">
      <w:pPr>
        <w:shd w:val="clear"/>
        <w:spacing w:line="579" w:lineRule="exact"/>
        <w:rPr>
          <w:rFonts w:ascii="仿宋" w:hAnsi="仿宋" w:eastAsia="仿宋" w:cs="仿宋"/>
          <w:color w:val="auto"/>
          <w:highlight w:val="none"/>
          <w:lang w:eastAsia="zh-CN"/>
        </w:rPr>
      </w:pPr>
    </w:p>
    <w:p w14:paraId="54E07C54">
      <w:pPr>
        <w:shd w:val="clear"/>
        <w:spacing w:line="579" w:lineRule="exact"/>
        <w:rPr>
          <w:rFonts w:ascii="仿宋" w:hAnsi="仿宋" w:eastAsia="仿宋" w:cs="仿宋"/>
          <w:color w:val="auto"/>
          <w:highlight w:val="none"/>
          <w:lang w:eastAsia="zh-CN"/>
        </w:rPr>
      </w:pPr>
    </w:p>
    <w:p w14:paraId="2DF9045F">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项目名称：</w:t>
      </w:r>
    </w:p>
    <w:p w14:paraId="2A507FC7">
      <w:pPr>
        <w:shd w:val="clear"/>
        <w:spacing w:line="579" w:lineRule="exac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项目编号:</w:t>
      </w:r>
    </w:p>
    <w:p w14:paraId="0A5EF728">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供应商名称：（盖章）</w:t>
      </w:r>
    </w:p>
    <w:p w14:paraId="7918D000">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法定代表人或授权代理人：（签字或盖章）</w:t>
      </w:r>
    </w:p>
    <w:p w14:paraId="137663C8">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供应商地址：</w:t>
      </w:r>
    </w:p>
    <w:p w14:paraId="29417BEB">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联系人姓名：</w:t>
      </w:r>
    </w:p>
    <w:p w14:paraId="34F163C1">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联系方式:</w:t>
      </w:r>
    </w:p>
    <w:p w14:paraId="7ED683EC">
      <w:pPr>
        <w:pStyle w:val="61"/>
        <w:shd w:val="clear"/>
        <w:ind w:firstLine="643"/>
        <w:jc w:val="center"/>
        <w:rPr>
          <w:rFonts w:ascii="仿宋" w:hAnsi="仿宋" w:eastAsia="仿宋" w:cs="仿宋"/>
          <w:b/>
          <w:color w:val="auto"/>
          <w:sz w:val="32"/>
          <w:szCs w:val="32"/>
          <w:highlight w:val="none"/>
          <w:lang w:eastAsia="zh-CN"/>
        </w:rPr>
      </w:pPr>
    </w:p>
    <w:p w14:paraId="1AADD9F0">
      <w:pPr>
        <w:pStyle w:val="61"/>
        <w:shd w:val="clear"/>
        <w:ind w:firstLine="643"/>
        <w:jc w:val="center"/>
        <w:rPr>
          <w:rFonts w:ascii="仿宋" w:hAnsi="仿宋" w:eastAsia="仿宋" w:cs="仿宋"/>
          <w:b/>
          <w:color w:val="auto"/>
          <w:sz w:val="32"/>
          <w:szCs w:val="32"/>
          <w:highlight w:val="none"/>
          <w:lang w:eastAsia="zh-CN"/>
        </w:rPr>
      </w:pPr>
    </w:p>
    <w:p w14:paraId="655E2AA5">
      <w:pPr>
        <w:rPr>
          <w:rFonts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br w:type="page"/>
      </w:r>
    </w:p>
    <w:p w14:paraId="5151BA1F">
      <w:pPr>
        <w:pStyle w:val="61"/>
        <w:shd w:val="clear"/>
        <w:ind w:firstLine="643"/>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目录</w:t>
      </w:r>
    </w:p>
    <w:p w14:paraId="17419889">
      <w:pPr>
        <w:pStyle w:val="61"/>
        <w:shd w:val="clear"/>
        <w:ind w:firstLine="643"/>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为了便于查找，请按评审内容编排内容，并在目录中标明每项内容的起始页码。</w:t>
      </w:r>
    </w:p>
    <w:p w14:paraId="008462FB">
      <w:pPr>
        <w:rPr>
          <w:rFonts w:hint="eastAsia" w:ascii="仿宋" w:hAnsi="仿宋" w:eastAsia="仿宋" w:cs="仿宋"/>
          <w:b/>
          <w:color w:val="auto"/>
          <w:sz w:val="32"/>
          <w:highlight w:val="none"/>
          <w:lang w:eastAsia="zh-CN"/>
        </w:rPr>
      </w:pPr>
      <w:bookmarkStart w:id="106" w:name="_Toc4704"/>
      <w:bookmarkStart w:id="107" w:name="_Toc21563"/>
      <w:bookmarkStart w:id="108" w:name="_Toc83546621"/>
      <w:bookmarkStart w:id="109" w:name="_Toc22554395"/>
      <w:r>
        <w:rPr>
          <w:rFonts w:hint="eastAsia" w:ascii="仿宋" w:hAnsi="仿宋" w:eastAsia="仿宋" w:cs="仿宋"/>
          <w:b/>
          <w:color w:val="auto"/>
          <w:sz w:val="32"/>
          <w:highlight w:val="none"/>
          <w:lang w:eastAsia="zh-CN"/>
        </w:rPr>
        <w:br w:type="page"/>
      </w:r>
    </w:p>
    <w:p w14:paraId="70D7B868">
      <w:pPr>
        <w:shd w:val="clear"/>
        <w:spacing w:before="120" w:after="120" w:line="500" w:lineRule="exact"/>
        <w:ind w:firstLine="643"/>
        <w:jc w:val="center"/>
        <w:outlineLvl w:val="1"/>
        <w:rPr>
          <w:rFonts w:ascii="仿宋" w:hAnsi="仿宋" w:eastAsia="仿宋" w:cs="仿宋"/>
          <w:color w:val="auto"/>
          <w:highlight w:val="none"/>
        </w:rPr>
      </w:pP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106"/>
      <w:bookmarkEnd w:id="107"/>
      <w:bookmarkEnd w:id="108"/>
    </w:p>
    <w:p w14:paraId="16226D18">
      <w:pPr>
        <w:shd w:val="clea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40CEDF3C">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）法人或者非法人组织的营业执照等证明文件</w:t>
      </w:r>
      <w:bookmarkStart w:id="110" w:name="_Toc515647806"/>
      <w:r>
        <w:rPr>
          <w:rFonts w:hint="eastAsia" w:ascii="仿宋" w:hAnsi="仿宋" w:eastAsia="仿宋" w:cs="仿宋"/>
          <w:color w:val="auto"/>
          <w:highlight w:val="none"/>
          <w:lang w:eastAsia="zh-CN"/>
        </w:rPr>
        <w:t>或自然人的身份证明</w:t>
      </w:r>
      <w:bookmarkEnd w:id="110"/>
      <w:r>
        <w:rPr>
          <w:rFonts w:hint="eastAsia" w:ascii="仿宋" w:hAnsi="仿宋" w:eastAsia="仿宋" w:cs="仿宋"/>
          <w:color w:val="auto"/>
          <w:highlight w:val="none"/>
        </w:rPr>
        <w:t>（复印件）；</w:t>
      </w:r>
    </w:p>
    <w:p w14:paraId="56FE0865">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）提供法定代表人身份证明或法定代表人授权委托书；（原件）</w:t>
      </w:r>
    </w:p>
    <w:p w14:paraId="79684E6F">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政府采购供应商信用承诺函</w:t>
      </w:r>
    </w:p>
    <w:p w14:paraId="59D764F2">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供应商应具备有效的公安机关颁发的《网络安全等级保护测评与检测评估机构服务认证证书》；</w:t>
      </w:r>
    </w:p>
    <w:p w14:paraId="3011255D">
      <w:pPr>
        <w:keepNext w:val="0"/>
        <w:keepLines w:val="0"/>
        <w:pageBreakBefore w:val="0"/>
        <w:widowControl/>
        <w:shd w:val="clear"/>
        <w:kinsoku/>
        <w:wordWrap/>
        <w:overflowPunct/>
        <w:topLinePunct w:val="0"/>
        <w:autoSpaceDE/>
        <w:autoSpaceDN/>
        <w:bidi w:val="0"/>
        <w:adjustRightInd/>
        <w:spacing w:line="440" w:lineRule="exact"/>
        <w:ind w:left="0" w:leftChars="0" w:firstLine="44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（五）供应商无关联关系书面声明函</w:t>
      </w:r>
    </w:p>
    <w:p w14:paraId="002AA820">
      <w:pPr>
        <w:keepNext w:val="0"/>
        <w:keepLines w:val="0"/>
        <w:pageBreakBefore w:val="0"/>
        <w:widowControl/>
        <w:kinsoku/>
        <w:wordWrap/>
        <w:overflowPunct/>
        <w:topLinePunct w:val="0"/>
        <w:autoSpaceDE/>
        <w:autoSpaceDN/>
        <w:bidi w:val="0"/>
        <w:adjustRightInd/>
        <w:spacing w:line="440" w:lineRule="exact"/>
        <w:ind w:left="0" w:leftChars="0" w:firstLine="440" w:firstLineChars="200"/>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lang w:val="en-US" w:eastAsia="zh-CN"/>
        </w:rPr>
        <w:t>提供《中小企业声明函》</w:t>
      </w:r>
    </w:p>
    <w:p w14:paraId="53ADFE4B">
      <w:pPr>
        <w:keepNext w:val="0"/>
        <w:keepLines w:val="0"/>
        <w:pageBreakBefore w:val="0"/>
        <w:widowControl/>
        <w:shd w:val="clear"/>
        <w:tabs>
          <w:tab w:val="center" w:pos="4153"/>
          <w:tab w:val="right" w:pos="8306"/>
        </w:tabs>
        <w:kinsoku/>
        <w:wordWrap/>
        <w:overflowPunct/>
        <w:topLinePunct w:val="0"/>
        <w:autoSpaceDE/>
        <w:autoSpaceDN/>
        <w:bidi w:val="0"/>
        <w:adjustRightInd/>
        <w:snapToGrid w:val="0"/>
        <w:spacing w:line="440" w:lineRule="exact"/>
        <w:ind w:left="0" w:leftChars="0" w:firstLine="480" w:firstLineChars="200"/>
        <w:textAlignment w:val="baseline"/>
        <w:rPr>
          <w:rFonts w:ascii="仿宋" w:hAnsi="仿宋" w:eastAsia="仿宋" w:cs="仿宋"/>
          <w:color w:val="auto"/>
          <w:sz w:val="24"/>
          <w:highlight w:val="none"/>
          <w:lang w:eastAsia="zh-CN"/>
        </w:rPr>
      </w:pPr>
    </w:p>
    <w:p w14:paraId="73C5CDB6">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488417A4">
      <w:pPr>
        <w:shd w:val="clear"/>
        <w:spacing w:line="440" w:lineRule="exact"/>
        <w:ind w:firstLine="480"/>
        <w:rPr>
          <w:rFonts w:ascii="仿宋" w:hAnsi="仿宋" w:eastAsia="仿宋" w:cs="仿宋"/>
          <w:color w:val="auto"/>
          <w:highlight w:val="none"/>
        </w:rPr>
      </w:pPr>
    </w:p>
    <w:p w14:paraId="18DDA9F2">
      <w:pPr>
        <w:keepNext w:val="0"/>
        <w:keepLines w:val="0"/>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b/>
          <w:color w:val="auto"/>
          <w:sz w:val="24"/>
          <w:highlight w:val="none"/>
        </w:rPr>
      </w:pPr>
    </w:p>
    <w:p w14:paraId="3E5155D7">
      <w:pPr>
        <w:pStyle w:val="7"/>
        <w:shd w:val="clear"/>
        <w:ind w:firstLine="482"/>
        <w:rPr>
          <w:rFonts w:ascii="仿宋" w:hAnsi="仿宋" w:eastAsia="仿宋" w:cs="仿宋"/>
          <w:b/>
          <w:color w:val="auto"/>
          <w:sz w:val="24"/>
          <w:szCs w:val="24"/>
          <w:highlight w:val="none"/>
        </w:rPr>
      </w:pPr>
    </w:p>
    <w:p w14:paraId="1E030716">
      <w:pPr>
        <w:pStyle w:val="7"/>
        <w:shd w:val="clear"/>
        <w:ind w:firstLine="482"/>
        <w:rPr>
          <w:rFonts w:ascii="仿宋" w:hAnsi="仿宋" w:eastAsia="仿宋" w:cs="仿宋"/>
          <w:b/>
          <w:color w:val="auto"/>
          <w:sz w:val="24"/>
          <w:szCs w:val="24"/>
          <w:highlight w:val="none"/>
        </w:rPr>
      </w:pPr>
    </w:p>
    <w:p w14:paraId="56680F1F">
      <w:pPr>
        <w:pStyle w:val="7"/>
        <w:shd w:val="clear"/>
        <w:ind w:firstLine="482"/>
        <w:rPr>
          <w:rFonts w:ascii="仿宋" w:hAnsi="仿宋" w:eastAsia="仿宋" w:cs="仿宋"/>
          <w:b/>
          <w:color w:val="auto"/>
          <w:sz w:val="24"/>
          <w:szCs w:val="24"/>
          <w:highlight w:val="none"/>
        </w:rPr>
      </w:pPr>
    </w:p>
    <w:p w14:paraId="6179829A">
      <w:pPr>
        <w:pStyle w:val="7"/>
        <w:shd w:val="clear"/>
        <w:ind w:firstLine="482"/>
        <w:rPr>
          <w:rFonts w:ascii="仿宋" w:hAnsi="仿宋" w:eastAsia="仿宋" w:cs="仿宋"/>
          <w:b/>
          <w:color w:val="auto"/>
          <w:sz w:val="24"/>
          <w:szCs w:val="24"/>
          <w:highlight w:val="none"/>
        </w:rPr>
      </w:pPr>
    </w:p>
    <w:p w14:paraId="61FB8432">
      <w:pPr>
        <w:pStyle w:val="7"/>
        <w:shd w:val="clear"/>
        <w:ind w:firstLine="482"/>
        <w:rPr>
          <w:rFonts w:ascii="仿宋" w:hAnsi="仿宋" w:eastAsia="仿宋" w:cs="仿宋"/>
          <w:b/>
          <w:color w:val="auto"/>
          <w:sz w:val="24"/>
          <w:szCs w:val="24"/>
          <w:highlight w:val="none"/>
        </w:rPr>
      </w:pPr>
    </w:p>
    <w:p w14:paraId="5190A93B">
      <w:pPr>
        <w:pStyle w:val="7"/>
        <w:shd w:val="clear"/>
        <w:ind w:firstLine="482"/>
        <w:rPr>
          <w:rFonts w:ascii="仿宋" w:hAnsi="仿宋" w:eastAsia="仿宋" w:cs="仿宋"/>
          <w:b/>
          <w:color w:val="auto"/>
          <w:sz w:val="24"/>
          <w:szCs w:val="24"/>
          <w:highlight w:val="none"/>
        </w:rPr>
      </w:pPr>
    </w:p>
    <w:p w14:paraId="74C7AA5C">
      <w:pPr>
        <w:shd w:val="clear"/>
        <w:rPr>
          <w:rFonts w:ascii="仿宋" w:hAnsi="仿宋" w:eastAsia="仿宋" w:cs="仿宋"/>
          <w:b/>
          <w:color w:val="auto"/>
          <w:sz w:val="24"/>
          <w:szCs w:val="24"/>
          <w:highlight w:val="none"/>
        </w:rPr>
      </w:pPr>
    </w:p>
    <w:p w14:paraId="793599F5">
      <w:pPr>
        <w:keepNext/>
        <w:keepLines/>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4"/>
          <w:szCs w:val="24"/>
          <w:highlight w:val="none"/>
        </w:rPr>
      </w:pPr>
    </w:p>
    <w:p w14:paraId="2B4B131A">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4FB72C26">
      <w:pPr>
        <w:shd w:val="clear"/>
        <w:rPr>
          <w:color w:val="auto"/>
          <w:highlight w:val="none"/>
        </w:rPr>
      </w:pPr>
    </w:p>
    <w:p w14:paraId="6FC86E2F">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57908109">
      <w:pPr>
        <w:pStyle w:val="7"/>
        <w:shd w:val="clear"/>
        <w:ind w:firstLine="482"/>
        <w:rPr>
          <w:rFonts w:ascii="仿宋" w:hAnsi="仿宋" w:eastAsia="仿宋" w:cs="仿宋"/>
          <w:b/>
          <w:color w:val="auto"/>
          <w:sz w:val="24"/>
          <w:szCs w:val="24"/>
          <w:highlight w:val="none"/>
        </w:rPr>
      </w:pPr>
    </w:p>
    <w:p w14:paraId="37B8F9FF">
      <w:pPr>
        <w:pStyle w:val="7"/>
        <w:shd w:val="clear"/>
        <w:ind w:firstLine="482"/>
        <w:rPr>
          <w:rFonts w:ascii="仿宋" w:hAnsi="仿宋" w:eastAsia="仿宋" w:cs="仿宋"/>
          <w:b/>
          <w:color w:val="auto"/>
          <w:sz w:val="24"/>
          <w:szCs w:val="24"/>
          <w:highlight w:val="none"/>
        </w:rPr>
      </w:pPr>
    </w:p>
    <w:p w14:paraId="435D3E99">
      <w:pPr>
        <w:pStyle w:val="7"/>
        <w:shd w:val="clear"/>
        <w:ind w:firstLine="482"/>
        <w:rPr>
          <w:rFonts w:ascii="仿宋" w:hAnsi="仿宋" w:eastAsia="仿宋" w:cs="仿宋"/>
          <w:b/>
          <w:color w:val="auto"/>
          <w:sz w:val="24"/>
          <w:szCs w:val="24"/>
          <w:highlight w:val="none"/>
        </w:rPr>
      </w:pPr>
    </w:p>
    <w:p w14:paraId="1460C07C">
      <w:pPr>
        <w:shd w:val="clear"/>
        <w:rPr>
          <w:rFonts w:ascii="仿宋" w:hAnsi="仿宋" w:eastAsia="仿宋" w:cs="仿宋"/>
          <w:b/>
          <w:color w:val="auto"/>
          <w:sz w:val="24"/>
          <w:szCs w:val="24"/>
          <w:highlight w:val="none"/>
        </w:rPr>
      </w:pPr>
    </w:p>
    <w:p w14:paraId="45E6829C">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rPr>
      </w:pPr>
    </w:p>
    <w:p w14:paraId="16CADA57">
      <w:pPr>
        <w:pStyle w:val="7"/>
        <w:shd w:val="clear"/>
        <w:ind w:firstLine="482"/>
        <w:rPr>
          <w:rFonts w:ascii="仿宋" w:hAnsi="仿宋" w:eastAsia="仿宋" w:cs="仿宋"/>
          <w:b/>
          <w:color w:val="auto"/>
          <w:sz w:val="24"/>
          <w:szCs w:val="24"/>
          <w:highlight w:val="none"/>
        </w:rPr>
      </w:pPr>
    </w:p>
    <w:p w14:paraId="6B5EB4F6">
      <w:pPr>
        <w:shd w:val="clear"/>
        <w:rPr>
          <w:color w:val="auto"/>
          <w:highlight w:val="none"/>
        </w:rPr>
      </w:pPr>
    </w:p>
    <w:p w14:paraId="7BB8E3AD">
      <w:pPr>
        <w:shd w:val="clear"/>
        <w:rPr>
          <w:color w:val="auto"/>
          <w:highlight w:val="none"/>
        </w:rPr>
      </w:pPr>
    </w:p>
    <w:p w14:paraId="5921ACD1">
      <w:pPr>
        <w:keepNext w:val="0"/>
        <w:keepLines w:val="0"/>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bookmarkEnd w:id="109"/>
    </w:p>
    <w:p w14:paraId="70657F21">
      <w:pPr>
        <w:keepNext/>
        <w:keepLines/>
        <w:pageBreakBefore w:val="0"/>
        <w:widowControl/>
        <w:shd w:val="clear"/>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说明：1.提供有效的营业执照等证明文件复印件，复印件上应加盖章。</w:t>
      </w:r>
    </w:p>
    <w:p w14:paraId="692C28FF">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2.供应商为自然人的，应提供身份证明的复印件。</w:t>
      </w:r>
    </w:p>
    <w:p w14:paraId="3C21D9C6">
      <w:pPr>
        <w:keepNext/>
        <w:keepLines/>
        <w:pageBreakBefore w:val="0"/>
        <w:widowControl/>
        <w:shd w:val="clear"/>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3.联合体应提供联合体各方满足以上要求的证明文件。</w:t>
      </w:r>
    </w:p>
    <w:p w14:paraId="26D95947">
      <w:pPr>
        <w:keepNext/>
        <w:keepLines/>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highlight w:val="none"/>
        </w:rPr>
      </w:pPr>
    </w:p>
    <w:p w14:paraId="45CD827D">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eastAsia" w:ascii="仿宋" w:hAnsi="仿宋" w:eastAsia="仿宋" w:cs="仿宋"/>
          <w:b/>
          <w:bCs/>
          <w:color w:val="auto"/>
          <w:szCs w:val="24"/>
          <w:highlight w:val="none"/>
          <w:lang w:val="en-US" w:eastAsia="zh-CN"/>
        </w:rPr>
      </w:pPr>
    </w:p>
    <w:p w14:paraId="243DDD4F">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39D5BB1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（招标人）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781FC7DE">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5E8AB2D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2BC964EF">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591EA593">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2C0FDC2D">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7BD0372D">
      <w:pPr>
        <w:shd w:val="clear"/>
        <w:spacing w:line="500" w:lineRule="exact"/>
        <w:ind w:firstLine="480"/>
        <w:rPr>
          <w:rFonts w:ascii="仿宋" w:hAnsi="仿宋" w:eastAsia="仿宋" w:cs="仿宋"/>
          <w:color w:val="auto"/>
          <w:sz w:val="24"/>
          <w:highlight w:val="none"/>
        </w:rPr>
      </w:pPr>
    </w:p>
    <w:p w14:paraId="389E153A">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312940E3">
      <w:pPr>
        <w:shd w:val="clear"/>
        <w:spacing w:line="500" w:lineRule="exact"/>
        <w:ind w:firstLine="480"/>
        <w:rPr>
          <w:rFonts w:ascii="仿宋" w:hAnsi="仿宋" w:eastAsia="仿宋" w:cs="仿宋"/>
          <w:color w:val="auto"/>
          <w:sz w:val="24"/>
          <w:highlight w:val="none"/>
        </w:rPr>
      </w:pPr>
    </w:p>
    <w:p w14:paraId="62D74D44">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06AD6B4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626D6B2">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0F51A35">
      <w:pPr>
        <w:shd w:val="clear"/>
        <w:spacing w:line="500" w:lineRule="exact"/>
        <w:ind w:firstLine="480"/>
        <w:rPr>
          <w:rFonts w:ascii="仿宋" w:hAnsi="仿宋" w:eastAsia="仿宋" w:cs="仿宋"/>
          <w:color w:val="auto"/>
          <w:sz w:val="24"/>
          <w:highlight w:val="none"/>
        </w:rPr>
      </w:pPr>
    </w:p>
    <w:p w14:paraId="3B1FB61C">
      <w:pPr>
        <w:shd w:val="clear"/>
        <w:spacing w:line="500" w:lineRule="exact"/>
        <w:ind w:firstLine="482"/>
        <w:rPr>
          <w:rFonts w:ascii="仿宋" w:hAnsi="仿宋" w:eastAsia="仿宋" w:cs="仿宋"/>
          <w:b/>
          <w:color w:val="auto"/>
          <w:sz w:val="24"/>
          <w:highlight w:val="none"/>
        </w:rPr>
      </w:pPr>
    </w:p>
    <w:p w14:paraId="3DA11C66">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453DFB4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25534754">
      <w:pPr>
        <w:keepNext/>
        <w:keepLines/>
        <w:pageBreakBefore w:val="0"/>
        <w:widowControl/>
        <w:shd w:val="clear"/>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hint="eastAsia" w:ascii="仿宋" w:hAnsi="仿宋" w:eastAsia="仿宋" w:cs="仿宋"/>
          <w:b/>
          <w:bCs/>
          <w:color w:val="auto"/>
          <w:szCs w:val="24"/>
          <w:highlight w:val="none"/>
          <w:lang w:val="en-US" w:eastAsia="zh-CN"/>
        </w:rPr>
        <w:t>3、</w:t>
      </w:r>
      <w:r>
        <w:rPr>
          <w:rFonts w:ascii="仿宋" w:hAnsi="仿宋" w:eastAsia="仿宋" w:cs="仿宋"/>
          <w:b/>
          <w:bCs/>
          <w:color w:val="auto"/>
          <w:szCs w:val="24"/>
          <w:highlight w:val="none"/>
        </w:rPr>
        <w:t>法定代表人身份证明书</w:t>
      </w:r>
    </w:p>
    <w:p w14:paraId="69429C0E">
      <w:pPr>
        <w:shd w:val="clear"/>
        <w:spacing w:line="500" w:lineRule="exact"/>
        <w:ind w:firstLine="480"/>
        <w:rPr>
          <w:rFonts w:ascii="仿宋" w:hAnsi="仿宋" w:eastAsia="仿宋" w:cs="仿宋"/>
          <w:color w:val="auto"/>
          <w:sz w:val="24"/>
          <w:highlight w:val="none"/>
        </w:rPr>
      </w:pPr>
    </w:p>
    <w:p w14:paraId="13B0A57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244A6128">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2A1CF990">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752BD83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686371B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205E66E7">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55868631">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303B93F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6A890101">
      <w:pPr>
        <w:shd w:val="clear"/>
        <w:spacing w:line="500" w:lineRule="exact"/>
        <w:ind w:firstLine="480"/>
        <w:rPr>
          <w:rFonts w:ascii="仿宋" w:hAnsi="仿宋" w:eastAsia="仿宋" w:cs="仿宋"/>
          <w:color w:val="auto"/>
          <w:sz w:val="24"/>
          <w:highlight w:val="none"/>
        </w:rPr>
      </w:pPr>
    </w:p>
    <w:p w14:paraId="4B4D862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5629AF6">
      <w:pPr>
        <w:shd w:val="clear"/>
        <w:spacing w:line="500" w:lineRule="exact"/>
        <w:ind w:firstLine="480"/>
        <w:rPr>
          <w:rFonts w:ascii="仿宋" w:hAnsi="仿宋" w:eastAsia="仿宋" w:cs="仿宋"/>
          <w:color w:val="auto"/>
          <w:sz w:val="24"/>
          <w:highlight w:val="none"/>
        </w:rPr>
      </w:pPr>
    </w:p>
    <w:p w14:paraId="5F614ECD">
      <w:pPr>
        <w:shd w:val="clea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353CF7D6">
      <w:pPr>
        <w:shd w:val="clear"/>
        <w:spacing w:line="500" w:lineRule="exact"/>
        <w:ind w:firstLine="480"/>
        <w:rPr>
          <w:rFonts w:ascii="仿宋" w:hAnsi="仿宋" w:eastAsia="仿宋" w:cs="仿宋"/>
          <w:color w:val="auto"/>
          <w:sz w:val="24"/>
          <w:highlight w:val="none"/>
        </w:rPr>
      </w:pPr>
    </w:p>
    <w:p w14:paraId="14A17EE1">
      <w:pPr>
        <w:shd w:val="clear"/>
        <w:spacing w:line="500" w:lineRule="exact"/>
        <w:ind w:firstLine="480"/>
        <w:rPr>
          <w:rFonts w:ascii="仿宋" w:hAnsi="仿宋" w:eastAsia="仿宋" w:cs="仿宋"/>
          <w:color w:val="auto"/>
          <w:sz w:val="24"/>
          <w:highlight w:val="none"/>
        </w:rPr>
      </w:pPr>
    </w:p>
    <w:p w14:paraId="7CAB2E4B">
      <w:pPr>
        <w:shd w:val="clear"/>
        <w:spacing w:line="500" w:lineRule="exact"/>
        <w:ind w:firstLine="480"/>
        <w:rPr>
          <w:rFonts w:ascii="仿宋" w:hAnsi="仿宋" w:eastAsia="仿宋" w:cs="仿宋"/>
          <w:color w:val="auto"/>
          <w:sz w:val="24"/>
          <w:highlight w:val="none"/>
        </w:rPr>
      </w:pPr>
    </w:p>
    <w:p w14:paraId="22E9C26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68DF76B9">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1C32AE85">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6B4D4F">
      <w:pPr>
        <w:shd w:val="clear"/>
        <w:spacing w:line="500" w:lineRule="exact"/>
        <w:ind w:firstLine="480"/>
        <w:rPr>
          <w:rFonts w:ascii="仿宋" w:hAnsi="仿宋" w:eastAsia="仿宋" w:cs="仿宋"/>
          <w:color w:val="auto"/>
          <w:sz w:val="24"/>
          <w:highlight w:val="none"/>
        </w:rPr>
      </w:pPr>
    </w:p>
    <w:p w14:paraId="1F12EB6A">
      <w:pPr>
        <w:shd w:val="clea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767D676F">
      <w:pPr>
        <w:shd w:val="clear"/>
        <w:ind w:firstLine="480"/>
        <w:rPr>
          <w:rFonts w:ascii="仿宋" w:hAnsi="仿宋" w:eastAsia="仿宋" w:cs="仿宋"/>
          <w:color w:val="auto"/>
          <w:sz w:val="24"/>
          <w:highlight w:val="none"/>
        </w:rPr>
      </w:pPr>
    </w:p>
    <w:p w14:paraId="2E500DB6">
      <w:pPr>
        <w:pStyle w:val="7"/>
        <w:shd w:val="clear"/>
        <w:ind w:firstLine="480"/>
        <w:rPr>
          <w:rFonts w:ascii="仿宋" w:hAnsi="仿宋" w:eastAsia="仿宋" w:cs="仿宋"/>
          <w:color w:val="auto"/>
          <w:sz w:val="24"/>
          <w:szCs w:val="24"/>
          <w:highlight w:val="none"/>
        </w:rPr>
      </w:pPr>
    </w:p>
    <w:p w14:paraId="57F18072">
      <w:pPr>
        <w:keepNext/>
        <w:keepLines/>
        <w:pageBreakBefore w:val="0"/>
        <w:widowControl/>
        <w:shd w:val="clear"/>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bookmarkStart w:id="111" w:name="_Toc22554399"/>
      <w:bookmarkStart w:id="112" w:name="_Toc3891646"/>
    </w:p>
    <w:p w14:paraId="53BB749F">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政府采购供应商信用承诺函</w:t>
      </w:r>
    </w:p>
    <w:p w14:paraId="6F7E1854">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2E7CCD7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1A7C8D4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2F804F6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为维护公平、公正、公开的政府采购市场秩序，树立诚实守信的政府采购供应商形象，我单位(本人)自愿作出以下承诺：</w:t>
      </w:r>
    </w:p>
    <w:p w14:paraId="3EEB129B">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55A374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442C20C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03A34DD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1BF542F0">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367C6D6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724C59E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(六)未被列入经营异常名录或者严重违法失信名单、失信被执行人、重大税收违法案件当事人名单、政府采购严重违法失信行为记录名单;</w:t>
      </w:r>
    </w:p>
    <w:p w14:paraId="4A39BA5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724BBBB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7B6D1BEB">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460B064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C51541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5632D470">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5228BAF5">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2D1C5C82">
      <w:pPr>
        <w:shd w:val="clear"/>
        <w:tabs>
          <w:tab w:val="center" w:pos="4153"/>
          <w:tab w:val="right" w:pos="8306"/>
        </w:tabs>
        <w:snapToGrid w:val="0"/>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45E9158C">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0DAE0349">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5、供应商应具备有效的公安机关颁发的《网络安全等级保护测评与检测评估机构服务认证证书》；</w:t>
      </w:r>
    </w:p>
    <w:p w14:paraId="074A5D58">
      <w:pPr>
        <w:jc w:val="center"/>
        <w:rPr>
          <w:rFonts w:hint="eastAsia" w:ascii="仿宋" w:hAnsi="仿宋" w:eastAsia="仿宋" w:cs="仿宋"/>
          <w:b/>
          <w:bCs/>
          <w:color w:val="auto"/>
          <w:sz w:val="24"/>
          <w:highlight w:val="none"/>
          <w:lang w:eastAsia="zh-CN"/>
        </w:rPr>
      </w:pPr>
    </w:p>
    <w:p w14:paraId="6A76A230">
      <w:pPr>
        <w:rPr>
          <w:rFonts w:hint="eastAsia" w:ascii="仿宋" w:hAnsi="仿宋" w:eastAsia="仿宋" w:cs="仿宋"/>
          <w:color w:val="auto"/>
          <w:sz w:val="24"/>
          <w:highlight w:val="none"/>
          <w:lang w:eastAsia="zh-CN"/>
        </w:rPr>
      </w:pPr>
    </w:p>
    <w:p w14:paraId="2E317D29">
      <w:pPr>
        <w:shd w:val="clear"/>
        <w:tabs>
          <w:tab w:val="center" w:pos="4153"/>
          <w:tab w:val="right" w:pos="8306"/>
        </w:tabs>
        <w:snapToGrid w:val="0"/>
        <w:spacing w:line="440" w:lineRule="exact"/>
        <w:rPr>
          <w:rFonts w:hint="eastAsia" w:ascii="仿宋" w:hAnsi="仿宋" w:eastAsia="仿宋" w:cs="仿宋"/>
          <w:color w:val="auto"/>
          <w:sz w:val="24"/>
          <w:highlight w:val="none"/>
          <w:lang w:eastAsia="zh-CN"/>
        </w:rPr>
      </w:pPr>
    </w:p>
    <w:p w14:paraId="778002A2">
      <w:pPr>
        <w:shd w:val="clear"/>
        <w:rPr>
          <w:color w:val="auto"/>
          <w:highlight w:val="none"/>
        </w:rPr>
      </w:pPr>
    </w:p>
    <w:p w14:paraId="78F180EC">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14:paraId="6CCC2B0D">
      <w:pPr>
        <w:shd w:val="clea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供应商无关联关系书面声明函（格式）</w:t>
      </w:r>
    </w:p>
    <w:p w14:paraId="07969F06">
      <w:pPr>
        <w:shd w:val="clea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4C1462F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新疆君凯杰工程项目管理有限公司：</w:t>
      </w:r>
    </w:p>
    <w:p w14:paraId="1082D009">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存在利害关系，与本单位负责人为同一人或者与本单位存在控股关系、管理关系的其他关联供应商未参与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7E4511AA">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7F7A90B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004C15C1">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483E9212">
      <w:pPr>
        <w:shd w:val="clea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787DE349">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07E0758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54D39332">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0474234C">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1223451F">
      <w:pPr>
        <w:shd w:val="clear"/>
        <w:tabs>
          <w:tab w:val="center" w:pos="4153"/>
          <w:tab w:val="right" w:pos="8306"/>
        </w:tabs>
        <w:snapToGrid w:val="0"/>
        <w:spacing w:line="440" w:lineRule="exact"/>
        <w:rPr>
          <w:rFonts w:ascii="仿宋" w:hAnsi="仿宋" w:eastAsia="仿宋" w:cs="仿宋"/>
          <w:color w:val="auto"/>
          <w:sz w:val="24"/>
          <w:highlight w:val="none"/>
          <w:lang w:eastAsia="zh-CN"/>
        </w:rPr>
      </w:pPr>
    </w:p>
    <w:p w14:paraId="06238D11">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bookmarkStart w:id="113" w:name="_Toc21814_WPSOffice_Level1"/>
      <w:bookmarkStart w:id="114" w:name="_Toc8420_WPSOffice_Level1"/>
      <w:bookmarkStart w:id="115" w:name="_Toc7781_WPSOffice_Level1"/>
    </w:p>
    <w:p w14:paraId="5D607D28">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4212409E">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3AF45294">
      <w:pPr>
        <w:pageBreakBefore w:val="0"/>
        <w:widowControl/>
        <w:shd w:val="clear"/>
        <w:kinsoku/>
        <w:wordWrap/>
        <w:overflowPunct/>
        <w:topLinePunct w:val="0"/>
        <w:autoSpaceDE/>
        <w:autoSpaceDN/>
        <w:bidi w:val="0"/>
        <w:adjustRightInd/>
        <w:spacing w:line="500" w:lineRule="exact"/>
        <w:ind w:left="630"/>
        <w:jc w:val="center"/>
        <w:textAlignment w:val="baseline"/>
        <w:outlineLvl w:val="9"/>
        <w:rPr>
          <w:rFonts w:hint="eastAsia" w:ascii="仿宋" w:hAnsi="仿宋" w:eastAsia="仿宋" w:cs="仿宋"/>
          <w:color w:val="auto"/>
          <w:szCs w:val="24"/>
          <w:highlight w:val="none"/>
          <w:lang w:val="en-US" w:eastAsia="zh-CN"/>
        </w:rPr>
      </w:pPr>
    </w:p>
    <w:p w14:paraId="4268E416">
      <w:pPr>
        <w:pStyle w:val="11"/>
        <w:shd w:val="clear"/>
        <w:rPr>
          <w:rFonts w:hint="eastAsia" w:ascii="仿宋" w:hAnsi="仿宋" w:eastAsia="仿宋" w:cs="仿宋"/>
          <w:color w:val="auto"/>
          <w:szCs w:val="24"/>
          <w:highlight w:val="none"/>
          <w:lang w:val="en-US" w:eastAsia="zh-CN"/>
        </w:rPr>
      </w:pPr>
    </w:p>
    <w:p w14:paraId="0C41D60D">
      <w:pPr>
        <w:shd w:val="clear"/>
        <w:rPr>
          <w:rFonts w:hint="eastAsia" w:ascii="仿宋" w:hAnsi="仿宋" w:eastAsia="仿宋" w:cs="仿宋"/>
          <w:color w:val="auto"/>
          <w:szCs w:val="24"/>
          <w:highlight w:val="none"/>
          <w:lang w:val="en-US" w:eastAsia="zh-CN"/>
        </w:rPr>
      </w:pPr>
    </w:p>
    <w:p w14:paraId="59EF6A9C">
      <w:pPr>
        <w:pStyle w:val="11"/>
        <w:shd w:val="clear"/>
        <w:rPr>
          <w:rFonts w:hint="eastAsia" w:ascii="仿宋" w:hAnsi="仿宋" w:eastAsia="仿宋" w:cs="仿宋"/>
          <w:color w:val="auto"/>
          <w:szCs w:val="24"/>
          <w:highlight w:val="none"/>
          <w:lang w:val="en-US" w:eastAsia="zh-CN"/>
        </w:rPr>
      </w:pPr>
    </w:p>
    <w:p w14:paraId="003B8E06">
      <w:pPr>
        <w:shd w:val="clear"/>
        <w:rPr>
          <w:rFonts w:hint="eastAsia" w:ascii="仿宋" w:hAnsi="仿宋" w:eastAsia="仿宋" w:cs="仿宋"/>
          <w:color w:val="auto"/>
          <w:szCs w:val="24"/>
          <w:highlight w:val="none"/>
          <w:lang w:val="en-US" w:eastAsia="zh-CN"/>
        </w:rPr>
      </w:pPr>
    </w:p>
    <w:p w14:paraId="040646D9">
      <w:pPr>
        <w:pStyle w:val="11"/>
        <w:shd w:val="clear"/>
        <w:rPr>
          <w:rFonts w:hint="eastAsia" w:ascii="仿宋" w:hAnsi="仿宋" w:eastAsia="仿宋" w:cs="仿宋"/>
          <w:color w:val="auto"/>
          <w:szCs w:val="24"/>
          <w:highlight w:val="none"/>
          <w:lang w:val="en-US" w:eastAsia="zh-CN"/>
        </w:rPr>
      </w:pPr>
    </w:p>
    <w:p w14:paraId="6EEFF65E">
      <w:pPr>
        <w:shd w:val="clear"/>
        <w:rPr>
          <w:rFonts w:hint="eastAsia" w:ascii="仿宋" w:hAnsi="仿宋" w:eastAsia="仿宋" w:cs="仿宋"/>
          <w:color w:val="auto"/>
          <w:szCs w:val="24"/>
          <w:highlight w:val="none"/>
          <w:lang w:val="en-US" w:eastAsia="zh-CN"/>
        </w:rPr>
      </w:pPr>
    </w:p>
    <w:p w14:paraId="0084DAF9">
      <w:pPr>
        <w:pStyle w:val="11"/>
        <w:shd w:val="clear"/>
        <w:rPr>
          <w:rFonts w:hint="eastAsia" w:ascii="仿宋" w:hAnsi="仿宋" w:eastAsia="仿宋" w:cs="仿宋"/>
          <w:color w:val="auto"/>
          <w:szCs w:val="24"/>
          <w:highlight w:val="none"/>
          <w:lang w:val="en-US" w:eastAsia="zh-CN"/>
        </w:rPr>
      </w:pPr>
    </w:p>
    <w:p w14:paraId="7570F586">
      <w:pPr>
        <w:shd w:val="clear"/>
        <w:rPr>
          <w:rFonts w:hint="eastAsia" w:ascii="仿宋" w:hAnsi="仿宋" w:eastAsia="仿宋" w:cs="仿宋"/>
          <w:color w:val="auto"/>
          <w:szCs w:val="24"/>
          <w:highlight w:val="none"/>
          <w:lang w:val="en-US" w:eastAsia="zh-CN"/>
        </w:rPr>
      </w:pPr>
    </w:p>
    <w:p w14:paraId="4922685F">
      <w:pPr>
        <w:pStyle w:val="11"/>
        <w:shd w:val="clear"/>
        <w:rPr>
          <w:rFonts w:hint="eastAsia" w:ascii="仿宋" w:hAnsi="仿宋" w:eastAsia="仿宋" w:cs="仿宋"/>
          <w:color w:val="auto"/>
          <w:szCs w:val="24"/>
          <w:highlight w:val="none"/>
          <w:lang w:val="en-US" w:eastAsia="zh-CN"/>
        </w:rPr>
      </w:pPr>
    </w:p>
    <w:p w14:paraId="12CC6081">
      <w:pPr>
        <w:rPr>
          <w:rFonts w:hint="eastAsia" w:ascii="仿宋" w:hAnsi="仿宋" w:eastAsia="仿宋" w:cs="仿宋"/>
          <w:color w:val="auto"/>
          <w:szCs w:val="24"/>
          <w:highlight w:val="none"/>
          <w:lang w:val="en-US" w:eastAsia="zh-CN"/>
        </w:rPr>
      </w:pPr>
    </w:p>
    <w:p w14:paraId="060A4E76">
      <w:pPr>
        <w:rPr>
          <w:rFonts w:hint="eastAsia" w:ascii="仿宋" w:hAnsi="仿宋" w:eastAsia="仿宋" w:cs="仿宋"/>
          <w:color w:val="auto"/>
          <w:szCs w:val="24"/>
          <w:highlight w:val="none"/>
          <w:lang w:val="en-US" w:eastAsia="zh-CN"/>
        </w:rPr>
      </w:pPr>
    </w:p>
    <w:p w14:paraId="173CDED1">
      <w:pPr>
        <w:rPr>
          <w:rFonts w:hint="eastAsia" w:ascii="仿宋" w:hAnsi="仿宋" w:eastAsia="仿宋" w:cs="仿宋"/>
          <w:color w:val="auto"/>
          <w:szCs w:val="24"/>
          <w:highlight w:val="none"/>
          <w:lang w:val="en-US" w:eastAsia="zh-CN"/>
        </w:rPr>
      </w:pPr>
    </w:p>
    <w:p w14:paraId="69F0B004">
      <w:pPr>
        <w:rPr>
          <w:rFonts w:hint="eastAsia" w:ascii="仿宋" w:hAnsi="仿宋" w:eastAsia="仿宋" w:cs="仿宋"/>
          <w:color w:val="auto"/>
          <w:szCs w:val="24"/>
          <w:highlight w:val="none"/>
          <w:lang w:val="en-US" w:eastAsia="zh-CN"/>
        </w:rPr>
      </w:pPr>
    </w:p>
    <w:p w14:paraId="2E463715">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szCs w:val="24"/>
          <w:highlight w:val="none"/>
          <w:lang w:eastAsia="zh-CN" w:bidi="ar"/>
        </w:rPr>
        <w:t>《中小企业声明函》（服务）</w:t>
      </w:r>
    </w:p>
    <w:p w14:paraId="7E4ACA90">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08697202">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0BA4B473">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1620659">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72221ED1">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34C97D8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723273BF">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239558FB">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45DE6540">
      <w:pPr>
        <w:spacing w:line="579" w:lineRule="exact"/>
        <w:rPr>
          <w:rStyle w:val="35"/>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r>
        <w:rPr>
          <w:rStyle w:val="35"/>
          <w:rFonts w:hint="eastAsia" w:ascii="仿宋" w:hAnsi="仿宋" w:eastAsia="仿宋" w:cs="仿宋"/>
          <w:b/>
          <w:bCs/>
          <w:color w:val="auto"/>
          <w:sz w:val="24"/>
          <w:szCs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111"/>
    <w:bookmarkEnd w:id="112"/>
    <w:bookmarkEnd w:id="113"/>
    <w:bookmarkEnd w:id="114"/>
    <w:bookmarkEnd w:id="115"/>
    <w:p w14:paraId="4D9A14F3">
      <w:pPr>
        <w:pStyle w:val="3"/>
        <w:shd w:val="clear"/>
        <w:spacing w:before="0" w:after="0" w:line="579" w:lineRule="exact"/>
        <w:ind w:firstLine="0" w:firstLineChars="0"/>
        <w:rPr>
          <w:rFonts w:hint="default" w:ascii="仿宋" w:hAnsi="仿宋" w:eastAsia="仿宋" w:cs="仿宋"/>
          <w:color w:val="auto"/>
          <w:highlight w:val="none"/>
          <w:lang w:eastAsia="zh-CN"/>
        </w:rPr>
      </w:pPr>
      <w:bookmarkStart w:id="116" w:name="_Toc3554"/>
      <w:bookmarkStart w:id="117" w:name="_Toc25663"/>
      <w:bookmarkStart w:id="118" w:name="_Toc24536"/>
      <w:bookmarkStart w:id="119" w:name="_Toc24213"/>
      <w:bookmarkStart w:id="120" w:name="_Toc8013"/>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报价文件</w:t>
      </w:r>
      <w:bookmarkEnd w:id="116"/>
      <w:bookmarkEnd w:id="117"/>
      <w:bookmarkEnd w:id="118"/>
      <w:bookmarkEnd w:id="119"/>
      <w:bookmarkEnd w:id="120"/>
    </w:p>
    <w:p w14:paraId="09A70A7D">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27"/>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5889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855EC1B">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7298" w:type="dxa"/>
            <w:gridSpan w:val="3"/>
            <w:vAlign w:val="center"/>
          </w:tcPr>
          <w:p w14:paraId="7D9B9A58">
            <w:pPr>
              <w:shd w:val="clear"/>
              <w:snapToGrid w:val="0"/>
              <w:spacing w:line="360" w:lineRule="auto"/>
              <w:rPr>
                <w:rFonts w:ascii="仿宋" w:hAnsi="仿宋" w:eastAsia="仿宋" w:cs="仿宋"/>
                <w:color w:val="auto"/>
                <w:sz w:val="24"/>
                <w:highlight w:val="none"/>
              </w:rPr>
            </w:pPr>
          </w:p>
        </w:tc>
      </w:tr>
      <w:tr w14:paraId="7BC9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3B4F1512">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75A8C5A2">
            <w:pPr>
              <w:shd w:val="clear"/>
              <w:snapToGrid w:val="0"/>
              <w:spacing w:line="360" w:lineRule="auto"/>
              <w:rPr>
                <w:rFonts w:ascii="仿宋" w:hAnsi="仿宋" w:eastAsia="仿宋" w:cs="仿宋"/>
                <w:color w:val="auto"/>
                <w:sz w:val="24"/>
                <w:highlight w:val="none"/>
              </w:rPr>
            </w:pPr>
          </w:p>
        </w:tc>
      </w:tr>
      <w:tr w14:paraId="29C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AE5C78E">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298" w:type="dxa"/>
            <w:gridSpan w:val="3"/>
            <w:vAlign w:val="center"/>
          </w:tcPr>
          <w:p w14:paraId="08358755">
            <w:pPr>
              <w:shd w:val="clear"/>
              <w:snapToGrid w:val="0"/>
              <w:spacing w:line="360" w:lineRule="auto"/>
              <w:rPr>
                <w:rFonts w:ascii="仿宋" w:hAnsi="仿宋" w:eastAsia="仿宋" w:cs="仿宋"/>
                <w:color w:val="auto"/>
                <w:sz w:val="24"/>
                <w:highlight w:val="none"/>
              </w:rPr>
            </w:pPr>
          </w:p>
        </w:tc>
      </w:tr>
      <w:tr w14:paraId="3362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7A786809">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52235169">
            <w:pPr>
              <w:shd w:val="clear"/>
              <w:snapToGrid w:val="0"/>
              <w:spacing w:line="360" w:lineRule="auto"/>
              <w:rPr>
                <w:rFonts w:ascii="仿宋" w:hAnsi="仿宋" w:eastAsia="仿宋" w:cs="仿宋"/>
                <w:color w:val="auto"/>
                <w:sz w:val="24"/>
                <w:highlight w:val="none"/>
              </w:rPr>
            </w:pPr>
          </w:p>
        </w:tc>
        <w:tc>
          <w:tcPr>
            <w:tcW w:w="1365" w:type="dxa"/>
            <w:vAlign w:val="center"/>
          </w:tcPr>
          <w:p w14:paraId="48E203FF">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2F28DF83">
            <w:pPr>
              <w:shd w:val="clear"/>
              <w:snapToGrid w:val="0"/>
              <w:spacing w:line="360" w:lineRule="auto"/>
              <w:rPr>
                <w:rFonts w:ascii="仿宋" w:hAnsi="仿宋" w:eastAsia="仿宋" w:cs="仿宋"/>
                <w:color w:val="auto"/>
                <w:sz w:val="24"/>
                <w:highlight w:val="none"/>
              </w:rPr>
            </w:pPr>
          </w:p>
        </w:tc>
      </w:tr>
      <w:tr w14:paraId="1AF9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5B360DBF">
            <w:pPr>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395F734A">
            <w:pPr>
              <w:shd w:val="clea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35722F95">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58F23547">
            <w:pPr>
              <w:shd w:val="clear"/>
              <w:snapToGrid w:val="0"/>
              <w:spacing w:line="360" w:lineRule="auto"/>
              <w:rPr>
                <w:rFonts w:ascii="仿宋" w:hAnsi="仿宋" w:eastAsia="仿宋" w:cs="仿宋"/>
                <w:color w:val="auto"/>
                <w:sz w:val="24"/>
                <w:highlight w:val="none"/>
              </w:rPr>
            </w:pPr>
          </w:p>
        </w:tc>
      </w:tr>
      <w:tr w14:paraId="0B7B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7E71D24E">
            <w:pPr>
              <w:shd w:val="clea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p w14:paraId="4F51F84A">
            <w:pPr>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（含税）</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2CDD0BA6">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￥：（元）</w:t>
            </w:r>
          </w:p>
          <w:p w14:paraId="2F3DD0D8">
            <w:pPr>
              <w:shd w:val="clear"/>
              <w:snapToGrid w:val="0"/>
              <w:spacing w:line="360" w:lineRule="auto"/>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人民币（大写）：</w:t>
            </w:r>
          </w:p>
        </w:tc>
      </w:tr>
      <w:tr w14:paraId="0B01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48C1608E">
            <w:pPr>
              <w:shd w:val="clea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75879900">
            <w:pPr>
              <w:shd w:val="clear"/>
              <w:snapToGrid w:val="0"/>
              <w:spacing w:line="360" w:lineRule="auto"/>
              <w:ind w:right="110" w:rightChars="50"/>
              <w:rPr>
                <w:rFonts w:ascii="仿宋" w:hAnsi="仿宋" w:eastAsia="仿宋" w:cs="仿宋"/>
                <w:color w:val="auto"/>
                <w:sz w:val="24"/>
                <w:highlight w:val="none"/>
              </w:rPr>
            </w:pPr>
          </w:p>
        </w:tc>
      </w:tr>
    </w:tbl>
    <w:p w14:paraId="46D5C49F">
      <w:pPr>
        <w:shd w:val="clear"/>
        <w:snapToGrid w:val="0"/>
        <w:spacing w:line="480" w:lineRule="auto"/>
        <w:ind w:right="110" w:rightChars="50"/>
        <w:rPr>
          <w:rFonts w:hint="eastAsia" w:ascii="仿宋" w:hAnsi="仿宋" w:eastAsia="仿宋" w:cs="仿宋"/>
          <w:color w:val="auto"/>
          <w:sz w:val="24"/>
          <w:szCs w:val="24"/>
          <w:highlight w:val="none"/>
          <w:lang w:eastAsia="zh-CN"/>
        </w:rPr>
      </w:pPr>
    </w:p>
    <w:p w14:paraId="724464D2">
      <w:pPr>
        <w:shd w:val="clea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59FFA78E">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767C89D2">
      <w:pPr>
        <w:shd w:val="clear"/>
        <w:snapToGrid w:val="0"/>
        <w:spacing w:line="360" w:lineRule="auto"/>
        <w:rPr>
          <w:rFonts w:ascii="仿宋" w:hAnsi="仿宋" w:eastAsia="仿宋" w:cs="仿宋"/>
          <w:b/>
          <w:color w:val="auto"/>
          <w:sz w:val="28"/>
          <w:szCs w:val="28"/>
          <w:highlight w:val="none"/>
          <w:lang w:eastAsia="zh-CN"/>
        </w:rPr>
      </w:pPr>
    </w:p>
    <w:p w14:paraId="290306E2">
      <w:pPr>
        <w:pStyle w:val="11"/>
        <w:shd w:val="clear"/>
        <w:rPr>
          <w:rFonts w:ascii="仿宋" w:hAnsi="仿宋" w:eastAsia="仿宋" w:cs="仿宋"/>
          <w:b/>
          <w:color w:val="auto"/>
          <w:sz w:val="28"/>
          <w:szCs w:val="28"/>
          <w:highlight w:val="none"/>
          <w:lang w:eastAsia="zh-CN"/>
        </w:rPr>
      </w:pPr>
    </w:p>
    <w:p w14:paraId="6E5899DC">
      <w:pPr>
        <w:shd w:val="clear"/>
        <w:rPr>
          <w:rFonts w:ascii="仿宋" w:hAnsi="仿宋" w:eastAsia="仿宋" w:cs="仿宋"/>
          <w:b/>
          <w:color w:val="auto"/>
          <w:sz w:val="28"/>
          <w:szCs w:val="28"/>
          <w:highlight w:val="none"/>
          <w:lang w:eastAsia="zh-CN"/>
        </w:rPr>
      </w:pPr>
    </w:p>
    <w:p w14:paraId="441FDC80">
      <w:pPr>
        <w:pStyle w:val="11"/>
        <w:shd w:val="clear"/>
        <w:rPr>
          <w:color w:val="auto"/>
          <w:highlight w:val="none"/>
          <w:lang w:eastAsia="zh-CN"/>
        </w:rPr>
      </w:pPr>
    </w:p>
    <w:p w14:paraId="02189B69">
      <w:pPr>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1CEF0A7B">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84AE640">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E7A9E0B">
      <w:pPr>
        <w:pageBreakBefore w:val="0"/>
        <w:widowControl/>
        <w:shd w:val="clear"/>
        <w:kinsoku/>
        <w:wordWrap/>
        <w:overflowPunct/>
        <w:topLinePunct w:val="0"/>
        <w:autoSpaceDE/>
        <w:autoSpaceDN/>
        <w:bidi w:val="0"/>
        <w:adjustRightInd/>
        <w:snapToGrid/>
        <w:textAlignment w:val="baseline"/>
        <w:outlineLvl w:val="9"/>
        <w:rPr>
          <w:rFonts w:ascii="仿宋" w:hAnsi="仿宋" w:eastAsia="仿宋" w:cs="仿宋"/>
          <w:b/>
          <w:color w:val="auto"/>
          <w:sz w:val="28"/>
          <w:szCs w:val="28"/>
          <w:highlight w:val="none"/>
          <w:lang w:eastAsia="zh-CN"/>
        </w:rPr>
      </w:pPr>
    </w:p>
    <w:p w14:paraId="657E4ECF">
      <w:pPr>
        <w:shd w:val="clea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243488B7">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供应商名称：</w:t>
      </w:r>
    </w:p>
    <w:p w14:paraId="242D1B92">
      <w:pPr>
        <w:shd w:val="clea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28"/>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510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10630C52">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71" w:type="dxa"/>
            <w:vAlign w:val="bottom"/>
          </w:tcPr>
          <w:p w14:paraId="01C418D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513" w:type="dxa"/>
            <w:vAlign w:val="bottom"/>
          </w:tcPr>
          <w:p w14:paraId="0FA32874">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13" w:type="dxa"/>
            <w:vAlign w:val="bottom"/>
          </w:tcPr>
          <w:p w14:paraId="67A99668">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综合单价</w:t>
            </w:r>
          </w:p>
        </w:tc>
        <w:tc>
          <w:tcPr>
            <w:tcW w:w="1514" w:type="dxa"/>
            <w:vAlign w:val="bottom"/>
          </w:tcPr>
          <w:p w14:paraId="7EB2594A">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514" w:type="dxa"/>
            <w:vAlign w:val="bottom"/>
          </w:tcPr>
          <w:p w14:paraId="177E920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78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47F89FB3">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71" w:type="dxa"/>
            <w:vAlign w:val="bottom"/>
          </w:tcPr>
          <w:p w14:paraId="1B8BDE5B">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C75927C">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3F3F2F4">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72DFD358">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D18A0C0">
            <w:pPr>
              <w:widowControl w:val="0"/>
              <w:shd w:val="clear"/>
              <w:snapToGrid w:val="0"/>
              <w:spacing w:line="360" w:lineRule="auto"/>
              <w:jc w:val="center"/>
              <w:rPr>
                <w:rFonts w:ascii="仿宋" w:hAnsi="仿宋" w:eastAsia="仿宋" w:cs="仿宋"/>
                <w:color w:val="auto"/>
                <w:sz w:val="24"/>
                <w:highlight w:val="none"/>
              </w:rPr>
            </w:pPr>
          </w:p>
        </w:tc>
      </w:tr>
      <w:tr w14:paraId="00C5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4A8515C">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71" w:type="dxa"/>
            <w:vAlign w:val="bottom"/>
          </w:tcPr>
          <w:p w14:paraId="14AA9A28">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C84F64F">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143A1EE9">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53DAD1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5D447E4F">
            <w:pPr>
              <w:widowControl w:val="0"/>
              <w:shd w:val="clear"/>
              <w:snapToGrid w:val="0"/>
              <w:spacing w:line="360" w:lineRule="auto"/>
              <w:jc w:val="center"/>
              <w:rPr>
                <w:rFonts w:ascii="仿宋" w:hAnsi="仿宋" w:eastAsia="仿宋" w:cs="仿宋"/>
                <w:color w:val="auto"/>
                <w:sz w:val="24"/>
                <w:highlight w:val="none"/>
              </w:rPr>
            </w:pPr>
          </w:p>
        </w:tc>
      </w:tr>
      <w:tr w14:paraId="220C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7FD23596">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71" w:type="dxa"/>
            <w:vAlign w:val="bottom"/>
          </w:tcPr>
          <w:p w14:paraId="2DF2F068">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1F86CD5E">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23072390">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07535C2C">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C2FE1D7">
            <w:pPr>
              <w:widowControl w:val="0"/>
              <w:shd w:val="clear"/>
              <w:snapToGrid w:val="0"/>
              <w:spacing w:line="360" w:lineRule="auto"/>
              <w:jc w:val="center"/>
              <w:rPr>
                <w:rFonts w:ascii="仿宋" w:hAnsi="仿宋" w:eastAsia="仿宋" w:cs="仿宋"/>
                <w:color w:val="auto"/>
                <w:sz w:val="24"/>
                <w:highlight w:val="none"/>
              </w:rPr>
            </w:pPr>
          </w:p>
        </w:tc>
      </w:tr>
      <w:tr w14:paraId="030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49FC030">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71" w:type="dxa"/>
            <w:vAlign w:val="bottom"/>
          </w:tcPr>
          <w:p w14:paraId="1C321BB2">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692D5EFD">
            <w:pPr>
              <w:widowControl w:val="0"/>
              <w:shd w:val="clear"/>
              <w:snapToGrid w:val="0"/>
              <w:spacing w:line="360" w:lineRule="auto"/>
              <w:jc w:val="center"/>
              <w:rPr>
                <w:rFonts w:ascii="仿宋" w:hAnsi="仿宋" w:eastAsia="仿宋" w:cs="仿宋"/>
                <w:color w:val="auto"/>
                <w:sz w:val="24"/>
                <w:highlight w:val="none"/>
              </w:rPr>
            </w:pPr>
          </w:p>
        </w:tc>
        <w:tc>
          <w:tcPr>
            <w:tcW w:w="1513" w:type="dxa"/>
            <w:vAlign w:val="bottom"/>
          </w:tcPr>
          <w:p w14:paraId="3B8606ED">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14CEDFDA">
            <w:pPr>
              <w:widowControl w:val="0"/>
              <w:shd w:val="clear"/>
              <w:snapToGrid w:val="0"/>
              <w:spacing w:line="360" w:lineRule="auto"/>
              <w:jc w:val="center"/>
              <w:rPr>
                <w:rFonts w:ascii="仿宋" w:hAnsi="仿宋" w:eastAsia="仿宋" w:cs="仿宋"/>
                <w:color w:val="auto"/>
                <w:sz w:val="24"/>
                <w:highlight w:val="none"/>
              </w:rPr>
            </w:pPr>
          </w:p>
        </w:tc>
        <w:tc>
          <w:tcPr>
            <w:tcW w:w="1514" w:type="dxa"/>
            <w:vAlign w:val="bottom"/>
          </w:tcPr>
          <w:p w14:paraId="6B3C7F9A">
            <w:pPr>
              <w:widowControl w:val="0"/>
              <w:shd w:val="clear"/>
              <w:snapToGrid w:val="0"/>
              <w:spacing w:line="360" w:lineRule="auto"/>
              <w:jc w:val="center"/>
              <w:rPr>
                <w:rFonts w:ascii="仿宋" w:hAnsi="仿宋" w:eastAsia="仿宋" w:cs="仿宋"/>
                <w:color w:val="auto"/>
                <w:sz w:val="24"/>
                <w:highlight w:val="none"/>
              </w:rPr>
            </w:pPr>
          </w:p>
        </w:tc>
      </w:tr>
      <w:tr w14:paraId="454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11" w:type="dxa"/>
            <w:gridSpan w:val="2"/>
            <w:vAlign w:val="center"/>
          </w:tcPr>
          <w:p w14:paraId="5CF3421D">
            <w:pPr>
              <w:widowControl w:val="0"/>
              <w:shd w:val="clea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投标总报价</w:t>
            </w:r>
            <w:r>
              <w:rPr>
                <w:rFonts w:hint="eastAsia" w:ascii="仿宋" w:hAnsi="仿宋" w:eastAsia="仿宋" w:cs="仿宋"/>
                <w:color w:val="auto"/>
                <w:sz w:val="24"/>
                <w:highlight w:val="none"/>
                <w:lang w:eastAsia="zh-CN"/>
              </w:rPr>
              <w:t>（含税）</w:t>
            </w:r>
          </w:p>
        </w:tc>
        <w:tc>
          <w:tcPr>
            <w:tcW w:w="6054" w:type="dxa"/>
            <w:gridSpan w:val="4"/>
            <w:vAlign w:val="center"/>
          </w:tcPr>
          <w:p w14:paraId="5D4B87CC">
            <w:pPr>
              <w:widowControl w:val="0"/>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元</w:t>
            </w:r>
          </w:p>
          <w:p w14:paraId="1D1C711A">
            <w:pPr>
              <w:widowControl w:val="0"/>
              <w:shd w:val="clea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大写：</w:t>
            </w:r>
          </w:p>
        </w:tc>
      </w:tr>
    </w:tbl>
    <w:p w14:paraId="16266E51">
      <w:pPr>
        <w:keepNext w:val="0"/>
        <w:keepLines w:val="0"/>
        <w:pageBreakBefore w:val="0"/>
        <w:widowControl/>
        <w:shd w:val="clear"/>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7516C57F">
      <w:pPr>
        <w:keepNext/>
        <w:keepLines/>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381FAE61">
      <w:pPr>
        <w:shd w:val="clear"/>
        <w:snapToGrid w:val="0"/>
        <w:spacing w:line="720" w:lineRule="auto"/>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供应商（盖章）：</w:t>
      </w:r>
    </w:p>
    <w:p w14:paraId="1DCF395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3C794CA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02793C20">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6CADFF2B">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4B558DF">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33D7AD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300BA9AC">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D5E7592">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55D9A78A">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FE4846E">
      <w:pPr>
        <w:pStyle w:val="11"/>
        <w:shd w:val="clear"/>
        <w:rPr>
          <w:rFonts w:hint="eastAsia" w:ascii="仿宋" w:hAnsi="仿宋" w:eastAsia="仿宋" w:cs="仿宋"/>
          <w:color w:val="auto"/>
          <w:sz w:val="24"/>
          <w:szCs w:val="24"/>
          <w:highlight w:val="none"/>
          <w:lang w:eastAsia="zh-CN"/>
        </w:rPr>
      </w:pPr>
    </w:p>
    <w:p w14:paraId="3633608E">
      <w:pPr>
        <w:shd w:val="clear"/>
        <w:rPr>
          <w:rFonts w:hint="eastAsia"/>
          <w:color w:val="auto"/>
          <w:highlight w:val="none"/>
          <w:lang w:eastAsia="zh-CN"/>
        </w:rPr>
      </w:pPr>
    </w:p>
    <w:p w14:paraId="2E3384A9">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7C32BBC3">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2749735F">
      <w:pPr>
        <w:rPr>
          <w:rFonts w:hint="eastAsia" w:ascii="仿宋" w:hAnsi="仿宋" w:eastAsia="仿宋" w:cs="仿宋"/>
          <w:color w:val="auto"/>
          <w:highlight w:val="none"/>
          <w:lang w:eastAsia="zh-CN"/>
        </w:rPr>
      </w:pPr>
      <w:bookmarkStart w:id="121" w:name="_Toc27460"/>
      <w:bookmarkStart w:id="122" w:name="_Toc8252"/>
      <w:bookmarkStart w:id="123" w:name="_Toc15438"/>
      <w:bookmarkStart w:id="124" w:name="_Toc7203"/>
      <w:bookmarkStart w:id="125" w:name="_Toc17338"/>
      <w:r>
        <w:rPr>
          <w:rFonts w:hint="eastAsia" w:ascii="仿宋" w:hAnsi="仿宋" w:eastAsia="仿宋" w:cs="仿宋"/>
          <w:color w:val="auto"/>
          <w:highlight w:val="none"/>
          <w:lang w:eastAsia="zh-CN"/>
        </w:rPr>
        <w:br w:type="page"/>
      </w:r>
    </w:p>
    <w:p w14:paraId="7B40C058">
      <w:pPr>
        <w:pStyle w:val="3"/>
        <w:shd w:val="clear"/>
        <w:spacing w:before="0" w:after="0" w:line="579" w:lineRule="exact"/>
        <w:ind w:firstLine="0" w:firstLineChars="0"/>
        <w:rPr>
          <w:rFonts w:hint="default"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21"/>
      <w:bookmarkEnd w:id="122"/>
      <w:bookmarkEnd w:id="123"/>
      <w:bookmarkEnd w:id="124"/>
      <w:bookmarkEnd w:id="125"/>
    </w:p>
    <w:p w14:paraId="4E81FF6B">
      <w:pPr>
        <w:shd w:val="clea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磋商响应文件按下列顺序排列和装订磋商响应文件：（未提供格式的内容自拟）</w:t>
      </w:r>
    </w:p>
    <w:p w14:paraId="74FC2D5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（一）投标函</w:t>
      </w:r>
    </w:p>
    <w:p w14:paraId="1D931AC9">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（二）法定代表人诚信投标承诺书</w:t>
      </w:r>
    </w:p>
    <w:p w14:paraId="3DA95BB9">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三</w:t>
      </w:r>
      <w:r>
        <w:rPr>
          <w:rFonts w:hint="eastAsia" w:ascii="仿宋" w:hAnsi="仿宋" w:eastAsia="仿宋" w:cs="仿宋"/>
          <w:b w:val="0"/>
          <w:bCs/>
          <w:color w:val="auto"/>
          <w:sz w:val="24"/>
          <w:szCs w:val="20"/>
          <w:highlight w:val="none"/>
          <w:lang w:eastAsia="zh-CN" w:bidi="ar"/>
        </w:rPr>
        <w:t>）磋商保证金</w:t>
      </w:r>
    </w:p>
    <w:p w14:paraId="73DDFCE6">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四</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企业</w:t>
      </w:r>
      <w:r>
        <w:rPr>
          <w:rFonts w:hint="eastAsia" w:ascii="仿宋" w:hAnsi="仿宋" w:eastAsia="仿宋" w:cs="仿宋"/>
          <w:b w:val="0"/>
          <w:bCs/>
          <w:color w:val="auto"/>
          <w:sz w:val="24"/>
          <w:szCs w:val="20"/>
          <w:highlight w:val="none"/>
          <w:lang w:eastAsia="zh-CN" w:bidi="ar"/>
        </w:rPr>
        <w:t>业绩一览表</w:t>
      </w:r>
    </w:p>
    <w:p w14:paraId="0AC64381">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6C89F163">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795FB991">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08313FC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八</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2624AC94">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供应商企业类型声明函</w:t>
      </w:r>
    </w:p>
    <w:p w14:paraId="1DEAB50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供应商认为有必要提交的其他材料</w:t>
      </w:r>
    </w:p>
    <w:p w14:paraId="44768F5F">
      <w:pPr>
        <w:shd w:val="clear"/>
        <w:spacing w:line="500" w:lineRule="exact"/>
        <w:ind w:firstLine="480"/>
        <w:rPr>
          <w:rFonts w:ascii="仿宋" w:hAnsi="仿宋" w:eastAsia="仿宋" w:cs="仿宋"/>
          <w:color w:val="auto"/>
          <w:sz w:val="24"/>
          <w:highlight w:val="none"/>
          <w:lang w:eastAsia="zh-CN"/>
        </w:rPr>
      </w:pPr>
    </w:p>
    <w:p w14:paraId="76119851">
      <w:pPr>
        <w:pStyle w:val="13"/>
        <w:shd w:val="clear"/>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r>
        <w:rPr>
          <w:rFonts w:hint="eastAsia" w:ascii="仿宋" w:hAnsi="仿宋" w:eastAsia="仿宋" w:cs="仿宋"/>
          <w:b/>
          <w:bCs/>
          <w:color w:val="auto"/>
          <w:highlight w:val="none"/>
          <w:lang w:eastAsia="zh-CN"/>
        </w:rPr>
        <w:t>供应商提供的以上材料必须真实有效，需要年检的证书必须有年检记录，所有文件均须加盖单位公章，任何一项的虚假或提交的磋商响应文件资料不全，或未对磋商文件做出实质性响应，将可能导致磋商响应文件被拒绝接受。</w:t>
      </w:r>
    </w:p>
    <w:p w14:paraId="08A07844">
      <w:pPr>
        <w:shd w:val="clear"/>
        <w:spacing w:line="579" w:lineRule="exact"/>
        <w:jc w:val="center"/>
        <w:outlineLvl w:val="2"/>
        <w:rPr>
          <w:rFonts w:ascii="仿宋" w:hAnsi="仿宋" w:eastAsia="仿宋" w:cs="仿宋"/>
          <w:b/>
          <w:color w:val="auto"/>
          <w:sz w:val="24"/>
          <w:szCs w:val="20"/>
          <w:highlight w:val="none"/>
          <w:lang w:eastAsia="zh-CN" w:bidi="ar"/>
        </w:rPr>
      </w:pPr>
      <w:bookmarkStart w:id="126" w:name="_Toc3891649"/>
      <w:bookmarkStart w:id="127" w:name="_Toc1719149"/>
      <w:bookmarkStart w:id="128" w:name="_Toc22554402"/>
      <w:bookmarkStart w:id="129" w:name="_Toc30846"/>
      <w:bookmarkStart w:id="130" w:name="_Toc18310"/>
      <w:bookmarkStart w:id="131" w:name="_Toc27883"/>
      <w:bookmarkStart w:id="132" w:name="_Toc21594"/>
      <w:bookmarkStart w:id="133" w:name="_Toc4882"/>
      <w:r>
        <w:rPr>
          <w:rFonts w:hint="eastAsia" w:ascii="仿宋" w:hAnsi="仿宋" w:eastAsia="仿宋" w:cs="仿宋"/>
          <w:b/>
          <w:color w:val="auto"/>
          <w:sz w:val="24"/>
          <w:szCs w:val="20"/>
          <w:highlight w:val="none"/>
          <w:lang w:eastAsia="zh-CN" w:bidi="ar"/>
        </w:rPr>
        <w:t>（一）</w:t>
      </w:r>
      <w:bookmarkEnd w:id="126"/>
      <w:bookmarkEnd w:id="127"/>
      <w:bookmarkEnd w:id="128"/>
      <w:r>
        <w:rPr>
          <w:rFonts w:hint="eastAsia" w:ascii="仿宋" w:hAnsi="仿宋" w:eastAsia="仿宋" w:cs="仿宋"/>
          <w:b/>
          <w:color w:val="auto"/>
          <w:sz w:val="24"/>
          <w:szCs w:val="20"/>
          <w:highlight w:val="none"/>
          <w:lang w:eastAsia="zh-CN" w:bidi="ar"/>
        </w:rPr>
        <w:t>投标函</w:t>
      </w:r>
      <w:bookmarkEnd w:id="129"/>
      <w:bookmarkEnd w:id="130"/>
      <w:bookmarkEnd w:id="131"/>
      <w:bookmarkEnd w:id="132"/>
      <w:bookmarkEnd w:id="133"/>
    </w:p>
    <w:p w14:paraId="6A661A53">
      <w:pPr>
        <w:shd w:val="clea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新疆君凯杰工程项目管理有限公司：</w:t>
      </w:r>
    </w:p>
    <w:p w14:paraId="6398E186">
      <w:pPr>
        <w:shd w:val="clear"/>
        <w:spacing w:line="400" w:lineRule="exact"/>
        <w:ind w:firstLine="496" w:firstLineChars="200"/>
        <w:rPr>
          <w:rFonts w:ascii="仿宋" w:hAnsi="仿宋" w:eastAsia="仿宋" w:cs="仿宋"/>
          <w:bCs/>
          <w:color w:val="auto"/>
          <w:spacing w:val="4"/>
          <w:sz w:val="24"/>
          <w:highlight w:val="none"/>
          <w:u w:val="singl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eastAsia="zh-CN"/>
        </w:rPr>
        <w:t>2025年自治区自然资源规划研究院网络安全等级保护测评服务</w:t>
      </w:r>
    </w:p>
    <w:p w14:paraId="140BA13A">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eastAsia="zh-CN"/>
        </w:rPr>
        <w:t>/</w:t>
      </w:r>
      <w:r>
        <w:rPr>
          <w:rFonts w:hint="eastAsia" w:ascii="仿宋" w:hAnsi="仿宋" w:eastAsia="仿宋" w:cs="仿宋"/>
          <w:color w:val="auto"/>
          <w:spacing w:val="4"/>
          <w:sz w:val="24"/>
          <w:highlight w:val="none"/>
          <w:lang w:eastAsia="zh-CN"/>
        </w:rPr>
        <w:t>包磋商文件，经仔细阅读和研究，我们决定参加投标。</w:t>
      </w:r>
    </w:p>
    <w:p w14:paraId="12B02D17">
      <w:pPr>
        <w:shd w:val="clear"/>
        <w:spacing w:line="400" w:lineRule="exact"/>
        <w:ind w:firstLine="496" w:firstLineChars="200"/>
        <w:rPr>
          <w:rFonts w:ascii="仿宋" w:hAnsi="仿宋" w:eastAsia="仿宋" w:cs="仿宋"/>
          <w:color w:val="auto"/>
          <w:spacing w:val="4"/>
          <w:sz w:val="24"/>
          <w:highlight w:val="none"/>
          <w:lang w:eastAsia="zh-CN"/>
        </w:rPr>
      </w:pPr>
      <w:bookmarkStart w:id="134" w:name="_Toc15871_WPSOffice_Level1"/>
      <w:r>
        <w:rPr>
          <w:rFonts w:hint="eastAsia" w:ascii="仿宋" w:hAnsi="仿宋" w:eastAsia="仿宋" w:cs="仿宋"/>
          <w:color w:val="auto"/>
          <w:spacing w:val="4"/>
          <w:sz w:val="24"/>
          <w:highlight w:val="none"/>
          <w:lang w:eastAsia="zh-CN"/>
        </w:rPr>
        <w:t>l、愿意按照磋商文件的一切要求，提供以上服务。</w:t>
      </w:r>
      <w:bookmarkEnd w:id="134"/>
    </w:p>
    <w:p w14:paraId="4D010386">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2、如果我们的响应文件被接受，我们将严格履行磋商文件中规定的每一项要求，按期、按质、按量履行服务义务。</w:t>
      </w:r>
    </w:p>
    <w:p w14:paraId="02A01A03">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3、供应商已详细阅读并理解了磋商文件的全部，包括修改文件(如有的话)。我们完全理解并同意放弃对这方面有不明及误解的权利。</w:t>
      </w:r>
    </w:p>
    <w:p w14:paraId="778252A2">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4、我们同意按磋商文件中的规定，本响应文件的有效期限为开标后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0085B09E">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5、我们愿意提供采购人在磋商文件中要求的所有资料。</w:t>
      </w:r>
    </w:p>
    <w:p w14:paraId="3D25A9A3">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6、我们认为你们有权决定成交供应商，还认为你们有权接受或拒绝所有的供应商成交。</w:t>
      </w:r>
    </w:p>
    <w:p w14:paraId="39E5D6D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7、我方愿意遵守磋商文件中所列的收费标准。</w:t>
      </w:r>
    </w:p>
    <w:p w14:paraId="6712CDE5">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8、在规定的磋商时间后，如果在磋商有效期内撤回投标，同意磋商保证金将被贵方没收。</w:t>
      </w:r>
    </w:p>
    <w:p w14:paraId="3891A5CF">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9、供应商同意提供按照贵方可能要求的与其投标有关的一切数据或资料，完全理解贵方不一定接受最低价的投标或收到的任何投标的约定。</w:t>
      </w:r>
    </w:p>
    <w:p w14:paraId="2779564C">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10、我方在响应文件中所作的承诺在开标后保持有效，不作任何更改和变动。</w:t>
      </w:r>
    </w:p>
    <w:p w14:paraId="51056254">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11、我们愿意按磋商文件的规定交纳</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的磋商保证金。</w:t>
      </w:r>
    </w:p>
    <w:p w14:paraId="0F1D2D09">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3331C807">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05DA6015">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7EEB3DDA">
      <w:pPr>
        <w:shd w:val="clea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57302FD3">
      <w:pPr>
        <w:shd w:val="clear"/>
        <w:spacing w:line="400" w:lineRule="exact"/>
        <w:ind w:firstLine="440" w:firstLineChars="200"/>
        <w:rPr>
          <w:rFonts w:ascii="仿宋" w:hAnsi="仿宋" w:eastAsia="仿宋" w:cs="仿宋"/>
          <w:color w:val="auto"/>
          <w:highlight w:val="none"/>
          <w:lang w:eastAsia="zh-CN"/>
        </w:rPr>
      </w:pPr>
    </w:p>
    <w:p w14:paraId="4174174F">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44375288">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EFD8A18">
      <w:pPr>
        <w:shd w:val="clea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8FE294A">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szCs w:val="20"/>
          <w:highlight w:val="none"/>
          <w:lang w:eastAsia="zh-CN" w:bidi="ar"/>
        </w:rPr>
      </w:pPr>
      <w:bookmarkStart w:id="135" w:name="_Toc3891652"/>
      <w:bookmarkStart w:id="136" w:name="_Toc1719152"/>
      <w:bookmarkStart w:id="137" w:name="_Toc22554406"/>
    </w:p>
    <w:p w14:paraId="232D11B2">
      <w:pPr>
        <w:pStyle w:val="11"/>
        <w:shd w:val="clear"/>
        <w:rPr>
          <w:rFonts w:hint="eastAsia"/>
          <w:color w:val="auto"/>
          <w:highlight w:val="none"/>
          <w:lang w:eastAsia="zh-CN"/>
        </w:rPr>
      </w:pPr>
    </w:p>
    <w:p w14:paraId="23380A77">
      <w:pPr>
        <w:shd w:val="clear"/>
        <w:spacing w:line="579" w:lineRule="exact"/>
        <w:jc w:val="center"/>
        <w:outlineLvl w:val="2"/>
        <w:rPr>
          <w:rFonts w:ascii="仿宋" w:hAnsi="仿宋" w:eastAsia="仿宋" w:cs="仿宋"/>
          <w:b/>
          <w:color w:val="auto"/>
          <w:sz w:val="24"/>
          <w:szCs w:val="20"/>
          <w:highlight w:val="none"/>
          <w:lang w:eastAsia="zh-CN" w:bidi="ar"/>
        </w:rPr>
      </w:pPr>
      <w:bookmarkStart w:id="138" w:name="_Toc23045"/>
      <w:bookmarkStart w:id="139" w:name="_Toc32192"/>
      <w:bookmarkStart w:id="140" w:name="_Toc27095"/>
      <w:bookmarkStart w:id="141" w:name="_Toc12509"/>
      <w:bookmarkStart w:id="142" w:name="_Toc22987"/>
      <w:r>
        <w:rPr>
          <w:rFonts w:hint="eastAsia" w:ascii="仿宋" w:hAnsi="仿宋" w:eastAsia="仿宋" w:cs="仿宋"/>
          <w:b/>
          <w:color w:val="auto"/>
          <w:sz w:val="24"/>
          <w:szCs w:val="20"/>
          <w:highlight w:val="none"/>
          <w:lang w:eastAsia="zh-CN" w:bidi="ar"/>
        </w:rPr>
        <w:t>（二）法定代表人诚信投标承诺书</w:t>
      </w:r>
      <w:bookmarkEnd w:id="138"/>
      <w:bookmarkEnd w:id="139"/>
      <w:bookmarkEnd w:id="140"/>
      <w:bookmarkEnd w:id="141"/>
      <w:bookmarkEnd w:id="142"/>
    </w:p>
    <w:p w14:paraId="263C6576">
      <w:pPr>
        <w:pStyle w:val="61"/>
        <w:shd w:val="clear"/>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4075E59C">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  项目、招标编号  </w:t>
      </w:r>
      <w:r>
        <w:rPr>
          <w:rFonts w:hint="eastAsia" w:ascii="仿宋" w:hAnsi="仿宋" w:eastAsia="仿宋" w:cs="仿宋"/>
          <w:color w:val="auto"/>
          <w:spacing w:val="4"/>
          <w:sz w:val="24"/>
          <w:highlight w:val="none"/>
          <w:lang w:eastAsia="zh-CN"/>
        </w:rPr>
        <w:t>）的投标；</w:t>
      </w:r>
    </w:p>
    <w:p w14:paraId="411B28CB">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一、杜绝以收取管理费等形式的一切挂靠、违法转包、分包行为；并选派有丰富经验、无不良行为记录的在项目管理人员、技术人员，严格按磋商文件及合同等要求保证拟派人员的到岗率。</w:t>
      </w:r>
    </w:p>
    <w:p w14:paraId="22879DF2">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二、磋商文件所提供的一切材料都是真实、有效、合法的。</w:t>
      </w:r>
    </w:p>
    <w:p w14:paraId="39AFF37D">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三、不与其他供应商相互串通磋商响应报价，不排挤其他供应商的公平竞争，不损害采购人或其他供应商的合法权益。</w:t>
      </w:r>
    </w:p>
    <w:p w14:paraId="028BFFD5">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3343BDA3">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523E2934">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549D1C41">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1D70204C">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八、我单位没有被政府机关列入失信被执行人名单、重大税收违法案件当事人名单、政府采购严重违法失信行为记录名单及其他不符合《中华人民共和国政府采购法》第二十二条规定条件的情形。</w:t>
      </w:r>
    </w:p>
    <w:p w14:paraId="28925C48">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222581F2">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6B200C03">
      <w:pPr>
        <w:shd w:val="clea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33731682">
      <w:pPr>
        <w:shd w:val="clear"/>
        <w:snapToGrid w:val="0"/>
        <w:spacing w:line="470" w:lineRule="exact"/>
        <w:rPr>
          <w:rFonts w:ascii="仿宋" w:hAnsi="仿宋" w:eastAsia="仿宋" w:cs="仿宋"/>
          <w:b/>
          <w:color w:val="auto"/>
          <w:sz w:val="24"/>
          <w:highlight w:val="none"/>
          <w:lang w:eastAsia="zh-CN"/>
        </w:rPr>
      </w:pPr>
    </w:p>
    <w:p w14:paraId="21089ECF">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005599F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7513ECE">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5FF1A58">
      <w:pPr>
        <w:shd w:val="clea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p>
    <w:bookmarkEnd w:id="135"/>
    <w:bookmarkEnd w:id="136"/>
    <w:bookmarkEnd w:id="137"/>
    <w:p w14:paraId="34BD897C">
      <w:pPr>
        <w:shd w:val="clear"/>
        <w:spacing w:line="579" w:lineRule="exact"/>
        <w:jc w:val="center"/>
        <w:outlineLvl w:val="2"/>
        <w:rPr>
          <w:rFonts w:ascii="仿宋" w:hAnsi="仿宋" w:eastAsia="仿宋" w:cs="仿宋"/>
          <w:b/>
          <w:color w:val="auto"/>
          <w:sz w:val="24"/>
          <w:szCs w:val="20"/>
          <w:highlight w:val="none"/>
          <w:lang w:eastAsia="zh-CN" w:bidi="ar"/>
        </w:rPr>
      </w:pPr>
      <w:bookmarkStart w:id="143" w:name="_Toc24967"/>
      <w:bookmarkStart w:id="144" w:name="_Toc22554398"/>
      <w:bookmarkStart w:id="145" w:name="_Toc27258"/>
      <w:bookmarkStart w:id="146" w:name="_Toc3891645"/>
      <w:bookmarkStart w:id="147" w:name="_Toc32468"/>
      <w:bookmarkStart w:id="148" w:name="_Toc19256"/>
      <w:bookmarkStart w:id="149" w:name="_Toc10927"/>
      <w:bookmarkStart w:id="150" w:name="_Toc254790914"/>
      <w:bookmarkStart w:id="151" w:name="_Toc259520879"/>
      <w:bookmarkStart w:id="152" w:name="_Toc1719163"/>
      <w:bookmarkStart w:id="153" w:name="_Toc259692661"/>
      <w:bookmarkStart w:id="154" w:name="_Toc266870921"/>
      <w:bookmarkStart w:id="155" w:name="_Toc22554425"/>
      <w:bookmarkStart w:id="156" w:name="_Toc3891662"/>
      <w:bookmarkStart w:id="157" w:name="_Toc267060465"/>
      <w:bookmarkStart w:id="158" w:name="_Toc266868684"/>
      <w:bookmarkStart w:id="159" w:name="_Toc255975021"/>
      <w:bookmarkStart w:id="160" w:name="_Toc266870446"/>
      <w:bookmarkStart w:id="161" w:name="_Toc267060080"/>
      <w:bookmarkStart w:id="162" w:name="_Toc258401270"/>
      <w:bookmarkStart w:id="163" w:name="_Toc267060220"/>
      <w:bookmarkStart w:id="164" w:name="_Toc259692754"/>
      <w:bookmarkStart w:id="165" w:name="_Toc192664161"/>
      <w:bookmarkStart w:id="166" w:name="_Toc235438286"/>
      <w:bookmarkStart w:id="167" w:name="_Toc180302921"/>
      <w:bookmarkStart w:id="168" w:name="_Toc191803634"/>
      <w:bookmarkStart w:id="169" w:name="_Toc236021462"/>
      <w:bookmarkStart w:id="170" w:name="_Toc193165742"/>
      <w:bookmarkStart w:id="171" w:name="_Toc181436573"/>
      <w:bookmarkStart w:id="172" w:name="_Toc182372790"/>
      <w:bookmarkStart w:id="173" w:name="_Toc251613844"/>
      <w:bookmarkStart w:id="174" w:name="_Toc232302127"/>
      <w:bookmarkStart w:id="175" w:name="_Toc193160456"/>
      <w:bookmarkStart w:id="176" w:name="_Toc191789337"/>
      <w:bookmarkStart w:id="177" w:name="_Toc235438003"/>
      <w:bookmarkStart w:id="178" w:name="_Toc191802698"/>
      <w:bookmarkStart w:id="179" w:name="_Toc192996346"/>
      <w:bookmarkStart w:id="180" w:name="_Toc177985477"/>
      <w:bookmarkStart w:id="181" w:name="_Toc203355741"/>
      <w:bookmarkStart w:id="182" w:name="_Toc160880168"/>
      <w:bookmarkStart w:id="183" w:name="_Toc192663843"/>
      <w:bookmarkStart w:id="184" w:name="_Toc181436469"/>
      <w:bookmarkStart w:id="185" w:name="_Toc211917124"/>
      <w:bookmarkStart w:id="186" w:name="_Toc235438357"/>
      <w:bookmarkStart w:id="187" w:name="_Toc253066629"/>
      <w:bookmarkStart w:id="188" w:name="_Toc192663694"/>
      <w:bookmarkStart w:id="189" w:name="_Toc192996454"/>
      <w:bookmarkStart w:id="190" w:name="_Toc191783230"/>
      <w:bookmarkStart w:id="191" w:name="_Toc160880537"/>
      <w:bookmarkStart w:id="192" w:name="_Toc169332957"/>
      <w:bookmarkStart w:id="193" w:name="_Toc182805225"/>
      <w:bookmarkStart w:id="194" w:name="_Toc170798801"/>
      <w:bookmarkStart w:id="195" w:name="_Toc251586246"/>
      <w:bookmarkStart w:id="196" w:name="_Toc169332846"/>
      <w:bookmarkStart w:id="197" w:name="_Toc249325725"/>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）磋商保证金</w:t>
      </w:r>
      <w:bookmarkEnd w:id="143"/>
      <w:bookmarkEnd w:id="144"/>
      <w:bookmarkEnd w:id="145"/>
      <w:bookmarkEnd w:id="146"/>
      <w:bookmarkEnd w:id="147"/>
      <w:bookmarkEnd w:id="148"/>
      <w:bookmarkEnd w:id="149"/>
    </w:p>
    <w:p w14:paraId="4AABB41B">
      <w:pPr>
        <w:pStyle w:val="7"/>
        <w:shd w:val="clear"/>
        <w:spacing w:line="579" w:lineRule="exact"/>
        <w:ind w:firstLine="480"/>
        <w:rPr>
          <w:rFonts w:ascii="仿宋" w:hAnsi="仿宋" w:eastAsia="仿宋" w:cs="仿宋"/>
          <w:color w:val="auto"/>
          <w:sz w:val="24"/>
          <w:szCs w:val="18"/>
          <w:highlight w:val="none"/>
          <w:lang w:eastAsia="zh-CN"/>
        </w:rPr>
        <w:sectPr>
          <w:pgSz w:w="11906" w:h="16838"/>
          <w:pgMar w:top="1418" w:right="1826" w:bottom="1418" w:left="1361" w:header="851" w:footer="992" w:gutter="0"/>
          <w:pgBorders>
            <w:top w:val="none" w:sz="0" w:space="0"/>
            <w:left w:val="none" w:sz="0" w:space="0"/>
            <w:bottom w:val="none" w:sz="0" w:space="0"/>
            <w:right w:val="none" w:sz="0" w:space="0"/>
          </w:pgBorders>
          <w:pgNumType w:fmt="decimal"/>
          <w:cols w:space="425" w:num="1"/>
          <w:docGrid w:type="linesAndChars" w:linePitch="332" w:charSpace="0"/>
        </w:sectPr>
      </w:pPr>
      <w:r>
        <w:rPr>
          <w:rFonts w:hint="eastAsia" w:ascii="仿宋" w:hAnsi="仿宋" w:eastAsia="仿宋" w:cs="仿宋"/>
          <w:color w:val="auto"/>
          <w:sz w:val="24"/>
          <w:szCs w:val="18"/>
          <w:highlight w:val="none"/>
          <w:lang w:eastAsia="zh-CN"/>
        </w:rPr>
        <w:t>附：磋商保证金缴纳凭证或收据</w:t>
      </w:r>
      <w:r>
        <w:rPr>
          <w:rFonts w:hint="eastAsia" w:ascii="仿宋" w:hAnsi="仿宋" w:eastAsia="仿宋" w:cs="仿宋"/>
          <w:color w:val="auto"/>
          <w:sz w:val="24"/>
          <w:szCs w:val="18"/>
          <w:highlight w:val="none"/>
          <w:lang w:val="en-US" w:eastAsia="zh-CN"/>
        </w:rPr>
        <w:t>或保函</w:t>
      </w:r>
      <w:r>
        <w:rPr>
          <w:rFonts w:hint="eastAsia" w:ascii="仿宋" w:hAnsi="仿宋" w:eastAsia="仿宋" w:cs="仿宋"/>
          <w:color w:val="auto"/>
          <w:sz w:val="24"/>
          <w:szCs w:val="18"/>
          <w:highlight w:val="none"/>
          <w:lang w:eastAsia="zh-CN"/>
        </w:rPr>
        <w:t>复印件加盖投标单位公章</w:t>
      </w:r>
    </w:p>
    <w:p w14:paraId="435FC492">
      <w:pPr>
        <w:shd w:val="clear"/>
        <w:spacing w:line="579" w:lineRule="exact"/>
        <w:jc w:val="center"/>
        <w:outlineLvl w:val="2"/>
        <w:rPr>
          <w:rFonts w:ascii="仿宋" w:hAnsi="仿宋" w:eastAsia="仿宋" w:cs="仿宋"/>
          <w:b/>
          <w:color w:val="auto"/>
          <w:sz w:val="24"/>
          <w:szCs w:val="20"/>
          <w:highlight w:val="none"/>
          <w:lang w:eastAsia="zh-CN" w:bidi="ar"/>
        </w:rPr>
      </w:pPr>
      <w:bookmarkStart w:id="198" w:name="_Toc18115"/>
      <w:bookmarkStart w:id="199" w:name="_Toc8186"/>
      <w:bookmarkStart w:id="200" w:name="_Toc32384"/>
      <w:bookmarkStart w:id="201" w:name="_Toc23572"/>
      <w:bookmarkStart w:id="202" w:name="_Toc32365"/>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四</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98"/>
      <w:bookmarkEnd w:id="199"/>
      <w:bookmarkEnd w:id="200"/>
      <w:bookmarkEnd w:id="201"/>
      <w:bookmarkEnd w:id="202"/>
    </w:p>
    <w:p w14:paraId="25655DAF">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1F5BD7B0">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44E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32CB5CCE">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644A222F">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6B8B9893">
            <w:pPr>
              <w:shd w:val="clea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主要内容</w:t>
            </w:r>
          </w:p>
        </w:tc>
        <w:tc>
          <w:tcPr>
            <w:tcW w:w="1303" w:type="dxa"/>
            <w:vAlign w:val="center"/>
          </w:tcPr>
          <w:p w14:paraId="1B5F3589">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23490BBF">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7DA926A5">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17703488">
            <w:pPr>
              <w:shd w:val="clea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6FDD22D6">
            <w:pPr>
              <w:shd w:val="clea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787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6A94022">
            <w:pPr>
              <w:shd w:val="clear"/>
              <w:snapToGrid w:val="0"/>
              <w:spacing w:line="480" w:lineRule="auto"/>
              <w:rPr>
                <w:rFonts w:ascii="仿宋" w:hAnsi="仿宋" w:eastAsia="仿宋" w:cs="仿宋"/>
                <w:color w:val="auto"/>
                <w:highlight w:val="none"/>
              </w:rPr>
            </w:pPr>
          </w:p>
        </w:tc>
        <w:tc>
          <w:tcPr>
            <w:tcW w:w="2018" w:type="dxa"/>
          </w:tcPr>
          <w:p w14:paraId="13C8A9D5">
            <w:pPr>
              <w:shd w:val="clear"/>
              <w:snapToGrid w:val="0"/>
              <w:spacing w:line="480" w:lineRule="auto"/>
              <w:rPr>
                <w:rFonts w:ascii="仿宋" w:hAnsi="仿宋" w:eastAsia="仿宋" w:cs="仿宋"/>
                <w:color w:val="auto"/>
                <w:highlight w:val="none"/>
              </w:rPr>
            </w:pPr>
          </w:p>
        </w:tc>
        <w:tc>
          <w:tcPr>
            <w:tcW w:w="1401" w:type="dxa"/>
          </w:tcPr>
          <w:p w14:paraId="6C2A5385">
            <w:pPr>
              <w:shd w:val="clear"/>
              <w:snapToGrid w:val="0"/>
              <w:spacing w:line="480" w:lineRule="auto"/>
              <w:rPr>
                <w:rFonts w:ascii="仿宋" w:hAnsi="仿宋" w:eastAsia="仿宋" w:cs="仿宋"/>
                <w:color w:val="auto"/>
                <w:highlight w:val="none"/>
              </w:rPr>
            </w:pPr>
          </w:p>
        </w:tc>
        <w:tc>
          <w:tcPr>
            <w:tcW w:w="1303" w:type="dxa"/>
          </w:tcPr>
          <w:p w14:paraId="462EF138">
            <w:pPr>
              <w:shd w:val="clear"/>
              <w:snapToGrid w:val="0"/>
              <w:spacing w:line="480" w:lineRule="auto"/>
              <w:rPr>
                <w:rFonts w:ascii="仿宋" w:hAnsi="仿宋" w:eastAsia="仿宋" w:cs="仿宋"/>
                <w:color w:val="auto"/>
                <w:highlight w:val="none"/>
              </w:rPr>
            </w:pPr>
          </w:p>
        </w:tc>
        <w:tc>
          <w:tcPr>
            <w:tcW w:w="1374" w:type="dxa"/>
          </w:tcPr>
          <w:p w14:paraId="469175B7">
            <w:pPr>
              <w:shd w:val="clear"/>
              <w:snapToGrid w:val="0"/>
              <w:spacing w:line="480" w:lineRule="auto"/>
              <w:rPr>
                <w:rFonts w:ascii="仿宋" w:hAnsi="仿宋" w:eastAsia="仿宋" w:cs="仿宋"/>
                <w:color w:val="auto"/>
                <w:highlight w:val="none"/>
              </w:rPr>
            </w:pPr>
          </w:p>
        </w:tc>
        <w:tc>
          <w:tcPr>
            <w:tcW w:w="1054" w:type="dxa"/>
          </w:tcPr>
          <w:p w14:paraId="5F37AA91">
            <w:pPr>
              <w:shd w:val="clear"/>
              <w:snapToGrid w:val="0"/>
              <w:spacing w:line="480" w:lineRule="auto"/>
              <w:rPr>
                <w:rFonts w:ascii="仿宋" w:hAnsi="仿宋" w:eastAsia="仿宋" w:cs="仿宋"/>
                <w:color w:val="auto"/>
                <w:highlight w:val="none"/>
              </w:rPr>
            </w:pPr>
          </w:p>
        </w:tc>
        <w:tc>
          <w:tcPr>
            <w:tcW w:w="1054" w:type="dxa"/>
          </w:tcPr>
          <w:p w14:paraId="1C27D5B3">
            <w:pPr>
              <w:shd w:val="clear"/>
              <w:snapToGrid w:val="0"/>
              <w:spacing w:line="480" w:lineRule="auto"/>
              <w:rPr>
                <w:rFonts w:ascii="仿宋" w:hAnsi="仿宋" w:eastAsia="仿宋" w:cs="仿宋"/>
                <w:color w:val="auto"/>
                <w:highlight w:val="none"/>
              </w:rPr>
            </w:pPr>
          </w:p>
        </w:tc>
      </w:tr>
      <w:tr w14:paraId="1348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4FCCF3D">
            <w:pPr>
              <w:shd w:val="clear"/>
              <w:snapToGrid w:val="0"/>
              <w:spacing w:line="480" w:lineRule="auto"/>
              <w:rPr>
                <w:rFonts w:ascii="仿宋" w:hAnsi="仿宋" w:eastAsia="仿宋" w:cs="仿宋"/>
                <w:color w:val="auto"/>
                <w:highlight w:val="none"/>
              </w:rPr>
            </w:pPr>
          </w:p>
        </w:tc>
        <w:tc>
          <w:tcPr>
            <w:tcW w:w="2018" w:type="dxa"/>
          </w:tcPr>
          <w:p w14:paraId="54F93EC7">
            <w:pPr>
              <w:shd w:val="clear"/>
              <w:snapToGrid w:val="0"/>
              <w:spacing w:line="480" w:lineRule="auto"/>
              <w:rPr>
                <w:rFonts w:ascii="仿宋" w:hAnsi="仿宋" w:eastAsia="仿宋" w:cs="仿宋"/>
                <w:color w:val="auto"/>
                <w:highlight w:val="none"/>
              </w:rPr>
            </w:pPr>
          </w:p>
        </w:tc>
        <w:tc>
          <w:tcPr>
            <w:tcW w:w="1401" w:type="dxa"/>
          </w:tcPr>
          <w:p w14:paraId="707E39FF">
            <w:pPr>
              <w:shd w:val="clear"/>
              <w:snapToGrid w:val="0"/>
              <w:spacing w:line="480" w:lineRule="auto"/>
              <w:rPr>
                <w:rFonts w:ascii="仿宋" w:hAnsi="仿宋" w:eastAsia="仿宋" w:cs="仿宋"/>
                <w:color w:val="auto"/>
                <w:highlight w:val="none"/>
              </w:rPr>
            </w:pPr>
          </w:p>
        </w:tc>
        <w:tc>
          <w:tcPr>
            <w:tcW w:w="1303" w:type="dxa"/>
          </w:tcPr>
          <w:p w14:paraId="6F062BC0">
            <w:pPr>
              <w:shd w:val="clear"/>
              <w:snapToGrid w:val="0"/>
              <w:spacing w:line="480" w:lineRule="auto"/>
              <w:rPr>
                <w:rFonts w:ascii="仿宋" w:hAnsi="仿宋" w:eastAsia="仿宋" w:cs="仿宋"/>
                <w:color w:val="auto"/>
                <w:highlight w:val="none"/>
              </w:rPr>
            </w:pPr>
          </w:p>
        </w:tc>
        <w:tc>
          <w:tcPr>
            <w:tcW w:w="1374" w:type="dxa"/>
          </w:tcPr>
          <w:p w14:paraId="7274B5B3">
            <w:pPr>
              <w:shd w:val="clear"/>
              <w:snapToGrid w:val="0"/>
              <w:spacing w:line="480" w:lineRule="auto"/>
              <w:rPr>
                <w:rFonts w:ascii="仿宋" w:hAnsi="仿宋" w:eastAsia="仿宋" w:cs="仿宋"/>
                <w:color w:val="auto"/>
                <w:highlight w:val="none"/>
              </w:rPr>
            </w:pPr>
          </w:p>
        </w:tc>
        <w:tc>
          <w:tcPr>
            <w:tcW w:w="1054" w:type="dxa"/>
          </w:tcPr>
          <w:p w14:paraId="00E03446">
            <w:pPr>
              <w:shd w:val="clear"/>
              <w:snapToGrid w:val="0"/>
              <w:spacing w:line="480" w:lineRule="auto"/>
              <w:rPr>
                <w:rFonts w:ascii="仿宋" w:hAnsi="仿宋" w:eastAsia="仿宋" w:cs="仿宋"/>
                <w:color w:val="auto"/>
                <w:highlight w:val="none"/>
              </w:rPr>
            </w:pPr>
          </w:p>
        </w:tc>
        <w:tc>
          <w:tcPr>
            <w:tcW w:w="1054" w:type="dxa"/>
          </w:tcPr>
          <w:p w14:paraId="75A4730F">
            <w:pPr>
              <w:shd w:val="clear"/>
              <w:snapToGrid w:val="0"/>
              <w:spacing w:line="480" w:lineRule="auto"/>
              <w:rPr>
                <w:rFonts w:ascii="仿宋" w:hAnsi="仿宋" w:eastAsia="仿宋" w:cs="仿宋"/>
                <w:color w:val="auto"/>
                <w:highlight w:val="none"/>
              </w:rPr>
            </w:pPr>
          </w:p>
        </w:tc>
      </w:tr>
      <w:tr w14:paraId="41EB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A325AA7">
            <w:pPr>
              <w:shd w:val="clear"/>
              <w:snapToGrid w:val="0"/>
              <w:spacing w:line="480" w:lineRule="auto"/>
              <w:rPr>
                <w:rFonts w:ascii="仿宋" w:hAnsi="仿宋" w:eastAsia="仿宋" w:cs="仿宋"/>
                <w:color w:val="auto"/>
                <w:highlight w:val="none"/>
              </w:rPr>
            </w:pPr>
          </w:p>
        </w:tc>
        <w:tc>
          <w:tcPr>
            <w:tcW w:w="2018" w:type="dxa"/>
          </w:tcPr>
          <w:p w14:paraId="07423E08">
            <w:pPr>
              <w:shd w:val="clear"/>
              <w:snapToGrid w:val="0"/>
              <w:spacing w:line="480" w:lineRule="auto"/>
              <w:rPr>
                <w:rFonts w:ascii="仿宋" w:hAnsi="仿宋" w:eastAsia="仿宋" w:cs="仿宋"/>
                <w:color w:val="auto"/>
                <w:highlight w:val="none"/>
              </w:rPr>
            </w:pPr>
          </w:p>
        </w:tc>
        <w:tc>
          <w:tcPr>
            <w:tcW w:w="1401" w:type="dxa"/>
          </w:tcPr>
          <w:p w14:paraId="589AA95D">
            <w:pPr>
              <w:shd w:val="clear"/>
              <w:snapToGrid w:val="0"/>
              <w:spacing w:line="480" w:lineRule="auto"/>
              <w:rPr>
                <w:rFonts w:ascii="仿宋" w:hAnsi="仿宋" w:eastAsia="仿宋" w:cs="仿宋"/>
                <w:color w:val="auto"/>
                <w:highlight w:val="none"/>
              </w:rPr>
            </w:pPr>
          </w:p>
        </w:tc>
        <w:tc>
          <w:tcPr>
            <w:tcW w:w="1303" w:type="dxa"/>
          </w:tcPr>
          <w:p w14:paraId="70E3FCE4">
            <w:pPr>
              <w:shd w:val="clear"/>
              <w:snapToGrid w:val="0"/>
              <w:spacing w:line="480" w:lineRule="auto"/>
              <w:rPr>
                <w:rFonts w:ascii="仿宋" w:hAnsi="仿宋" w:eastAsia="仿宋" w:cs="仿宋"/>
                <w:color w:val="auto"/>
                <w:highlight w:val="none"/>
              </w:rPr>
            </w:pPr>
          </w:p>
        </w:tc>
        <w:tc>
          <w:tcPr>
            <w:tcW w:w="1374" w:type="dxa"/>
          </w:tcPr>
          <w:p w14:paraId="378032C4">
            <w:pPr>
              <w:shd w:val="clear"/>
              <w:snapToGrid w:val="0"/>
              <w:spacing w:line="480" w:lineRule="auto"/>
              <w:rPr>
                <w:rFonts w:ascii="仿宋" w:hAnsi="仿宋" w:eastAsia="仿宋" w:cs="仿宋"/>
                <w:color w:val="auto"/>
                <w:highlight w:val="none"/>
              </w:rPr>
            </w:pPr>
          </w:p>
        </w:tc>
        <w:tc>
          <w:tcPr>
            <w:tcW w:w="1054" w:type="dxa"/>
          </w:tcPr>
          <w:p w14:paraId="4984ACD0">
            <w:pPr>
              <w:shd w:val="clear"/>
              <w:snapToGrid w:val="0"/>
              <w:spacing w:line="480" w:lineRule="auto"/>
              <w:rPr>
                <w:rFonts w:ascii="仿宋" w:hAnsi="仿宋" w:eastAsia="仿宋" w:cs="仿宋"/>
                <w:color w:val="auto"/>
                <w:highlight w:val="none"/>
              </w:rPr>
            </w:pPr>
          </w:p>
        </w:tc>
        <w:tc>
          <w:tcPr>
            <w:tcW w:w="1054" w:type="dxa"/>
          </w:tcPr>
          <w:p w14:paraId="6AA2E5A8">
            <w:pPr>
              <w:shd w:val="clear"/>
              <w:snapToGrid w:val="0"/>
              <w:spacing w:line="480" w:lineRule="auto"/>
              <w:rPr>
                <w:rFonts w:ascii="仿宋" w:hAnsi="仿宋" w:eastAsia="仿宋" w:cs="仿宋"/>
                <w:color w:val="auto"/>
                <w:highlight w:val="none"/>
              </w:rPr>
            </w:pPr>
          </w:p>
        </w:tc>
      </w:tr>
      <w:tr w14:paraId="264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59B0776">
            <w:pPr>
              <w:shd w:val="clear"/>
              <w:snapToGrid w:val="0"/>
              <w:spacing w:line="480" w:lineRule="auto"/>
              <w:rPr>
                <w:rFonts w:ascii="仿宋" w:hAnsi="仿宋" w:eastAsia="仿宋" w:cs="仿宋"/>
                <w:color w:val="auto"/>
                <w:highlight w:val="none"/>
              </w:rPr>
            </w:pPr>
          </w:p>
        </w:tc>
        <w:tc>
          <w:tcPr>
            <w:tcW w:w="2018" w:type="dxa"/>
          </w:tcPr>
          <w:p w14:paraId="767A5B30">
            <w:pPr>
              <w:shd w:val="clear"/>
              <w:snapToGrid w:val="0"/>
              <w:spacing w:line="480" w:lineRule="auto"/>
              <w:rPr>
                <w:rFonts w:ascii="仿宋" w:hAnsi="仿宋" w:eastAsia="仿宋" w:cs="仿宋"/>
                <w:color w:val="auto"/>
                <w:highlight w:val="none"/>
              </w:rPr>
            </w:pPr>
          </w:p>
        </w:tc>
        <w:tc>
          <w:tcPr>
            <w:tcW w:w="1401" w:type="dxa"/>
          </w:tcPr>
          <w:p w14:paraId="0BDD1EB3">
            <w:pPr>
              <w:shd w:val="clear"/>
              <w:snapToGrid w:val="0"/>
              <w:spacing w:line="480" w:lineRule="auto"/>
              <w:rPr>
                <w:rFonts w:ascii="仿宋" w:hAnsi="仿宋" w:eastAsia="仿宋" w:cs="仿宋"/>
                <w:color w:val="auto"/>
                <w:highlight w:val="none"/>
              </w:rPr>
            </w:pPr>
          </w:p>
        </w:tc>
        <w:tc>
          <w:tcPr>
            <w:tcW w:w="1303" w:type="dxa"/>
          </w:tcPr>
          <w:p w14:paraId="08FD80A5">
            <w:pPr>
              <w:shd w:val="clear"/>
              <w:snapToGrid w:val="0"/>
              <w:spacing w:line="480" w:lineRule="auto"/>
              <w:rPr>
                <w:rFonts w:ascii="仿宋" w:hAnsi="仿宋" w:eastAsia="仿宋" w:cs="仿宋"/>
                <w:color w:val="auto"/>
                <w:highlight w:val="none"/>
              </w:rPr>
            </w:pPr>
          </w:p>
        </w:tc>
        <w:tc>
          <w:tcPr>
            <w:tcW w:w="1374" w:type="dxa"/>
          </w:tcPr>
          <w:p w14:paraId="001C8DDC">
            <w:pPr>
              <w:shd w:val="clear"/>
              <w:snapToGrid w:val="0"/>
              <w:spacing w:line="480" w:lineRule="auto"/>
              <w:rPr>
                <w:rFonts w:ascii="仿宋" w:hAnsi="仿宋" w:eastAsia="仿宋" w:cs="仿宋"/>
                <w:color w:val="auto"/>
                <w:highlight w:val="none"/>
              </w:rPr>
            </w:pPr>
          </w:p>
        </w:tc>
        <w:tc>
          <w:tcPr>
            <w:tcW w:w="1054" w:type="dxa"/>
          </w:tcPr>
          <w:p w14:paraId="0FA4B6C4">
            <w:pPr>
              <w:shd w:val="clear"/>
              <w:snapToGrid w:val="0"/>
              <w:spacing w:line="480" w:lineRule="auto"/>
              <w:rPr>
                <w:rFonts w:ascii="仿宋" w:hAnsi="仿宋" w:eastAsia="仿宋" w:cs="仿宋"/>
                <w:color w:val="auto"/>
                <w:highlight w:val="none"/>
              </w:rPr>
            </w:pPr>
          </w:p>
        </w:tc>
        <w:tc>
          <w:tcPr>
            <w:tcW w:w="1054" w:type="dxa"/>
          </w:tcPr>
          <w:p w14:paraId="056742AF">
            <w:pPr>
              <w:shd w:val="clear"/>
              <w:snapToGrid w:val="0"/>
              <w:spacing w:line="480" w:lineRule="auto"/>
              <w:rPr>
                <w:rFonts w:ascii="仿宋" w:hAnsi="仿宋" w:eastAsia="仿宋" w:cs="仿宋"/>
                <w:color w:val="auto"/>
                <w:highlight w:val="none"/>
              </w:rPr>
            </w:pPr>
          </w:p>
        </w:tc>
      </w:tr>
      <w:tr w14:paraId="10F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E106AFA">
            <w:pPr>
              <w:shd w:val="clear"/>
              <w:snapToGrid w:val="0"/>
              <w:spacing w:line="480" w:lineRule="auto"/>
              <w:rPr>
                <w:rFonts w:ascii="仿宋" w:hAnsi="仿宋" w:eastAsia="仿宋" w:cs="仿宋"/>
                <w:color w:val="auto"/>
                <w:highlight w:val="none"/>
              </w:rPr>
            </w:pPr>
          </w:p>
        </w:tc>
        <w:tc>
          <w:tcPr>
            <w:tcW w:w="2018" w:type="dxa"/>
          </w:tcPr>
          <w:p w14:paraId="5A0D4A27">
            <w:pPr>
              <w:shd w:val="clear"/>
              <w:snapToGrid w:val="0"/>
              <w:spacing w:line="480" w:lineRule="auto"/>
              <w:rPr>
                <w:rFonts w:ascii="仿宋" w:hAnsi="仿宋" w:eastAsia="仿宋" w:cs="仿宋"/>
                <w:color w:val="auto"/>
                <w:highlight w:val="none"/>
              </w:rPr>
            </w:pPr>
          </w:p>
        </w:tc>
        <w:tc>
          <w:tcPr>
            <w:tcW w:w="1401" w:type="dxa"/>
          </w:tcPr>
          <w:p w14:paraId="62255236">
            <w:pPr>
              <w:shd w:val="clear"/>
              <w:snapToGrid w:val="0"/>
              <w:spacing w:line="480" w:lineRule="auto"/>
              <w:rPr>
                <w:rFonts w:ascii="仿宋" w:hAnsi="仿宋" w:eastAsia="仿宋" w:cs="仿宋"/>
                <w:color w:val="auto"/>
                <w:highlight w:val="none"/>
              </w:rPr>
            </w:pPr>
          </w:p>
        </w:tc>
        <w:tc>
          <w:tcPr>
            <w:tcW w:w="1303" w:type="dxa"/>
          </w:tcPr>
          <w:p w14:paraId="5EC73F6E">
            <w:pPr>
              <w:shd w:val="clear"/>
              <w:snapToGrid w:val="0"/>
              <w:spacing w:line="480" w:lineRule="auto"/>
              <w:rPr>
                <w:rFonts w:ascii="仿宋" w:hAnsi="仿宋" w:eastAsia="仿宋" w:cs="仿宋"/>
                <w:color w:val="auto"/>
                <w:highlight w:val="none"/>
              </w:rPr>
            </w:pPr>
          </w:p>
        </w:tc>
        <w:tc>
          <w:tcPr>
            <w:tcW w:w="1374" w:type="dxa"/>
          </w:tcPr>
          <w:p w14:paraId="743609D6">
            <w:pPr>
              <w:shd w:val="clear"/>
              <w:snapToGrid w:val="0"/>
              <w:spacing w:line="480" w:lineRule="auto"/>
              <w:rPr>
                <w:rFonts w:ascii="仿宋" w:hAnsi="仿宋" w:eastAsia="仿宋" w:cs="仿宋"/>
                <w:color w:val="auto"/>
                <w:highlight w:val="none"/>
              </w:rPr>
            </w:pPr>
          </w:p>
        </w:tc>
        <w:tc>
          <w:tcPr>
            <w:tcW w:w="1054" w:type="dxa"/>
          </w:tcPr>
          <w:p w14:paraId="5F79E38F">
            <w:pPr>
              <w:shd w:val="clear"/>
              <w:snapToGrid w:val="0"/>
              <w:spacing w:line="480" w:lineRule="auto"/>
              <w:rPr>
                <w:rFonts w:ascii="仿宋" w:hAnsi="仿宋" w:eastAsia="仿宋" w:cs="仿宋"/>
                <w:color w:val="auto"/>
                <w:highlight w:val="none"/>
              </w:rPr>
            </w:pPr>
          </w:p>
        </w:tc>
        <w:tc>
          <w:tcPr>
            <w:tcW w:w="1054" w:type="dxa"/>
          </w:tcPr>
          <w:p w14:paraId="6B74DD02">
            <w:pPr>
              <w:shd w:val="clear"/>
              <w:snapToGrid w:val="0"/>
              <w:spacing w:line="480" w:lineRule="auto"/>
              <w:rPr>
                <w:rFonts w:ascii="仿宋" w:hAnsi="仿宋" w:eastAsia="仿宋" w:cs="仿宋"/>
                <w:color w:val="auto"/>
                <w:highlight w:val="none"/>
              </w:rPr>
            </w:pPr>
          </w:p>
        </w:tc>
      </w:tr>
      <w:tr w14:paraId="502D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D371E75">
            <w:pPr>
              <w:shd w:val="clear"/>
              <w:snapToGrid w:val="0"/>
              <w:spacing w:line="480" w:lineRule="auto"/>
              <w:rPr>
                <w:rFonts w:ascii="仿宋" w:hAnsi="仿宋" w:eastAsia="仿宋" w:cs="仿宋"/>
                <w:color w:val="auto"/>
                <w:highlight w:val="none"/>
              </w:rPr>
            </w:pPr>
          </w:p>
        </w:tc>
        <w:tc>
          <w:tcPr>
            <w:tcW w:w="2018" w:type="dxa"/>
          </w:tcPr>
          <w:p w14:paraId="1AC7CAE5">
            <w:pPr>
              <w:shd w:val="clear"/>
              <w:snapToGrid w:val="0"/>
              <w:spacing w:line="480" w:lineRule="auto"/>
              <w:rPr>
                <w:rFonts w:ascii="仿宋" w:hAnsi="仿宋" w:eastAsia="仿宋" w:cs="仿宋"/>
                <w:color w:val="auto"/>
                <w:highlight w:val="none"/>
              </w:rPr>
            </w:pPr>
          </w:p>
        </w:tc>
        <w:tc>
          <w:tcPr>
            <w:tcW w:w="1401" w:type="dxa"/>
          </w:tcPr>
          <w:p w14:paraId="4BDEDB96">
            <w:pPr>
              <w:shd w:val="clear"/>
              <w:snapToGrid w:val="0"/>
              <w:spacing w:line="480" w:lineRule="auto"/>
              <w:rPr>
                <w:rFonts w:ascii="仿宋" w:hAnsi="仿宋" w:eastAsia="仿宋" w:cs="仿宋"/>
                <w:color w:val="auto"/>
                <w:highlight w:val="none"/>
              </w:rPr>
            </w:pPr>
          </w:p>
        </w:tc>
        <w:tc>
          <w:tcPr>
            <w:tcW w:w="1303" w:type="dxa"/>
          </w:tcPr>
          <w:p w14:paraId="0396CB12">
            <w:pPr>
              <w:shd w:val="clear"/>
              <w:snapToGrid w:val="0"/>
              <w:spacing w:line="480" w:lineRule="auto"/>
              <w:rPr>
                <w:rFonts w:ascii="仿宋" w:hAnsi="仿宋" w:eastAsia="仿宋" w:cs="仿宋"/>
                <w:color w:val="auto"/>
                <w:highlight w:val="none"/>
              </w:rPr>
            </w:pPr>
          </w:p>
        </w:tc>
        <w:tc>
          <w:tcPr>
            <w:tcW w:w="1374" w:type="dxa"/>
          </w:tcPr>
          <w:p w14:paraId="4495544B">
            <w:pPr>
              <w:shd w:val="clear"/>
              <w:snapToGrid w:val="0"/>
              <w:spacing w:line="480" w:lineRule="auto"/>
              <w:rPr>
                <w:rFonts w:ascii="仿宋" w:hAnsi="仿宋" w:eastAsia="仿宋" w:cs="仿宋"/>
                <w:color w:val="auto"/>
                <w:highlight w:val="none"/>
              </w:rPr>
            </w:pPr>
          </w:p>
        </w:tc>
        <w:tc>
          <w:tcPr>
            <w:tcW w:w="1054" w:type="dxa"/>
          </w:tcPr>
          <w:p w14:paraId="0552BE19">
            <w:pPr>
              <w:shd w:val="clear"/>
              <w:snapToGrid w:val="0"/>
              <w:spacing w:line="480" w:lineRule="auto"/>
              <w:rPr>
                <w:rFonts w:ascii="仿宋" w:hAnsi="仿宋" w:eastAsia="仿宋" w:cs="仿宋"/>
                <w:color w:val="auto"/>
                <w:highlight w:val="none"/>
              </w:rPr>
            </w:pPr>
          </w:p>
        </w:tc>
        <w:tc>
          <w:tcPr>
            <w:tcW w:w="1054" w:type="dxa"/>
          </w:tcPr>
          <w:p w14:paraId="3F4B7318">
            <w:pPr>
              <w:shd w:val="clear"/>
              <w:snapToGrid w:val="0"/>
              <w:spacing w:line="480" w:lineRule="auto"/>
              <w:rPr>
                <w:rFonts w:ascii="仿宋" w:hAnsi="仿宋" w:eastAsia="仿宋" w:cs="仿宋"/>
                <w:color w:val="auto"/>
                <w:highlight w:val="none"/>
              </w:rPr>
            </w:pPr>
          </w:p>
        </w:tc>
      </w:tr>
      <w:tr w14:paraId="48EE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0FF078A">
            <w:pPr>
              <w:shd w:val="clear"/>
              <w:snapToGrid w:val="0"/>
              <w:spacing w:line="480" w:lineRule="auto"/>
              <w:rPr>
                <w:rFonts w:ascii="仿宋" w:hAnsi="仿宋" w:eastAsia="仿宋" w:cs="仿宋"/>
                <w:color w:val="auto"/>
                <w:highlight w:val="none"/>
              </w:rPr>
            </w:pPr>
          </w:p>
        </w:tc>
        <w:tc>
          <w:tcPr>
            <w:tcW w:w="2018" w:type="dxa"/>
          </w:tcPr>
          <w:p w14:paraId="173CA65F">
            <w:pPr>
              <w:shd w:val="clear"/>
              <w:snapToGrid w:val="0"/>
              <w:spacing w:line="480" w:lineRule="auto"/>
              <w:rPr>
                <w:rFonts w:ascii="仿宋" w:hAnsi="仿宋" w:eastAsia="仿宋" w:cs="仿宋"/>
                <w:color w:val="auto"/>
                <w:highlight w:val="none"/>
              </w:rPr>
            </w:pPr>
          </w:p>
        </w:tc>
        <w:tc>
          <w:tcPr>
            <w:tcW w:w="1401" w:type="dxa"/>
          </w:tcPr>
          <w:p w14:paraId="2F07D968">
            <w:pPr>
              <w:shd w:val="clear"/>
              <w:snapToGrid w:val="0"/>
              <w:spacing w:line="480" w:lineRule="auto"/>
              <w:rPr>
                <w:rFonts w:ascii="仿宋" w:hAnsi="仿宋" w:eastAsia="仿宋" w:cs="仿宋"/>
                <w:color w:val="auto"/>
                <w:highlight w:val="none"/>
              </w:rPr>
            </w:pPr>
          </w:p>
        </w:tc>
        <w:tc>
          <w:tcPr>
            <w:tcW w:w="1303" w:type="dxa"/>
          </w:tcPr>
          <w:p w14:paraId="44A87C63">
            <w:pPr>
              <w:shd w:val="clear"/>
              <w:snapToGrid w:val="0"/>
              <w:spacing w:line="480" w:lineRule="auto"/>
              <w:rPr>
                <w:rFonts w:ascii="仿宋" w:hAnsi="仿宋" w:eastAsia="仿宋" w:cs="仿宋"/>
                <w:color w:val="auto"/>
                <w:highlight w:val="none"/>
              </w:rPr>
            </w:pPr>
          </w:p>
        </w:tc>
        <w:tc>
          <w:tcPr>
            <w:tcW w:w="1374" w:type="dxa"/>
          </w:tcPr>
          <w:p w14:paraId="3B936348">
            <w:pPr>
              <w:shd w:val="clear"/>
              <w:snapToGrid w:val="0"/>
              <w:spacing w:line="480" w:lineRule="auto"/>
              <w:rPr>
                <w:rFonts w:ascii="仿宋" w:hAnsi="仿宋" w:eastAsia="仿宋" w:cs="仿宋"/>
                <w:color w:val="auto"/>
                <w:highlight w:val="none"/>
              </w:rPr>
            </w:pPr>
          </w:p>
        </w:tc>
        <w:tc>
          <w:tcPr>
            <w:tcW w:w="1054" w:type="dxa"/>
          </w:tcPr>
          <w:p w14:paraId="5744E31C">
            <w:pPr>
              <w:shd w:val="clear"/>
              <w:snapToGrid w:val="0"/>
              <w:spacing w:line="480" w:lineRule="auto"/>
              <w:rPr>
                <w:rFonts w:ascii="仿宋" w:hAnsi="仿宋" w:eastAsia="仿宋" w:cs="仿宋"/>
                <w:color w:val="auto"/>
                <w:highlight w:val="none"/>
              </w:rPr>
            </w:pPr>
          </w:p>
        </w:tc>
        <w:tc>
          <w:tcPr>
            <w:tcW w:w="1054" w:type="dxa"/>
          </w:tcPr>
          <w:p w14:paraId="269DA97D">
            <w:pPr>
              <w:shd w:val="clear"/>
              <w:snapToGrid w:val="0"/>
              <w:spacing w:line="480" w:lineRule="auto"/>
              <w:rPr>
                <w:rFonts w:ascii="仿宋" w:hAnsi="仿宋" w:eastAsia="仿宋" w:cs="仿宋"/>
                <w:color w:val="auto"/>
                <w:highlight w:val="none"/>
              </w:rPr>
            </w:pPr>
          </w:p>
        </w:tc>
      </w:tr>
    </w:tbl>
    <w:p w14:paraId="25231820">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6FC1380A">
      <w:pPr>
        <w:shd w:val="clea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21C75A02">
      <w:pPr>
        <w:shd w:val="clea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161320B2">
      <w:pPr>
        <w:shd w:val="clea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41E0DE0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10E428DD">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B6B285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C597314">
      <w:pPr>
        <w:shd w:val="clear"/>
        <w:spacing w:line="579" w:lineRule="exact"/>
        <w:ind w:firstLine="560"/>
        <w:rPr>
          <w:rFonts w:hint="eastAsia" w:ascii="仿宋" w:hAnsi="仿宋" w:eastAsia="仿宋" w:cs="仿宋"/>
          <w:b/>
          <w:color w:val="auto"/>
          <w:sz w:val="24"/>
          <w:szCs w:val="20"/>
          <w:highlight w:val="none"/>
          <w:lang w:eastAsia="zh-CN" w:bidi="ar"/>
        </w:rPr>
      </w:pPr>
    </w:p>
    <w:p w14:paraId="419D5D84">
      <w:pPr>
        <w:shd w:val="clear"/>
        <w:spacing w:line="579" w:lineRule="exact"/>
        <w:ind w:firstLine="560"/>
        <w:rPr>
          <w:rFonts w:hint="eastAsia" w:ascii="仿宋" w:hAnsi="仿宋" w:eastAsia="仿宋" w:cs="仿宋"/>
          <w:b/>
          <w:color w:val="auto"/>
          <w:sz w:val="24"/>
          <w:szCs w:val="20"/>
          <w:highlight w:val="none"/>
          <w:lang w:eastAsia="zh-CN" w:bidi="ar"/>
        </w:rPr>
      </w:pPr>
    </w:p>
    <w:p w14:paraId="4C6107CF">
      <w:pPr>
        <w:shd w:val="clea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合同提供内容示例（所有合同复印件须清晰、否则按无效资料处理，其风险及结果由供应商自行承担）：</w:t>
      </w:r>
    </w:p>
    <w:p w14:paraId="745B80DE">
      <w:pPr>
        <w:pStyle w:val="25"/>
        <w:shd w:val="clear"/>
        <w:spacing w:after="0" w:line="579" w:lineRule="exact"/>
        <w:ind w:firstLine="240"/>
        <w:rPr>
          <w:rFonts w:hint="default" w:ascii="仿宋" w:hAnsi="仿宋" w:eastAsia="仿宋" w:cs="仿宋"/>
          <w:color w:val="auto"/>
          <w:highlight w:val="none"/>
          <w:lang w:eastAsia="zh-CN"/>
        </w:rPr>
      </w:pPr>
    </w:p>
    <w:p w14:paraId="3E74A21D">
      <w:pPr>
        <w:numPr>
          <w:ilvl w:val="0"/>
          <w:numId w:val="7"/>
        </w:numPr>
        <w:shd w:val="clear"/>
        <w:spacing w:line="579" w:lineRule="exact"/>
        <w:rPr>
          <w:rFonts w:ascii="仿宋" w:hAnsi="仿宋" w:eastAsia="仿宋" w:cs="仿宋"/>
          <w:color w:val="auto"/>
          <w:highlight w:val="none"/>
        </w:rPr>
      </w:pPr>
      <w:r>
        <w:rPr>
          <w:rFonts w:hint="eastAsia" w:ascii="仿宋" w:hAnsi="仿宋" w:eastAsia="仿宋" w:cs="仿宋"/>
          <w:color w:val="auto"/>
          <w:sz w:val="24"/>
          <w:szCs w:val="20"/>
          <w:highlight w:val="none"/>
          <w:lang w:bidi="ar"/>
        </w:rPr>
        <w:t>1.XXXXXXX合同</w:t>
      </w:r>
    </w:p>
    <w:p w14:paraId="320DE84B">
      <w:pPr>
        <w:pStyle w:val="25"/>
        <w:shd w:val="clear"/>
        <w:spacing w:after="0" w:line="579" w:lineRule="exact"/>
        <w:ind w:firstLine="240"/>
        <w:rPr>
          <w:rFonts w:hint="default" w:ascii="仿宋" w:hAnsi="仿宋" w:eastAsia="仿宋" w:cs="仿宋"/>
          <w:color w:val="auto"/>
          <w:highlight w:val="none"/>
        </w:rPr>
      </w:pPr>
    </w:p>
    <w:p w14:paraId="53E6C413">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5122FA95">
      <w:pPr>
        <w:shd w:val="clear"/>
        <w:spacing w:line="579" w:lineRule="exact"/>
        <w:rPr>
          <w:rFonts w:ascii="仿宋" w:hAnsi="仿宋" w:eastAsia="仿宋" w:cs="仿宋"/>
          <w:i/>
          <w:color w:val="auto"/>
          <w:highlight w:val="none"/>
        </w:rPr>
      </w:pPr>
    </w:p>
    <w:p w14:paraId="35A01C3D">
      <w:pPr>
        <w:shd w:val="clea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3.内容页</w:t>
      </w:r>
    </w:p>
    <w:p w14:paraId="6144EE5C">
      <w:pPr>
        <w:shd w:val="clea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1A46ED5A">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2BDFFC1">
      <w:pPr>
        <w:pStyle w:val="25"/>
        <w:shd w:val="clear"/>
        <w:spacing w:after="0" w:line="579" w:lineRule="exact"/>
        <w:ind w:firstLine="240"/>
        <w:rPr>
          <w:rFonts w:hint="default" w:ascii="仿宋" w:hAnsi="仿宋" w:eastAsia="仿宋" w:cs="仿宋"/>
          <w:color w:val="auto"/>
          <w:highlight w:val="none"/>
          <w:lang w:eastAsia="zh-CN"/>
        </w:rPr>
      </w:pPr>
    </w:p>
    <w:p w14:paraId="65A9C928">
      <w:pPr>
        <w:shd w:val="clea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7CF1F0F7">
      <w:pPr>
        <w:shd w:val="clear"/>
        <w:spacing w:line="579" w:lineRule="exact"/>
        <w:ind w:left="1415"/>
        <w:rPr>
          <w:rFonts w:ascii="仿宋" w:hAnsi="仿宋" w:eastAsia="仿宋" w:cs="仿宋"/>
          <w:color w:val="auto"/>
          <w:highlight w:val="none"/>
          <w:lang w:eastAsia="zh-CN"/>
        </w:rPr>
      </w:pPr>
    </w:p>
    <w:p w14:paraId="7A3E2483">
      <w:pPr>
        <w:shd w:val="clear"/>
        <w:spacing w:line="579" w:lineRule="exact"/>
        <w:ind w:left="1415"/>
        <w:rPr>
          <w:rFonts w:ascii="仿宋" w:hAnsi="仿宋" w:eastAsia="仿宋" w:cs="仿宋"/>
          <w:color w:val="auto"/>
          <w:highlight w:val="none"/>
          <w:lang w:eastAsia="zh-CN"/>
        </w:rPr>
      </w:pPr>
    </w:p>
    <w:p w14:paraId="4A413B6D">
      <w:pPr>
        <w:shd w:val="clear"/>
        <w:spacing w:line="579" w:lineRule="exact"/>
        <w:ind w:left="1415"/>
        <w:rPr>
          <w:rFonts w:ascii="仿宋" w:hAnsi="仿宋" w:eastAsia="仿宋" w:cs="仿宋"/>
          <w:color w:val="auto"/>
          <w:highlight w:val="none"/>
          <w:lang w:eastAsia="zh-CN"/>
        </w:rPr>
      </w:pPr>
    </w:p>
    <w:p w14:paraId="719D8690">
      <w:pPr>
        <w:shd w:val="clear"/>
        <w:spacing w:line="579" w:lineRule="exact"/>
        <w:ind w:left="1415"/>
        <w:rPr>
          <w:rFonts w:ascii="仿宋" w:hAnsi="仿宋" w:eastAsia="仿宋" w:cs="仿宋"/>
          <w:color w:val="auto"/>
          <w:highlight w:val="none"/>
          <w:lang w:eastAsia="zh-CN"/>
        </w:rPr>
      </w:pPr>
    </w:p>
    <w:p w14:paraId="55D8570A">
      <w:pPr>
        <w:shd w:val="clear"/>
        <w:spacing w:line="579" w:lineRule="exact"/>
        <w:ind w:left="1415"/>
        <w:rPr>
          <w:rFonts w:ascii="仿宋" w:hAnsi="仿宋" w:eastAsia="仿宋" w:cs="仿宋"/>
          <w:color w:val="auto"/>
          <w:highlight w:val="none"/>
          <w:lang w:eastAsia="zh-CN"/>
        </w:rPr>
      </w:pPr>
    </w:p>
    <w:p w14:paraId="2E1D3FA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203" w:name="_Toc3891663"/>
      <w:bookmarkStart w:id="204" w:name="_Toc22554427"/>
    </w:p>
    <w:bookmarkEnd w:id="203"/>
    <w:bookmarkEnd w:id="204"/>
    <w:p w14:paraId="16C9C3EC">
      <w:pPr>
        <w:shd w:val="clear"/>
        <w:spacing w:line="579" w:lineRule="exact"/>
        <w:jc w:val="center"/>
        <w:outlineLvl w:val="2"/>
        <w:rPr>
          <w:rFonts w:ascii="仿宋" w:hAnsi="仿宋" w:eastAsia="仿宋" w:cs="仿宋"/>
          <w:b/>
          <w:bCs/>
          <w:color w:val="auto"/>
          <w:szCs w:val="21"/>
          <w:highlight w:val="none"/>
          <w:lang w:eastAsia="zh-CN"/>
        </w:rPr>
      </w:pPr>
      <w:bookmarkStart w:id="205" w:name="_Toc9850"/>
      <w:bookmarkStart w:id="206" w:name="_Toc19056"/>
      <w:bookmarkStart w:id="207" w:name="_Toc11993"/>
      <w:bookmarkStart w:id="208" w:name="_Toc27861"/>
      <w:bookmarkStart w:id="209" w:name="_Toc3992"/>
      <w:bookmarkStart w:id="210" w:name="_Toc15416"/>
      <w:bookmarkStart w:id="211" w:name="_Toc267060081"/>
      <w:bookmarkStart w:id="212" w:name="_Toc255975023"/>
      <w:bookmarkStart w:id="213" w:name="_Toc3891664"/>
      <w:bookmarkStart w:id="214" w:name="_Toc259692756"/>
      <w:bookmarkStart w:id="215" w:name="_Toc254790916"/>
      <w:bookmarkStart w:id="216" w:name="_Toc267060466"/>
      <w:bookmarkStart w:id="217" w:name="_Toc259520881"/>
      <w:bookmarkStart w:id="218" w:name="_Toc1719164"/>
      <w:bookmarkStart w:id="219" w:name="_Toc266870447"/>
      <w:bookmarkStart w:id="220" w:name="_Toc267060221"/>
      <w:bookmarkStart w:id="221" w:name="_Toc266868686"/>
      <w:bookmarkStart w:id="222" w:name="_Toc258401272"/>
      <w:bookmarkStart w:id="223" w:name="_Toc259692663"/>
      <w:bookmarkStart w:id="224" w:name="_Toc266870922"/>
      <w:bookmarkStart w:id="225" w:name="_Toc22554428"/>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）项目团队成员一览表</w:t>
      </w:r>
      <w:bookmarkEnd w:id="205"/>
      <w:bookmarkEnd w:id="206"/>
      <w:bookmarkEnd w:id="207"/>
      <w:bookmarkEnd w:id="208"/>
      <w:bookmarkEnd w:id="209"/>
      <w:bookmarkEnd w:id="210"/>
    </w:p>
    <w:p w14:paraId="1CC98F2A">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36DFDEB4">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2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084F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26F667C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11" w:type="dxa"/>
            <w:tcBorders>
              <w:bottom w:val="nil"/>
            </w:tcBorders>
            <w:shd w:val="clear" w:color="auto" w:fill="F3F3F3"/>
            <w:vAlign w:val="center"/>
          </w:tcPr>
          <w:p w14:paraId="0C93D0E3">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991" w:type="dxa"/>
            <w:tcBorders>
              <w:bottom w:val="nil"/>
            </w:tcBorders>
            <w:shd w:val="clear" w:color="auto" w:fill="F3F3F3"/>
            <w:vAlign w:val="center"/>
          </w:tcPr>
          <w:p w14:paraId="34BB535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36" w:type="dxa"/>
            <w:tcBorders>
              <w:bottom w:val="nil"/>
            </w:tcBorders>
            <w:shd w:val="clear" w:color="auto" w:fill="F3F3F3"/>
            <w:vAlign w:val="center"/>
          </w:tcPr>
          <w:p w14:paraId="6D55DCB2">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961" w:type="dxa"/>
            <w:tcBorders>
              <w:bottom w:val="nil"/>
            </w:tcBorders>
            <w:shd w:val="clear" w:color="auto" w:fill="F3F3F3"/>
            <w:vAlign w:val="center"/>
          </w:tcPr>
          <w:p w14:paraId="326B672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32" w:type="dxa"/>
            <w:tcBorders>
              <w:bottom w:val="nil"/>
            </w:tcBorders>
            <w:shd w:val="clear" w:color="auto" w:fill="F3F3F3"/>
            <w:vAlign w:val="center"/>
          </w:tcPr>
          <w:p w14:paraId="72A0A7FF">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744" w:type="dxa"/>
            <w:tcBorders>
              <w:bottom w:val="nil"/>
            </w:tcBorders>
            <w:shd w:val="clear" w:color="auto" w:fill="F3F3F3"/>
            <w:vAlign w:val="center"/>
          </w:tcPr>
          <w:p w14:paraId="5C1AF6C7">
            <w:pPr>
              <w:shd w:val="clear"/>
              <w:jc w:val="center"/>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val="en-US" w:eastAsia="zh-CN" w:bidi="ar"/>
              </w:rPr>
              <w:t>职称</w:t>
            </w:r>
          </w:p>
        </w:tc>
        <w:tc>
          <w:tcPr>
            <w:tcW w:w="1000" w:type="dxa"/>
            <w:tcBorders>
              <w:bottom w:val="nil"/>
            </w:tcBorders>
            <w:shd w:val="clear" w:color="auto" w:fill="F3F3F3"/>
            <w:vAlign w:val="center"/>
          </w:tcPr>
          <w:p w14:paraId="4CAA8161">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899" w:type="dxa"/>
            <w:tcBorders>
              <w:bottom w:val="nil"/>
            </w:tcBorders>
            <w:shd w:val="clear" w:color="auto" w:fill="F3F3F3"/>
            <w:vAlign w:val="center"/>
          </w:tcPr>
          <w:p w14:paraId="145AEE67">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7E75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28E2C77E">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11" w:type="dxa"/>
            <w:tcBorders>
              <w:bottom w:val="nil"/>
            </w:tcBorders>
            <w:vAlign w:val="center"/>
          </w:tcPr>
          <w:p w14:paraId="20ECCE44">
            <w:pPr>
              <w:shd w:val="clear"/>
              <w:jc w:val="center"/>
              <w:rPr>
                <w:rFonts w:ascii="仿宋" w:hAnsi="仿宋" w:eastAsia="仿宋" w:cs="仿宋"/>
                <w:color w:val="auto"/>
                <w:sz w:val="24"/>
                <w:szCs w:val="20"/>
                <w:highlight w:val="none"/>
                <w:lang w:bidi="ar"/>
              </w:rPr>
            </w:pPr>
          </w:p>
        </w:tc>
        <w:tc>
          <w:tcPr>
            <w:tcW w:w="991" w:type="dxa"/>
            <w:tcBorders>
              <w:bottom w:val="nil"/>
            </w:tcBorders>
            <w:vAlign w:val="center"/>
          </w:tcPr>
          <w:p w14:paraId="22FC5302">
            <w:pPr>
              <w:shd w:val="clear"/>
              <w:jc w:val="center"/>
              <w:rPr>
                <w:rFonts w:ascii="仿宋" w:hAnsi="仿宋" w:eastAsia="仿宋" w:cs="仿宋"/>
                <w:color w:val="auto"/>
                <w:sz w:val="24"/>
                <w:szCs w:val="20"/>
                <w:highlight w:val="none"/>
                <w:lang w:bidi="ar"/>
              </w:rPr>
            </w:pPr>
          </w:p>
        </w:tc>
        <w:tc>
          <w:tcPr>
            <w:tcW w:w="736" w:type="dxa"/>
            <w:tcBorders>
              <w:bottom w:val="nil"/>
            </w:tcBorders>
            <w:vAlign w:val="center"/>
          </w:tcPr>
          <w:p w14:paraId="181347AD">
            <w:pPr>
              <w:pStyle w:val="62"/>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961" w:type="dxa"/>
            <w:tcBorders>
              <w:bottom w:val="nil"/>
            </w:tcBorders>
            <w:vAlign w:val="center"/>
          </w:tcPr>
          <w:p w14:paraId="4C66344E">
            <w:pPr>
              <w:pStyle w:val="62"/>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32" w:type="dxa"/>
            <w:tcBorders>
              <w:bottom w:val="nil"/>
            </w:tcBorders>
          </w:tcPr>
          <w:p w14:paraId="70F3572C">
            <w:pPr>
              <w:shd w:val="clear"/>
              <w:jc w:val="center"/>
              <w:rPr>
                <w:rFonts w:ascii="仿宋" w:hAnsi="仿宋" w:eastAsia="仿宋" w:cs="仿宋"/>
                <w:color w:val="auto"/>
                <w:sz w:val="24"/>
                <w:szCs w:val="20"/>
                <w:highlight w:val="none"/>
                <w:lang w:bidi="ar"/>
              </w:rPr>
            </w:pPr>
          </w:p>
        </w:tc>
        <w:tc>
          <w:tcPr>
            <w:tcW w:w="744" w:type="dxa"/>
            <w:tcBorders>
              <w:bottom w:val="nil"/>
            </w:tcBorders>
            <w:vAlign w:val="center"/>
          </w:tcPr>
          <w:p w14:paraId="1C6B40A1">
            <w:pPr>
              <w:shd w:val="clear"/>
              <w:jc w:val="center"/>
              <w:rPr>
                <w:rFonts w:ascii="仿宋" w:hAnsi="仿宋" w:eastAsia="仿宋" w:cs="仿宋"/>
                <w:color w:val="auto"/>
                <w:sz w:val="24"/>
                <w:szCs w:val="20"/>
                <w:highlight w:val="none"/>
                <w:lang w:bidi="ar"/>
              </w:rPr>
            </w:pPr>
          </w:p>
        </w:tc>
        <w:tc>
          <w:tcPr>
            <w:tcW w:w="1000" w:type="dxa"/>
            <w:tcBorders>
              <w:bottom w:val="nil"/>
            </w:tcBorders>
            <w:vAlign w:val="center"/>
          </w:tcPr>
          <w:p w14:paraId="7123F783">
            <w:pPr>
              <w:shd w:val="clear"/>
              <w:ind w:firstLine="12"/>
              <w:jc w:val="center"/>
              <w:rPr>
                <w:rFonts w:ascii="仿宋" w:hAnsi="仿宋" w:eastAsia="仿宋" w:cs="仿宋"/>
                <w:color w:val="auto"/>
                <w:sz w:val="24"/>
                <w:szCs w:val="20"/>
                <w:highlight w:val="none"/>
                <w:lang w:bidi="ar"/>
              </w:rPr>
            </w:pPr>
          </w:p>
        </w:tc>
        <w:tc>
          <w:tcPr>
            <w:tcW w:w="899" w:type="dxa"/>
            <w:tcBorders>
              <w:bottom w:val="nil"/>
            </w:tcBorders>
            <w:vAlign w:val="center"/>
          </w:tcPr>
          <w:p w14:paraId="59DE64A8">
            <w:pPr>
              <w:shd w:val="clear"/>
              <w:ind w:firstLine="12"/>
              <w:jc w:val="center"/>
              <w:rPr>
                <w:rFonts w:ascii="仿宋" w:hAnsi="仿宋" w:eastAsia="仿宋" w:cs="仿宋"/>
                <w:color w:val="auto"/>
                <w:sz w:val="24"/>
                <w:szCs w:val="20"/>
                <w:highlight w:val="none"/>
                <w:lang w:bidi="ar"/>
              </w:rPr>
            </w:pPr>
          </w:p>
        </w:tc>
      </w:tr>
      <w:tr w14:paraId="42C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restart"/>
            <w:vAlign w:val="center"/>
          </w:tcPr>
          <w:p w14:paraId="7671B025">
            <w:pPr>
              <w:shd w:val="clea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其他成员</w:t>
            </w:r>
          </w:p>
        </w:tc>
        <w:tc>
          <w:tcPr>
            <w:tcW w:w="811" w:type="dxa"/>
            <w:vAlign w:val="center"/>
          </w:tcPr>
          <w:p w14:paraId="5576FA7E">
            <w:pPr>
              <w:shd w:val="clear"/>
              <w:jc w:val="center"/>
              <w:rPr>
                <w:rFonts w:ascii="仿宋" w:hAnsi="仿宋" w:eastAsia="仿宋" w:cs="仿宋"/>
                <w:color w:val="auto"/>
                <w:sz w:val="24"/>
                <w:szCs w:val="20"/>
                <w:highlight w:val="none"/>
                <w:lang w:bidi="ar"/>
              </w:rPr>
            </w:pPr>
          </w:p>
        </w:tc>
        <w:tc>
          <w:tcPr>
            <w:tcW w:w="991" w:type="dxa"/>
            <w:vAlign w:val="center"/>
          </w:tcPr>
          <w:p w14:paraId="7C54BF21">
            <w:pPr>
              <w:shd w:val="clear"/>
              <w:jc w:val="center"/>
              <w:rPr>
                <w:rFonts w:ascii="仿宋" w:hAnsi="仿宋" w:eastAsia="仿宋" w:cs="仿宋"/>
                <w:color w:val="auto"/>
                <w:sz w:val="24"/>
                <w:szCs w:val="20"/>
                <w:highlight w:val="none"/>
                <w:lang w:bidi="ar"/>
              </w:rPr>
            </w:pPr>
          </w:p>
        </w:tc>
        <w:tc>
          <w:tcPr>
            <w:tcW w:w="736" w:type="dxa"/>
            <w:vAlign w:val="center"/>
          </w:tcPr>
          <w:p w14:paraId="5BFF64EE">
            <w:pPr>
              <w:shd w:val="clear"/>
              <w:jc w:val="center"/>
              <w:rPr>
                <w:rFonts w:ascii="仿宋" w:hAnsi="仿宋" w:eastAsia="仿宋" w:cs="仿宋"/>
                <w:color w:val="auto"/>
                <w:sz w:val="24"/>
                <w:szCs w:val="20"/>
                <w:highlight w:val="none"/>
                <w:lang w:bidi="ar"/>
              </w:rPr>
            </w:pPr>
          </w:p>
        </w:tc>
        <w:tc>
          <w:tcPr>
            <w:tcW w:w="961" w:type="dxa"/>
            <w:vAlign w:val="center"/>
          </w:tcPr>
          <w:p w14:paraId="474E5378">
            <w:pPr>
              <w:shd w:val="clear"/>
              <w:jc w:val="center"/>
              <w:rPr>
                <w:rFonts w:ascii="仿宋" w:hAnsi="仿宋" w:eastAsia="仿宋" w:cs="仿宋"/>
                <w:color w:val="auto"/>
                <w:sz w:val="24"/>
                <w:szCs w:val="20"/>
                <w:highlight w:val="none"/>
                <w:lang w:bidi="ar"/>
              </w:rPr>
            </w:pPr>
          </w:p>
        </w:tc>
        <w:tc>
          <w:tcPr>
            <w:tcW w:w="1232" w:type="dxa"/>
          </w:tcPr>
          <w:p w14:paraId="7DF60ADC">
            <w:pPr>
              <w:shd w:val="clear"/>
              <w:jc w:val="center"/>
              <w:rPr>
                <w:rFonts w:ascii="仿宋" w:hAnsi="仿宋" w:eastAsia="仿宋" w:cs="仿宋"/>
                <w:color w:val="auto"/>
                <w:sz w:val="24"/>
                <w:szCs w:val="20"/>
                <w:highlight w:val="none"/>
                <w:lang w:bidi="ar"/>
              </w:rPr>
            </w:pPr>
          </w:p>
        </w:tc>
        <w:tc>
          <w:tcPr>
            <w:tcW w:w="744" w:type="dxa"/>
            <w:vAlign w:val="center"/>
          </w:tcPr>
          <w:p w14:paraId="2333E023">
            <w:pPr>
              <w:shd w:val="clear"/>
              <w:jc w:val="center"/>
              <w:rPr>
                <w:rFonts w:ascii="仿宋" w:hAnsi="仿宋" w:eastAsia="仿宋" w:cs="仿宋"/>
                <w:color w:val="auto"/>
                <w:sz w:val="24"/>
                <w:szCs w:val="20"/>
                <w:highlight w:val="none"/>
                <w:lang w:bidi="ar"/>
              </w:rPr>
            </w:pPr>
          </w:p>
        </w:tc>
        <w:tc>
          <w:tcPr>
            <w:tcW w:w="1000" w:type="dxa"/>
            <w:vAlign w:val="center"/>
          </w:tcPr>
          <w:p w14:paraId="7ECB2A15">
            <w:pPr>
              <w:shd w:val="clear"/>
              <w:jc w:val="center"/>
              <w:rPr>
                <w:rFonts w:ascii="仿宋" w:hAnsi="仿宋" w:eastAsia="仿宋" w:cs="仿宋"/>
                <w:color w:val="auto"/>
                <w:sz w:val="24"/>
                <w:szCs w:val="20"/>
                <w:highlight w:val="none"/>
                <w:lang w:bidi="ar"/>
              </w:rPr>
            </w:pPr>
          </w:p>
        </w:tc>
        <w:tc>
          <w:tcPr>
            <w:tcW w:w="899" w:type="dxa"/>
            <w:vAlign w:val="center"/>
          </w:tcPr>
          <w:p w14:paraId="03BC90A0">
            <w:pPr>
              <w:shd w:val="clear"/>
              <w:jc w:val="center"/>
              <w:rPr>
                <w:rFonts w:ascii="仿宋" w:hAnsi="仿宋" w:eastAsia="仿宋" w:cs="仿宋"/>
                <w:color w:val="auto"/>
                <w:sz w:val="24"/>
                <w:szCs w:val="20"/>
                <w:highlight w:val="none"/>
                <w:lang w:bidi="ar"/>
              </w:rPr>
            </w:pPr>
          </w:p>
        </w:tc>
      </w:tr>
      <w:tr w14:paraId="46F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299AA603">
            <w:pPr>
              <w:shd w:val="clear"/>
              <w:rPr>
                <w:rFonts w:ascii="仿宋" w:hAnsi="仿宋" w:eastAsia="仿宋" w:cs="仿宋"/>
                <w:color w:val="auto"/>
                <w:sz w:val="24"/>
                <w:szCs w:val="20"/>
                <w:highlight w:val="none"/>
                <w:lang w:bidi="ar"/>
              </w:rPr>
            </w:pPr>
          </w:p>
        </w:tc>
        <w:tc>
          <w:tcPr>
            <w:tcW w:w="811" w:type="dxa"/>
            <w:vAlign w:val="center"/>
          </w:tcPr>
          <w:p w14:paraId="2ED6A2D6">
            <w:pPr>
              <w:shd w:val="clear"/>
              <w:jc w:val="center"/>
              <w:rPr>
                <w:rFonts w:ascii="仿宋" w:hAnsi="仿宋" w:eastAsia="仿宋" w:cs="仿宋"/>
                <w:color w:val="auto"/>
                <w:sz w:val="24"/>
                <w:szCs w:val="20"/>
                <w:highlight w:val="none"/>
                <w:lang w:bidi="ar"/>
              </w:rPr>
            </w:pPr>
          </w:p>
        </w:tc>
        <w:tc>
          <w:tcPr>
            <w:tcW w:w="991" w:type="dxa"/>
            <w:vAlign w:val="center"/>
          </w:tcPr>
          <w:p w14:paraId="6B619C13">
            <w:pPr>
              <w:shd w:val="clear"/>
              <w:jc w:val="center"/>
              <w:rPr>
                <w:rFonts w:ascii="仿宋" w:hAnsi="仿宋" w:eastAsia="仿宋" w:cs="仿宋"/>
                <w:color w:val="auto"/>
                <w:sz w:val="24"/>
                <w:szCs w:val="20"/>
                <w:highlight w:val="none"/>
                <w:lang w:bidi="ar"/>
              </w:rPr>
            </w:pPr>
          </w:p>
        </w:tc>
        <w:tc>
          <w:tcPr>
            <w:tcW w:w="736" w:type="dxa"/>
            <w:vAlign w:val="center"/>
          </w:tcPr>
          <w:p w14:paraId="1E824876">
            <w:pPr>
              <w:shd w:val="clear"/>
              <w:jc w:val="center"/>
              <w:rPr>
                <w:rFonts w:ascii="仿宋" w:hAnsi="仿宋" w:eastAsia="仿宋" w:cs="仿宋"/>
                <w:color w:val="auto"/>
                <w:sz w:val="24"/>
                <w:szCs w:val="20"/>
                <w:highlight w:val="none"/>
                <w:lang w:bidi="ar"/>
              </w:rPr>
            </w:pPr>
          </w:p>
        </w:tc>
        <w:tc>
          <w:tcPr>
            <w:tcW w:w="961" w:type="dxa"/>
            <w:vAlign w:val="center"/>
          </w:tcPr>
          <w:p w14:paraId="12F46606">
            <w:pPr>
              <w:shd w:val="clear"/>
              <w:jc w:val="center"/>
              <w:rPr>
                <w:rFonts w:ascii="仿宋" w:hAnsi="仿宋" w:eastAsia="仿宋" w:cs="仿宋"/>
                <w:color w:val="auto"/>
                <w:sz w:val="24"/>
                <w:szCs w:val="20"/>
                <w:highlight w:val="none"/>
                <w:lang w:bidi="ar"/>
              </w:rPr>
            </w:pPr>
          </w:p>
        </w:tc>
        <w:tc>
          <w:tcPr>
            <w:tcW w:w="1232" w:type="dxa"/>
          </w:tcPr>
          <w:p w14:paraId="2123D978">
            <w:pPr>
              <w:shd w:val="clear"/>
              <w:jc w:val="center"/>
              <w:rPr>
                <w:rFonts w:ascii="仿宋" w:hAnsi="仿宋" w:eastAsia="仿宋" w:cs="仿宋"/>
                <w:color w:val="auto"/>
                <w:sz w:val="24"/>
                <w:szCs w:val="20"/>
                <w:highlight w:val="none"/>
                <w:lang w:bidi="ar"/>
              </w:rPr>
            </w:pPr>
          </w:p>
        </w:tc>
        <w:tc>
          <w:tcPr>
            <w:tcW w:w="744" w:type="dxa"/>
            <w:vAlign w:val="center"/>
          </w:tcPr>
          <w:p w14:paraId="656B8013">
            <w:pPr>
              <w:shd w:val="clear"/>
              <w:jc w:val="center"/>
              <w:rPr>
                <w:rFonts w:ascii="仿宋" w:hAnsi="仿宋" w:eastAsia="仿宋" w:cs="仿宋"/>
                <w:color w:val="auto"/>
                <w:sz w:val="24"/>
                <w:szCs w:val="20"/>
                <w:highlight w:val="none"/>
                <w:lang w:bidi="ar"/>
              </w:rPr>
            </w:pPr>
          </w:p>
        </w:tc>
        <w:tc>
          <w:tcPr>
            <w:tcW w:w="1000" w:type="dxa"/>
            <w:vAlign w:val="center"/>
          </w:tcPr>
          <w:p w14:paraId="120D0438">
            <w:pPr>
              <w:shd w:val="clear"/>
              <w:jc w:val="center"/>
              <w:rPr>
                <w:rFonts w:ascii="仿宋" w:hAnsi="仿宋" w:eastAsia="仿宋" w:cs="仿宋"/>
                <w:color w:val="auto"/>
                <w:sz w:val="24"/>
                <w:szCs w:val="20"/>
                <w:highlight w:val="none"/>
                <w:lang w:bidi="ar"/>
              </w:rPr>
            </w:pPr>
          </w:p>
        </w:tc>
        <w:tc>
          <w:tcPr>
            <w:tcW w:w="899" w:type="dxa"/>
            <w:vAlign w:val="center"/>
          </w:tcPr>
          <w:p w14:paraId="3D7A38E6">
            <w:pPr>
              <w:shd w:val="clear"/>
              <w:jc w:val="center"/>
              <w:rPr>
                <w:rFonts w:ascii="仿宋" w:hAnsi="仿宋" w:eastAsia="仿宋" w:cs="仿宋"/>
                <w:color w:val="auto"/>
                <w:sz w:val="24"/>
                <w:szCs w:val="20"/>
                <w:highlight w:val="none"/>
                <w:lang w:bidi="ar"/>
              </w:rPr>
            </w:pPr>
          </w:p>
        </w:tc>
      </w:tr>
      <w:tr w14:paraId="591E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5BD598D4">
            <w:pPr>
              <w:shd w:val="clear"/>
              <w:jc w:val="center"/>
              <w:rPr>
                <w:rFonts w:ascii="仿宋" w:hAnsi="仿宋" w:eastAsia="仿宋" w:cs="仿宋"/>
                <w:color w:val="auto"/>
                <w:sz w:val="24"/>
                <w:szCs w:val="20"/>
                <w:highlight w:val="none"/>
                <w:lang w:bidi="ar"/>
              </w:rPr>
            </w:pPr>
          </w:p>
        </w:tc>
        <w:tc>
          <w:tcPr>
            <w:tcW w:w="811" w:type="dxa"/>
            <w:vAlign w:val="center"/>
          </w:tcPr>
          <w:p w14:paraId="3F30EDD5">
            <w:pPr>
              <w:shd w:val="clear"/>
              <w:jc w:val="center"/>
              <w:rPr>
                <w:rFonts w:ascii="仿宋" w:hAnsi="仿宋" w:eastAsia="仿宋" w:cs="仿宋"/>
                <w:color w:val="auto"/>
                <w:sz w:val="24"/>
                <w:szCs w:val="20"/>
                <w:highlight w:val="none"/>
                <w:lang w:bidi="ar"/>
              </w:rPr>
            </w:pPr>
          </w:p>
        </w:tc>
        <w:tc>
          <w:tcPr>
            <w:tcW w:w="991" w:type="dxa"/>
            <w:vAlign w:val="center"/>
          </w:tcPr>
          <w:p w14:paraId="30FBBCCB">
            <w:pPr>
              <w:shd w:val="clear"/>
              <w:jc w:val="center"/>
              <w:rPr>
                <w:rFonts w:ascii="仿宋" w:hAnsi="仿宋" w:eastAsia="仿宋" w:cs="仿宋"/>
                <w:color w:val="auto"/>
                <w:sz w:val="24"/>
                <w:szCs w:val="20"/>
                <w:highlight w:val="none"/>
                <w:lang w:bidi="ar"/>
              </w:rPr>
            </w:pPr>
          </w:p>
        </w:tc>
        <w:tc>
          <w:tcPr>
            <w:tcW w:w="736" w:type="dxa"/>
            <w:vAlign w:val="center"/>
          </w:tcPr>
          <w:p w14:paraId="5C99E39C">
            <w:pPr>
              <w:shd w:val="clear"/>
              <w:jc w:val="center"/>
              <w:rPr>
                <w:rFonts w:ascii="仿宋" w:hAnsi="仿宋" w:eastAsia="仿宋" w:cs="仿宋"/>
                <w:color w:val="auto"/>
                <w:sz w:val="24"/>
                <w:szCs w:val="20"/>
                <w:highlight w:val="none"/>
                <w:lang w:bidi="ar"/>
              </w:rPr>
            </w:pPr>
          </w:p>
        </w:tc>
        <w:tc>
          <w:tcPr>
            <w:tcW w:w="961" w:type="dxa"/>
            <w:vAlign w:val="center"/>
          </w:tcPr>
          <w:p w14:paraId="2B99A985">
            <w:pPr>
              <w:shd w:val="clear"/>
              <w:jc w:val="center"/>
              <w:rPr>
                <w:rFonts w:ascii="仿宋" w:hAnsi="仿宋" w:eastAsia="仿宋" w:cs="仿宋"/>
                <w:color w:val="auto"/>
                <w:sz w:val="24"/>
                <w:szCs w:val="20"/>
                <w:highlight w:val="none"/>
                <w:lang w:bidi="ar"/>
              </w:rPr>
            </w:pPr>
          </w:p>
        </w:tc>
        <w:tc>
          <w:tcPr>
            <w:tcW w:w="1232" w:type="dxa"/>
          </w:tcPr>
          <w:p w14:paraId="5D0E6CD1">
            <w:pPr>
              <w:shd w:val="clear"/>
              <w:jc w:val="center"/>
              <w:rPr>
                <w:rFonts w:ascii="仿宋" w:hAnsi="仿宋" w:eastAsia="仿宋" w:cs="仿宋"/>
                <w:color w:val="auto"/>
                <w:sz w:val="24"/>
                <w:szCs w:val="20"/>
                <w:highlight w:val="none"/>
                <w:lang w:bidi="ar"/>
              </w:rPr>
            </w:pPr>
          </w:p>
        </w:tc>
        <w:tc>
          <w:tcPr>
            <w:tcW w:w="744" w:type="dxa"/>
            <w:vAlign w:val="center"/>
          </w:tcPr>
          <w:p w14:paraId="0C34AEAF">
            <w:pPr>
              <w:shd w:val="clear"/>
              <w:jc w:val="center"/>
              <w:rPr>
                <w:rFonts w:ascii="仿宋" w:hAnsi="仿宋" w:eastAsia="仿宋" w:cs="仿宋"/>
                <w:color w:val="auto"/>
                <w:sz w:val="24"/>
                <w:szCs w:val="20"/>
                <w:highlight w:val="none"/>
                <w:lang w:bidi="ar"/>
              </w:rPr>
            </w:pPr>
          </w:p>
        </w:tc>
        <w:tc>
          <w:tcPr>
            <w:tcW w:w="1000" w:type="dxa"/>
            <w:vAlign w:val="center"/>
          </w:tcPr>
          <w:p w14:paraId="3FBF8951">
            <w:pPr>
              <w:shd w:val="clear"/>
              <w:jc w:val="center"/>
              <w:rPr>
                <w:rFonts w:ascii="仿宋" w:hAnsi="仿宋" w:eastAsia="仿宋" w:cs="仿宋"/>
                <w:color w:val="auto"/>
                <w:sz w:val="24"/>
                <w:szCs w:val="20"/>
                <w:highlight w:val="none"/>
                <w:lang w:bidi="ar"/>
              </w:rPr>
            </w:pPr>
          </w:p>
        </w:tc>
        <w:tc>
          <w:tcPr>
            <w:tcW w:w="899" w:type="dxa"/>
            <w:vAlign w:val="center"/>
          </w:tcPr>
          <w:p w14:paraId="6F9F826C">
            <w:pPr>
              <w:shd w:val="clear"/>
              <w:jc w:val="center"/>
              <w:rPr>
                <w:rFonts w:ascii="仿宋" w:hAnsi="仿宋" w:eastAsia="仿宋" w:cs="仿宋"/>
                <w:color w:val="auto"/>
                <w:sz w:val="24"/>
                <w:szCs w:val="20"/>
                <w:highlight w:val="none"/>
                <w:lang w:bidi="ar"/>
              </w:rPr>
            </w:pPr>
          </w:p>
        </w:tc>
      </w:tr>
      <w:tr w14:paraId="76B3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Merge w:val="continue"/>
            <w:vAlign w:val="center"/>
          </w:tcPr>
          <w:p w14:paraId="603CFD66">
            <w:pPr>
              <w:shd w:val="clear"/>
              <w:jc w:val="center"/>
              <w:rPr>
                <w:rFonts w:ascii="仿宋" w:hAnsi="仿宋" w:eastAsia="仿宋" w:cs="仿宋"/>
                <w:color w:val="auto"/>
                <w:sz w:val="24"/>
                <w:szCs w:val="20"/>
                <w:highlight w:val="none"/>
                <w:lang w:bidi="ar"/>
              </w:rPr>
            </w:pPr>
          </w:p>
        </w:tc>
        <w:tc>
          <w:tcPr>
            <w:tcW w:w="811" w:type="dxa"/>
            <w:vAlign w:val="center"/>
          </w:tcPr>
          <w:p w14:paraId="593E6060">
            <w:pPr>
              <w:shd w:val="clear"/>
              <w:jc w:val="center"/>
              <w:rPr>
                <w:rFonts w:ascii="仿宋" w:hAnsi="仿宋" w:eastAsia="仿宋" w:cs="仿宋"/>
                <w:color w:val="auto"/>
                <w:sz w:val="24"/>
                <w:szCs w:val="20"/>
                <w:highlight w:val="none"/>
                <w:lang w:bidi="ar"/>
              </w:rPr>
            </w:pPr>
          </w:p>
        </w:tc>
        <w:tc>
          <w:tcPr>
            <w:tcW w:w="991" w:type="dxa"/>
            <w:vAlign w:val="center"/>
          </w:tcPr>
          <w:p w14:paraId="3CBE6B1C">
            <w:pPr>
              <w:shd w:val="clear"/>
              <w:jc w:val="center"/>
              <w:rPr>
                <w:rFonts w:ascii="仿宋" w:hAnsi="仿宋" w:eastAsia="仿宋" w:cs="仿宋"/>
                <w:color w:val="auto"/>
                <w:sz w:val="24"/>
                <w:szCs w:val="20"/>
                <w:highlight w:val="none"/>
                <w:lang w:bidi="ar"/>
              </w:rPr>
            </w:pPr>
          </w:p>
        </w:tc>
        <w:tc>
          <w:tcPr>
            <w:tcW w:w="736" w:type="dxa"/>
            <w:vAlign w:val="center"/>
          </w:tcPr>
          <w:p w14:paraId="74F252C8">
            <w:pPr>
              <w:shd w:val="clear"/>
              <w:jc w:val="center"/>
              <w:rPr>
                <w:rFonts w:ascii="仿宋" w:hAnsi="仿宋" w:eastAsia="仿宋" w:cs="仿宋"/>
                <w:color w:val="auto"/>
                <w:sz w:val="24"/>
                <w:szCs w:val="20"/>
                <w:highlight w:val="none"/>
                <w:lang w:bidi="ar"/>
              </w:rPr>
            </w:pPr>
          </w:p>
        </w:tc>
        <w:tc>
          <w:tcPr>
            <w:tcW w:w="961" w:type="dxa"/>
            <w:vAlign w:val="center"/>
          </w:tcPr>
          <w:p w14:paraId="54C57608">
            <w:pPr>
              <w:shd w:val="clear"/>
              <w:jc w:val="center"/>
              <w:rPr>
                <w:rFonts w:ascii="仿宋" w:hAnsi="仿宋" w:eastAsia="仿宋" w:cs="仿宋"/>
                <w:color w:val="auto"/>
                <w:sz w:val="24"/>
                <w:szCs w:val="20"/>
                <w:highlight w:val="none"/>
                <w:lang w:bidi="ar"/>
              </w:rPr>
            </w:pPr>
          </w:p>
        </w:tc>
        <w:tc>
          <w:tcPr>
            <w:tcW w:w="1232" w:type="dxa"/>
          </w:tcPr>
          <w:p w14:paraId="403E85B1">
            <w:pPr>
              <w:shd w:val="clear"/>
              <w:jc w:val="center"/>
              <w:rPr>
                <w:rFonts w:ascii="仿宋" w:hAnsi="仿宋" w:eastAsia="仿宋" w:cs="仿宋"/>
                <w:color w:val="auto"/>
                <w:sz w:val="24"/>
                <w:szCs w:val="20"/>
                <w:highlight w:val="none"/>
                <w:lang w:bidi="ar"/>
              </w:rPr>
            </w:pPr>
          </w:p>
        </w:tc>
        <w:tc>
          <w:tcPr>
            <w:tcW w:w="744" w:type="dxa"/>
            <w:vAlign w:val="center"/>
          </w:tcPr>
          <w:p w14:paraId="45E7D056">
            <w:pPr>
              <w:shd w:val="clear"/>
              <w:jc w:val="center"/>
              <w:rPr>
                <w:rFonts w:ascii="仿宋" w:hAnsi="仿宋" w:eastAsia="仿宋" w:cs="仿宋"/>
                <w:color w:val="auto"/>
                <w:sz w:val="24"/>
                <w:szCs w:val="20"/>
                <w:highlight w:val="none"/>
                <w:lang w:bidi="ar"/>
              </w:rPr>
            </w:pPr>
          </w:p>
        </w:tc>
        <w:tc>
          <w:tcPr>
            <w:tcW w:w="1000" w:type="dxa"/>
            <w:vAlign w:val="center"/>
          </w:tcPr>
          <w:p w14:paraId="1A881BD5">
            <w:pPr>
              <w:shd w:val="clear"/>
              <w:jc w:val="center"/>
              <w:rPr>
                <w:rFonts w:ascii="仿宋" w:hAnsi="仿宋" w:eastAsia="仿宋" w:cs="仿宋"/>
                <w:color w:val="auto"/>
                <w:sz w:val="24"/>
                <w:szCs w:val="20"/>
                <w:highlight w:val="none"/>
                <w:lang w:bidi="ar"/>
              </w:rPr>
            </w:pPr>
          </w:p>
        </w:tc>
        <w:tc>
          <w:tcPr>
            <w:tcW w:w="899" w:type="dxa"/>
            <w:vAlign w:val="center"/>
          </w:tcPr>
          <w:p w14:paraId="0312C9D8">
            <w:pPr>
              <w:shd w:val="clear"/>
              <w:jc w:val="center"/>
              <w:rPr>
                <w:rFonts w:ascii="仿宋" w:hAnsi="仿宋" w:eastAsia="仿宋" w:cs="仿宋"/>
                <w:color w:val="auto"/>
                <w:sz w:val="24"/>
                <w:szCs w:val="20"/>
                <w:highlight w:val="none"/>
                <w:lang w:bidi="ar"/>
              </w:rPr>
            </w:pPr>
          </w:p>
        </w:tc>
      </w:tr>
      <w:tr w14:paraId="749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Merge w:val="continue"/>
            <w:vAlign w:val="center"/>
          </w:tcPr>
          <w:p w14:paraId="7C4B4D8F">
            <w:pPr>
              <w:shd w:val="clear"/>
              <w:jc w:val="center"/>
              <w:rPr>
                <w:rFonts w:ascii="仿宋" w:hAnsi="仿宋" w:eastAsia="仿宋" w:cs="仿宋"/>
                <w:color w:val="auto"/>
                <w:sz w:val="24"/>
                <w:szCs w:val="20"/>
                <w:highlight w:val="none"/>
                <w:lang w:bidi="ar"/>
              </w:rPr>
            </w:pPr>
          </w:p>
        </w:tc>
        <w:tc>
          <w:tcPr>
            <w:tcW w:w="811" w:type="dxa"/>
            <w:vAlign w:val="center"/>
          </w:tcPr>
          <w:p w14:paraId="3F462CA3">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991" w:type="dxa"/>
            <w:vAlign w:val="center"/>
          </w:tcPr>
          <w:p w14:paraId="5DB82E36">
            <w:pPr>
              <w:shd w:val="clear"/>
              <w:jc w:val="center"/>
              <w:rPr>
                <w:rFonts w:ascii="仿宋" w:hAnsi="仿宋" w:eastAsia="仿宋" w:cs="仿宋"/>
                <w:color w:val="auto"/>
                <w:sz w:val="24"/>
                <w:szCs w:val="20"/>
                <w:highlight w:val="none"/>
                <w:lang w:bidi="ar"/>
              </w:rPr>
            </w:pPr>
          </w:p>
        </w:tc>
        <w:tc>
          <w:tcPr>
            <w:tcW w:w="736" w:type="dxa"/>
            <w:vAlign w:val="center"/>
          </w:tcPr>
          <w:p w14:paraId="5904CF69">
            <w:pPr>
              <w:shd w:val="clear"/>
              <w:jc w:val="center"/>
              <w:rPr>
                <w:rFonts w:ascii="仿宋" w:hAnsi="仿宋" w:eastAsia="仿宋" w:cs="仿宋"/>
                <w:color w:val="auto"/>
                <w:sz w:val="24"/>
                <w:szCs w:val="20"/>
                <w:highlight w:val="none"/>
                <w:lang w:bidi="ar"/>
              </w:rPr>
            </w:pPr>
          </w:p>
        </w:tc>
        <w:tc>
          <w:tcPr>
            <w:tcW w:w="961" w:type="dxa"/>
            <w:vAlign w:val="center"/>
          </w:tcPr>
          <w:p w14:paraId="4E191705">
            <w:pPr>
              <w:shd w:val="clear"/>
              <w:jc w:val="center"/>
              <w:rPr>
                <w:rFonts w:ascii="仿宋" w:hAnsi="仿宋" w:eastAsia="仿宋" w:cs="仿宋"/>
                <w:color w:val="auto"/>
                <w:sz w:val="24"/>
                <w:szCs w:val="20"/>
                <w:highlight w:val="none"/>
                <w:lang w:bidi="ar"/>
              </w:rPr>
            </w:pPr>
          </w:p>
        </w:tc>
        <w:tc>
          <w:tcPr>
            <w:tcW w:w="1232" w:type="dxa"/>
          </w:tcPr>
          <w:p w14:paraId="179F2371">
            <w:pPr>
              <w:shd w:val="clear"/>
              <w:jc w:val="center"/>
              <w:rPr>
                <w:rFonts w:ascii="仿宋" w:hAnsi="仿宋" w:eastAsia="仿宋" w:cs="仿宋"/>
                <w:color w:val="auto"/>
                <w:sz w:val="24"/>
                <w:szCs w:val="20"/>
                <w:highlight w:val="none"/>
                <w:lang w:bidi="ar"/>
              </w:rPr>
            </w:pPr>
          </w:p>
        </w:tc>
        <w:tc>
          <w:tcPr>
            <w:tcW w:w="744" w:type="dxa"/>
            <w:vAlign w:val="center"/>
          </w:tcPr>
          <w:p w14:paraId="654C1E03">
            <w:pPr>
              <w:shd w:val="clear"/>
              <w:jc w:val="center"/>
              <w:rPr>
                <w:rFonts w:ascii="仿宋" w:hAnsi="仿宋" w:eastAsia="仿宋" w:cs="仿宋"/>
                <w:color w:val="auto"/>
                <w:sz w:val="24"/>
                <w:szCs w:val="20"/>
                <w:highlight w:val="none"/>
                <w:lang w:bidi="ar"/>
              </w:rPr>
            </w:pPr>
          </w:p>
        </w:tc>
        <w:tc>
          <w:tcPr>
            <w:tcW w:w="1000" w:type="dxa"/>
            <w:vAlign w:val="center"/>
          </w:tcPr>
          <w:p w14:paraId="5DEBFF50">
            <w:pPr>
              <w:shd w:val="clear"/>
              <w:jc w:val="center"/>
              <w:rPr>
                <w:rFonts w:ascii="仿宋" w:hAnsi="仿宋" w:eastAsia="仿宋" w:cs="仿宋"/>
                <w:color w:val="auto"/>
                <w:sz w:val="24"/>
                <w:szCs w:val="20"/>
                <w:highlight w:val="none"/>
                <w:lang w:bidi="ar"/>
              </w:rPr>
            </w:pPr>
          </w:p>
        </w:tc>
        <w:tc>
          <w:tcPr>
            <w:tcW w:w="899" w:type="dxa"/>
            <w:vAlign w:val="center"/>
          </w:tcPr>
          <w:p w14:paraId="2DB49EF4">
            <w:pPr>
              <w:shd w:val="clear"/>
              <w:jc w:val="center"/>
              <w:rPr>
                <w:rFonts w:ascii="仿宋" w:hAnsi="仿宋" w:eastAsia="仿宋" w:cs="仿宋"/>
                <w:color w:val="auto"/>
                <w:sz w:val="24"/>
                <w:szCs w:val="20"/>
                <w:highlight w:val="none"/>
                <w:lang w:bidi="ar"/>
              </w:rPr>
            </w:pPr>
          </w:p>
        </w:tc>
      </w:tr>
    </w:tbl>
    <w:p w14:paraId="0FFC9C20">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33ED842A">
      <w:pPr>
        <w:shd w:val="clear"/>
        <w:spacing w:line="579" w:lineRule="exact"/>
        <w:ind w:firstLine="480" w:firstLineChars="200"/>
        <w:rPr>
          <w:rFonts w:ascii="仿宋" w:hAnsi="仿宋" w:eastAsia="仿宋" w:cs="仿宋"/>
          <w:color w:val="auto"/>
          <w:sz w:val="24"/>
          <w:szCs w:val="32"/>
          <w:highlight w:val="none"/>
          <w:lang w:eastAsia="zh-CN"/>
        </w:rPr>
      </w:pPr>
    </w:p>
    <w:p w14:paraId="2C0C6F6C">
      <w:pPr>
        <w:shd w:val="clear"/>
        <w:spacing w:line="579" w:lineRule="exact"/>
        <w:ind w:firstLine="480" w:firstLineChars="200"/>
        <w:rPr>
          <w:rFonts w:ascii="仿宋" w:hAnsi="仿宋" w:eastAsia="仿宋" w:cs="仿宋"/>
          <w:color w:val="auto"/>
          <w:sz w:val="24"/>
          <w:szCs w:val="32"/>
          <w:highlight w:val="none"/>
          <w:lang w:eastAsia="zh-CN"/>
        </w:rPr>
      </w:pPr>
    </w:p>
    <w:p w14:paraId="5E19C620">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DDCE738">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204BDB5">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0E6E9E5">
      <w:pPr>
        <w:shd w:val="clear"/>
        <w:spacing w:line="579" w:lineRule="exact"/>
        <w:ind w:firstLine="480" w:firstLineChars="200"/>
        <w:rPr>
          <w:rFonts w:hint="eastAsia" w:ascii="仿宋" w:hAnsi="仿宋" w:eastAsia="仿宋" w:cs="仿宋"/>
          <w:color w:val="auto"/>
          <w:sz w:val="24"/>
          <w:szCs w:val="32"/>
          <w:highlight w:val="none"/>
          <w:lang w:eastAsia="zh-CN"/>
        </w:rPr>
      </w:pPr>
    </w:p>
    <w:p w14:paraId="0D6993E7">
      <w:pPr>
        <w:shd w:val="clear"/>
        <w:spacing w:line="579" w:lineRule="exact"/>
        <w:ind w:firstLine="480" w:firstLineChars="200"/>
        <w:rPr>
          <w:rFonts w:hint="eastAsia" w:ascii="仿宋" w:hAnsi="仿宋" w:eastAsia="仿宋" w:cs="仿宋"/>
          <w:color w:val="auto"/>
          <w:sz w:val="24"/>
          <w:szCs w:val="32"/>
          <w:highlight w:val="none"/>
          <w:lang w:eastAsia="zh-CN"/>
        </w:rPr>
      </w:pPr>
    </w:p>
    <w:p w14:paraId="51011D69">
      <w:pPr>
        <w:shd w:val="clear"/>
        <w:spacing w:line="579" w:lineRule="exact"/>
        <w:ind w:firstLine="480" w:firstLineChars="200"/>
        <w:rPr>
          <w:rFonts w:hint="eastAsia" w:ascii="仿宋" w:hAnsi="仿宋" w:eastAsia="仿宋" w:cs="仿宋"/>
          <w:color w:val="auto"/>
          <w:sz w:val="24"/>
          <w:szCs w:val="32"/>
          <w:highlight w:val="none"/>
          <w:lang w:eastAsia="zh-CN"/>
        </w:rPr>
      </w:pPr>
    </w:p>
    <w:p w14:paraId="2D933D05">
      <w:pPr>
        <w:shd w:val="clear"/>
        <w:rPr>
          <w:rFonts w:hint="eastAsia"/>
          <w:color w:val="auto"/>
          <w:highlight w:val="none"/>
          <w:lang w:eastAsia="zh-CN"/>
        </w:rPr>
      </w:pPr>
    </w:p>
    <w:p w14:paraId="692A4490">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6BEB27B9">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2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7B6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6EBC9D73">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424DDFF6">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3B7DA3F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22AC7D8A">
            <w:pPr>
              <w:shd w:val="clear"/>
              <w:snapToGrid w:val="0"/>
              <w:spacing w:line="480" w:lineRule="exact"/>
              <w:jc w:val="center"/>
              <w:rPr>
                <w:rFonts w:ascii="仿宋" w:hAnsi="仿宋" w:eastAsia="仿宋" w:cs="仿宋"/>
                <w:color w:val="auto"/>
                <w:sz w:val="24"/>
                <w:szCs w:val="20"/>
                <w:highlight w:val="none"/>
                <w:lang w:bidi="ar"/>
              </w:rPr>
            </w:pPr>
          </w:p>
        </w:tc>
      </w:tr>
      <w:tr w14:paraId="351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1001419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54372E23">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56621EC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3E27109B">
            <w:pPr>
              <w:shd w:val="clear"/>
              <w:snapToGrid w:val="0"/>
              <w:spacing w:line="480" w:lineRule="exact"/>
              <w:jc w:val="center"/>
              <w:rPr>
                <w:rFonts w:ascii="仿宋" w:hAnsi="仿宋" w:eastAsia="仿宋" w:cs="仿宋"/>
                <w:color w:val="auto"/>
                <w:sz w:val="24"/>
                <w:szCs w:val="20"/>
                <w:highlight w:val="none"/>
                <w:lang w:bidi="ar"/>
              </w:rPr>
            </w:pPr>
          </w:p>
        </w:tc>
      </w:tr>
      <w:tr w14:paraId="656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4E9732B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1C0F2EE5">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2546DEDB">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4791EEA0">
            <w:pPr>
              <w:shd w:val="clear"/>
              <w:spacing w:line="480" w:lineRule="exact"/>
              <w:jc w:val="center"/>
              <w:rPr>
                <w:rFonts w:ascii="仿宋" w:hAnsi="仿宋" w:eastAsia="仿宋" w:cs="仿宋"/>
                <w:color w:val="auto"/>
                <w:sz w:val="24"/>
                <w:szCs w:val="20"/>
                <w:highlight w:val="none"/>
                <w:lang w:bidi="ar"/>
              </w:rPr>
            </w:pPr>
          </w:p>
        </w:tc>
      </w:tr>
      <w:tr w14:paraId="2051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66B0622A">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4ACCB4A3">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5242FCEF">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49C0DECE">
            <w:pPr>
              <w:shd w:val="clear"/>
              <w:spacing w:line="480" w:lineRule="exact"/>
              <w:jc w:val="center"/>
              <w:rPr>
                <w:rFonts w:ascii="仿宋" w:hAnsi="仿宋" w:eastAsia="仿宋" w:cs="仿宋"/>
                <w:color w:val="auto"/>
                <w:sz w:val="24"/>
                <w:szCs w:val="20"/>
                <w:highlight w:val="none"/>
                <w:lang w:bidi="ar"/>
              </w:rPr>
            </w:pPr>
          </w:p>
        </w:tc>
      </w:tr>
      <w:tr w14:paraId="2FF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5B7E8C0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14BECEC2">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61A53C16">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751C228E">
            <w:pPr>
              <w:shd w:val="clear"/>
              <w:spacing w:line="480" w:lineRule="exact"/>
              <w:jc w:val="center"/>
              <w:rPr>
                <w:rFonts w:ascii="仿宋" w:hAnsi="仿宋" w:eastAsia="仿宋" w:cs="仿宋"/>
                <w:color w:val="auto"/>
                <w:sz w:val="24"/>
                <w:szCs w:val="20"/>
                <w:highlight w:val="none"/>
                <w:lang w:bidi="ar"/>
              </w:rPr>
            </w:pPr>
          </w:p>
        </w:tc>
      </w:tr>
      <w:tr w14:paraId="0E9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0575828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1C75A64F">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4B7E8E0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3A09CB85">
            <w:pPr>
              <w:shd w:val="clear"/>
              <w:spacing w:line="480" w:lineRule="exact"/>
              <w:jc w:val="center"/>
              <w:rPr>
                <w:rFonts w:ascii="仿宋" w:hAnsi="仿宋" w:eastAsia="仿宋" w:cs="仿宋"/>
                <w:color w:val="auto"/>
                <w:sz w:val="24"/>
                <w:szCs w:val="20"/>
                <w:highlight w:val="none"/>
                <w:lang w:bidi="ar"/>
              </w:rPr>
            </w:pPr>
          </w:p>
        </w:tc>
      </w:tr>
      <w:tr w14:paraId="303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1DF55E31">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4D3B4993">
            <w:pPr>
              <w:pStyle w:val="25"/>
              <w:shd w:val="clear"/>
              <w:ind w:firstLine="0" w:firstLineChars="0"/>
              <w:rPr>
                <w:rFonts w:hint="eastAsia" w:ascii="仿宋" w:hAnsi="仿宋" w:eastAsia="仿宋" w:cs="仿宋"/>
                <w:color w:val="auto"/>
                <w:highlight w:val="none"/>
                <w:lang w:eastAsia="zh-CN"/>
              </w:rPr>
            </w:pPr>
          </w:p>
        </w:tc>
      </w:tr>
    </w:tbl>
    <w:p w14:paraId="72C0BDAC">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身份证复印件、身份证、学历证书、职称证、业绩证明材料（如有要求）、劳动合同等相关证明文件并加盖供应商公章</w:t>
      </w:r>
      <w:r>
        <w:rPr>
          <w:rFonts w:hint="eastAsia" w:ascii="仿宋" w:hAnsi="仿宋" w:eastAsia="仿宋" w:cs="仿宋"/>
          <w:bCs/>
          <w:color w:val="auto"/>
          <w:szCs w:val="21"/>
          <w:highlight w:val="none"/>
          <w:lang w:eastAsia="zh-CN" w:bidi="ar"/>
        </w:rPr>
        <w:t>；</w:t>
      </w:r>
    </w:p>
    <w:p w14:paraId="51F26916">
      <w:pPr>
        <w:shd w:val="clear"/>
        <w:spacing w:line="579" w:lineRule="exact"/>
        <w:ind w:firstLine="480" w:firstLineChars="200"/>
        <w:rPr>
          <w:rFonts w:ascii="仿宋" w:hAnsi="仿宋" w:eastAsia="仿宋" w:cs="仿宋"/>
          <w:color w:val="auto"/>
          <w:sz w:val="24"/>
          <w:szCs w:val="32"/>
          <w:highlight w:val="none"/>
          <w:lang w:eastAsia="zh-CN"/>
        </w:rPr>
      </w:pPr>
    </w:p>
    <w:p w14:paraId="397C844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9D78B96">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C815933">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784D899">
      <w:pPr>
        <w:shd w:val="clear"/>
        <w:ind w:firstLine="3132" w:firstLineChars="1300"/>
        <w:rPr>
          <w:rFonts w:ascii="仿宋" w:hAnsi="仿宋" w:eastAsia="仿宋" w:cs="仿宋"/>
          <w:b/>
          <w:color w:val="auto"/>
          <w:sz w:val="24"/>
          <w:highlight w:val="none"/>
          <w:lang w:eastAsia="zh-CN"/>
        </w:rPr>
      </w:pPr>
    </w:p>
    <w:p w14:paraId="6CC276FC">
      <w:pPr>
        <w:shd w:val="clear"/>
        <w:ind w:firstLine="3132" w:firstLineChars="1300"/>
        <w:rPr>
          <w:rFonts w:ascii="仿宋" w:hAnsi="仿宋" w:eastAsia="仿宋" w:cs="仿宋"/>
          <w:b/>
          <w:color w:val="auto"/>
          <w:sz w:val="24"/>
          <w:highlight w:val="none"/>
          <w:lang w:eastAsia="zh-CN"/>
        </w:rPr>
      </w:pPr>
    </w:p>
    <w:p w14:paraId="6C342E47">
      <w:pPr>
        <w:pStyle w:val="25"/>
        <w:shd w:val="clear"/>
        <w:rPr>
          <w:rFonts w:ascii="仿宋" w:hAnsi="仿宋" w:eastAsia="仿宋" w:cs="仿宋"/>
          <w:b/>
          <w:color w:val="auto"/>
          <w:sz w:val="24"/>
          <w:highlight w:val="none"/>
          <w:lang w:eastAsia="zh-CN"/>
        </w:rPr>
      </w:pPr>
    </w:p>
    <w:p w14:paraId="5703A5A9">
      <w:pPr>
        <w:shd w:val="clear"/>
        <w:rPr>
          <w:color w:val="auto"/>
          <w:highlight w:val="none"/>
          <w:lang w:eastAsia="zh-CN"/>
        </w:rPr>
      </w:pPr>
    </w:p>
    <w:p w14:paraId="73A0A4EA">
      <w:pPr>
        <w:shd w:val="clear"/>
        <w:rPr>
          <w:color w:val="auto"/>
          <w:highlight w:val="none"/>
          <w:lang w:eastAsia="zh-CN"/>
        </w:rPr>
      </w:pPr>
    </w:p>
    <w:p w14:paraId="10206AFA">
      <w:pPr>
        <w:shd w:val="clear"/>
        <w:rPr>
          <w:color w:val="auto"/>
          <w:highlight w:val="none"/>
          <w:lang w:eastAsia="zh-CN"/>
        </w:rPr>
      </w:pPr>
    </w:p>
    <w:p w14:paraId="434982FA">
      <w:pPr>
        <w:shd w:val="clear"/>
        <w:ind w:firstLine="3132" w:firstLineChars="1300"/>
        <w:rPr>
          <w:rFonts w:hint="eastAsia" w:ascii="仿宋" w:hAnsi="仿宋" w:eastAsia="仿宋" w:cs="仿宋"/>
          <w:b/>
          <w:color w:val="auto"/>
          <w:sz w:val="24"/>
          <w:highlight w:val="none"/>
          <w:lang w:eastAsia="zh-CN"/>
        </w:rPr>
      </w:pPr>
    </w:p>
    <w:p w14:paraId="27A170C9">
      <w:pPr>
        <w:shd w:val="clear"/>
        <w:ind w:firstLine="3132" w:firstLineChars="1300"/>
        <w:rPr>
          <w:rFonts w:ascii="仿宋" w:hAnsi="仿宋" w:eastAsia="仿宋" w:cs="仿宋"/>
          <w:color w:val="auto"/>
          <w:highlight w:val="none"/>
          <w:lang w:eastAsia="zh-CN"/>
        </w:rPr>
      </w:pPr>
      <w:r>
        <w:rPr>
          <w:rFonts w:hint="eastAsia" w:ascii="仿宋" w:hAnsi="仿宋" w:eastAsia="仿宋" w:cs="仿宋"/>
          <w:b/>
          <w:color w:val="auto"/>
          <w:sz w:val="24"/>
          <w:highlight w:val="none"/>
          <w:lang w:eastAsia="zh-CN"/>
        </w:rPr>
        <w:t>项目成员简历表</w:t>
      </w:r>
    </w:p>
    <w:p w14:paraId="1FDB9E50">
      <w:pPr>
        <w:shd w:val="clear"/>
        <w:spacing w:line="500" w:lineRule="exact"/>
        <w:jc w:val="center"/>
        <w:rPr>
          <w:rFonts w:ascii="仿宋" w:hAnsi="仿宋" w:eastAsia="仿宋" w:cs="仿宋"/>
          <w:b/>
          <w:bCs/>
          <w:color w:val="auto"/>
          <w:sz w:val="32"/>
          <w:szCs w:val="32"/>
          <w:highlight w:val="none"/>
          <w:lang w:eastAsia="zh-CN"/>
        </w:rPr>
      </w:pPr>
    </w:p>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6C9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51BB413F">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4" w:type="dxa"/>
            <w:vAlign w:val="center"/>
          </w:tcPr>
          <w:p w14:paraId="674730E7">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6466A6FD">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54" w:type="dxa"/>
            <w:vAlign w:val="center"/>
          </w:tcPr>
          <w:p w14:paraId="10E724D1">
            <w:pPr>
              <w:shd w:val="clear"/>
              <w:snapToGrid w:val="0"/>
              <w:spacing w:line="500" w:lineRule="exact"/>
              <w:jc w:val="center"/>
              <w:rPr>
                <w:rFonts w:ascii="仿宋" w:hAnsi="仿宋" w:eastAsia="仿宋" w:cs="仿宋"/>
                <w:color w:val="auto"/>
                <w:sz w:val="24"/>
                <w:szCs w:val="20"/>
                <w:highlight w:val="none"/>
                <w:lang w:bidi="ar"/>
              </w:rPr>
            </w:pPr>
          </w:p>
        </w:tc>
      </w:tr>
      <w:tr w14:paraId="32F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094FC978">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4" w:type="dxa"/>
            <w:vAlign w:val="center"/>
          </w:tcPr>
          <w:p w14:paraId="67B813AF">
            <w:pPr>
              <w:shd w:val="clear"/>
              <w:snapToGrid w:val="0"/>
              <w:spacing w:line="500" w:lineRule="exact"/>
              <w:jc w:val="center"/>
              <w:rPr>
                <w:rFonts w:ascii="仿宋" w:hAnsi="仿宋" w:eastAsia="仿宋" w:cs="仿宋"/>
                <w:color w:val="auto"/>
                <w:sz w:val="24"/>
                <w:szCs w:val="20"/>
                <w:highlight w:val="none"/>
                <w:lang w:bidi="ar"/>
              </w:rPr>
            </w:pPr>
          </w:p>
        </w:tc>
        <w:tc>
          <w:tcPr>
            <w:tcW w:w="2327" w:type="dxa"/>
            <w:vAlign w:val="center"/>
          </w:tcPr>
          <w:p w14:paraId="41CBA684">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54" w:type="dxa"/>
            <w:vAlign w:val="center"/>
          </w:tcPr>
          <w:p w14:paraId="57A9B49B">
            <w:pPr>
              <w:shd w:val="clear"/>
              <w:snapToGrid w:val="0"/>
              <w:spacing w:line="500" w:lineRule="exact"/>
              <w:jc w:val="center"/>
              <w:rPr>
                <w:rFonts w:ascii="仿宋" w:hAnsi="仿宋" w:eastAsia="仿宋" w:cs="仿宋"/>
                <w:color w:val="auto"/>
                <w:sz w:val="24"/>
                <w:szCs w:val="20"/>
                <w:highlight w:val="none"/>
                <w:lang w:bidi="ar"/>
              </w:rPr>
            </w:pPr>
          </w:p>
        </w:tc>
      </w:tr>
      <w:tr w14:paraId="2D8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4E5EDEAB">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4" w:type="dxa"/>
            <w:vAlign w:val="center"/>
          </w:tcPr>
          <w:p w14:paraId="30B6734D">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6842528B">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54" w:type="dxa"/>
            <w:vAlign w:val="center"/>
          </w:tcPr>
          <w:p w14:paraId="6030F77F">
            <w:pPr>
              <w:shd w:val="clear"/>
              <w:spacing w:line="500" w:lineRule="exact"/>
              <w:jc w:val="center"/>
              <w:rPr>
                <w:rFonts w:ascii="仿宋" w:hAnsi="仿宋" w:eastAsia="仿宋" w:cs="仿宋"/>
                <w:color w:val="auto"/>
                <w:sz w:val="24"/>
                <w:szCs w:val="20"/>
                <w:highlight w:val="none"/>
                <w:lang w:bidi="ar"/>
              </w:rPr>
            </w:pPr>
          </w:p>
        </w:tc>
      </w:tr>
      <w:tr w14:paraId="25B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777E6564">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4" w:type="dxa"/>
            <w:vAlign w:val="center"/>
          </w:tcPr>
          <w:p w14:paraId="28475335">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4F5A5F49">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54" w:type="dxa"/>
            <w:vAlign w:val="center"/>
          </w:tcPr>
          <w:p w14:paraId="43599D25">
            <w:pPr>
              <w:shd w:val="clear"/>
              <w:spacing w:line="500" w:lineRule="exact"/>
              <w:jc w:val="center"/>
              <w:rPr>
                <w:rFonts w:ascii="仿宋" w:hAnsi="仿宋" w:eastAsia="仿宋" w:cs="仿宋"/>
                <w:color w:val="auto"/>
                <w:sz w:val="24"/>
                <w:szCs w:val="20"/>
                <w:highlight w:val="none"/>
                <w:lang w:bidi="ar"/>
              </w:rPr>
            </w:pPr>
          </w:p>
        </w:tc>
      </w:tr>
      <w:tr w14:paraId="098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237362FC">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4" w:type="dxa"/>
            <w:vAlign w:val="center"/>
          </w:tcPr>
          <w:p w14:paraId="1607048C">
            <w:pPr>
              <w:shd w:val="clear"/>
              <w:spacing w:line="500" w:lineRule="exact"/>
              <w:jc w:val="center"/>
              <w:rPr>
                <w:rFonts w:ascii="仿宋" w:hAnsi="仿宋" w:eastAsia="仿宋" w:cs="仿宋"/>
                <w:color w:val="auto"/>
                <w:sz w:val="24"/>
                <w:szCs w:val="20"/>
                <w:highlight w:val="none"/>
                <w:lang w:bidi="ar"/>
              </w:rPr>
            </w:pPr>
          </w:p>
        </w:tc>
        <w:tc>
          <w:tcPr>
            <w:tcW w:w="2327" w:type="dxa"/>
            <w:vAlign w:val="center"/>
          </w:tcPr>
          <w:p w14:paraId="4EEB632F">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54" w:type="dxa"/>
            <w:vAlign w:val="center"/>
          </w:tcPr>
          <w:p w14:paraId="325E6424">
            <w:pPr>
              <w:shd w:val="clear"/>
              <w:spacing w:line="500" w:lineRule="exact"/>
              <w:jc w:val="center"/>
              <w:rPr>
                <w:rFonts w:ascii="仿宋" w:hAnsi="仿宋" w:eastAsia="仿宋" w:cs="仿宋"/>
                <w:color w:val="auto"/>
                <w:sz w:val="24"/>
                <w:szCs w:val="20"/>
                <w:highlight w:val="none"/>
                <w:lang w:bidi="ar"/>
              </w:rPr>
            </w:pPr>
          </w:p>
        </w:tc>
      </w:tr>
      <w:tr w14:paraId="1BB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0BEAC005">
            <w:pPr>
              <w:shd w:val="clear"/>
              <w:spacing w:line="50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4181" w:type="dxa"/>
            <w:gridSpan w:val="2"/>
            <w:vAlign w:val="center"/>
          </w:tcPr>
          <w:p w14:paraId="62A249CB">
            <w:pPr>
              <w:shd w:val="clear"/>
              <w:spacing w:line="500" w:lineRule="exact"/>
              <w:jc w:val="center"/>
              <w:rPr>
                <w:rFonts w:ascii="仿宋" w:hAnsi="仿宋" w:eastAsia="仿宋" w:cs="仿宋"/>
                <w:color w:val="auto"/>
                <w:sz w:val="24"/>
                <w:szCs w:val="20"/>
                <w:highlight w:val="none"/>
                <w:lang w:bidi="ar"/>
              </w:rPr>
            </w:pPr>
          </w:p>
        </w:tc>
      </w:tr>
      <w:tr w14:paraId="508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6BCA76FF">
            <w:pPr>
              <w:shd w:val="clear"/>
              <w:spacing w:line="5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本人从业经历概述：</w:t>
            </w:r>
          </w:p>
          <w:p w14:paraId="027950DB">
            <w:pPr>
              <w:pStyle w:val="25"/>
              <w:shd w:val="clear"/>
              <w:ind w:firstLine="0" w:firstLineChars="0"/>
              <w:rPr>
                <w:rFonts w:hint="eastAsia" w:ascii="仿宋" w:hAnsi="仿宋" w:eastAsia="仿宋" w:cs="仿宋"/>
                <w:color w:val="auto"/>
                <w:highlight w:val="none"/>
                <w:lang w:val="en-US" w:eastAsia="zh-CN"/>
              </w:rPr>
            </w:pPr>
          </w:p>
        </w:tc>
      </w:tr>
    </w:tbl>
    <w:p w14:paraId="4B3EA9DD">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身份证复印件、学历证书复印件及其他证明材料等相关证明文件并加盖供应商公章</w:t>
      </w:r>
      <w:r>
        <w:rPr>
          <w:rFonts w:hint="eastAsia" w:ascii="仿宋" w:hAnsi="仿宋" w:eastAsia="仿宋" w:cs="仿宋"/>
          <w:bCs/>
          <w:color w:val="auto"/>
          <w:szCs w:val="21"/>
          <w:highlight w:val="none"/>
          <w:lang w:eastAsia="zh-CN" w:bidi="ar"/>
        </w:rPr>
        <w:t>；</w:t>
      </w:r>
    </w:p>
    <w:p w14:paraId="7F8EF948">
      <w:pPr>
        <w:shd w:val="clear"/>
        <w:spacing w:line="579" w:lineRule="exact"/>
        <w:ind w:firstLine="480" w:firstLineChars="200"/>
        <w:rPr>
          <w:rFonts w:ascii="仿宋" w:hAnsi="仿宋" w:eastAsia="仿宋" w:cs="仿宋"/>
          <w:color w:val="auto"/>
          <w:sz w:val="24"/>
          <w:szCs w:val="32"/>
          <w:highlight w:val="none"/>
          <w:lang w:eastAsia="zh-CN"/>
        </w:rPr>
      </w:pPr>
    </w:p>
    <w:p w14:paraId="2A0401B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3E66C7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8E6D44F">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68BAB9">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74552BB2">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35E179BD">
      <w:pPr>
        <w:keepNext/>
        <w:keepLines/>
        <w:pageBreakBefore w:val="0"/>
        <w:widowControl/>
        <w:shd w:val="clear"/>
        <w:kinsoku/>
        <w:wordWrap/>
        <w:overflowPunct/>
        <w:topLinePunct w:val="0"/>
        <w:autoSpaceDE/>
        <w:autoSpaceDN/>
        <w:bidi w:val="0"/>
        <w:adjustRightInd/>
        <w:snapToGrid/>
        <w:textAlignment w:val="baseline"/>
        <w:outlineLvl w:val="9"/>
        <w:rPr>
          <w:rFonts w:hint="eastAsia"/>
          <w:color w:val="auto"/>
          <w:highlight w:val="none"/>
          <w:lang w:eastAsia="zh-CN"/>
        </w:rPr>
      </w:pPr>
    </w:p>
    <w:p w14:paraId="04F17D9D">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0D01F124">
      <w:pPr>
        <w:pageBreakBefore w:val="0"/>
        <w:widowControl/>
        <w:shd w:val="clear"/>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32"/>
          <w:highlight w:val="none"/>
          <w:lang w:eastAsia="zh-CN"/>
        </w:rPr>
      </w:pPr>
    </w:p>
    <w:p w14:paraId="6E3A1F6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887634F">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b/>
          <w:color w:val="auto"/>
          <w:sz w:val="24"/>
          <w:highlight w:val="none"/>
          <w:lang w:val="en-US" w:eastAsia="zh-CN"/>
        </w:rPr>
      </w:pPr>
    </w:p>
    <w:p w14:paraId="6C4F5592">
      <w:pPr>
        <w:shd w:val="clear"/>
        <w:spacing w:line="579" w:lineRule="exact"/>
        <w:jc w:val="center"/>
        <w:outlineLvl w:val="2"/>
        <w:rPr>
          <w:rFonts w:hint="default" w:ascii="仿宋" w:hAnsi="仿宋" w:eastAsia="仿宋" w:cs="仿宋"/>
          <w:b/>
          <w:color w:val="auto"/>
          <w:sz w:val="24"/>
          <w:highlight w:val="none"/>
          <w:lang w:val="en-US" w:eastAsia="zh-CN"/>
        </w:rPr>
      </w:pPr>
      <w:bookmarkStart w:id="226" w:name="_Toc7410"/>
      <w:r>
        <w:rPr>
          <w:rFonts w:hint="eastAsia" w:ascii="仿宋" w:hAnsi="仿宋" w:eastAsia="仿宋" w:cs="仿宋"/>
          <w:b/>
          <w:color w:val="auto"/>
          <w:sz w:val="24"/>
          <w:highlight w:val="none"/>
          <w:lang w:val="en-US" w:eastAsia="zh-CN"/>
        </w:rPr>
        <w:t>（六）技术部分</w:t>
      </w:r>
      <w:bookmarkEnd w:id="226"/>
    </w:p>
    <w:p w14:paraId="57B9137E">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供应商根据本项目情况及评分细则</w:t>
      </w:r>
      <w:r>
        <w:rPr>
          <w:rFonts w:hint="eastAsia" w:ascii="仿宋" w:hAnsi="仿宋" w:eastAsia="仿宋" w:cs="仿宋"/>
          <w:color w:val="auto"/>
          <w:sz w:val="24"/>
          <w:szCs w:val="24"/>
          <w:highlight w:val="none"/>
          <w:lang w:val="en-US" w:eastAsia="zh-CN"/>
        </w:rPr>
        <w:t>提供技术部分评审资料，包括但不限于：</w:t>
      </w:r>
    </w:p>
    <w:p w14:paraId="2E099893">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eastAsia="zh-CN"/>
        </w:rPr>
        <w:t>项目需求分析</w:t>
      </w:r>
    </w:p>
    <w:p w14:paraId="108F895B">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2、等保测评方案</w:t>
      </w:r>
    </w:p>
    <w:p w14:paraId="7CE36AEC">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3、测评风险管理方案</w:t>
      </w:r>
    </w:p>
    <w:p w14:paraId="00164314">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4、漏洞扫描和渗透测试服务方案</w:t>
      </w:r>
    </w:p>
    <w:p w14:paraId="36D5C8FE">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5、检测工具要求</w:t>
      </w:r>
    </w:p>
    <w:p w14:paraId="3E415F58">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6、安全培训方案</w:t>
      </w:r>
    </w:p>
    <w:p w14:paraId="29E86176">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7、质量保证措施</w:t>
      </w:r>
    </w:p>
    <w:p w14:paraId="59894D99">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8、保密措施</w:t>
      </w:r>
    </w:p>
    <w:p w14:paraId="66F10A35">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9、售后服务</w:t>
      </w:r>
    </w:p>
    <w:p w14:paraId="0908891C">
      <w:pPr>
        <w:keepNext w:val="0"/>
        <w:keepLines w:val="0"/>
        <w:pageBreakBefore w:val="0"/>
        <w:widowControl/>
        <w:numPr>
          <w:ilvl w:val="0"/>
          <w:numId w:val="0"/>
        </w:numPr>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default" w:ascii="仿宋" w:hAnsi="仿宋" w:eastAsia="仿宋" w:cs="仿宋"/>
          <w:color w:val="auto"/>
          <w:sz w:val="24"/>
          <w:szCs w:val="24"/>
          <w:highlight w:val="none"/>
          <w:lang w:val="en-US" w:eastAsia="zh-CN"/>
        </w:rPr>
        <w:t>服务承诺</w:t>
      </w:r>
    </w:p>
    <w:p w14:paraId="4A73ECA1">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eastAsia" w:ascii="仿宋" w:hAnsi="仿宋" w:eastAsia="仿宋" w:cs="仿宋"/>
          <w:color w:val="auto"/>
          <w:sz w:val="24"/>
          <w:szCs w:val="24"/>
          <w:highlight w:val="none"/>
          <w:lang w:val="en-US" w:eastAsia="zh-CN"/>
        </w:rPr>
      </w:pPr>
    </w:p>
    <w:p w14:paraId="13317953">
      <w:pPr>
        <w:pStyle w:val="7"/>
        <w:shd w:val="clear"/>
        <w:ind w:firstLine="480"/>
        <w:rPr>
          <w:rFonts w:ascii="仿宋" w:hAnsi="仿宋" w:eastAsia="仿宋" w:cs="仿宋"/>
          <w:color w:val="auto"/>
          <w:sz w:val="24"/>
          <w:highlight w:val="none"/>
          <w:lang w:eastAsia="zh-CN" w:bidi="ar"/>
        </w:rPr>
      </w:pPr>
    </w:p>
    <w:p w14:paraId="36D981CE">
      <w:pPr>
        <w:shd w:val="clear"/>
        <w:rPr>
          <w:color w:val="auto"/>
          <w:highlight w:val="none"/>
          <w:lang w:eastAsia="zh-CN"/>
        </w:rPr>
      </w:pPr>
    </w:p>
    <w:p w14:paraId="71C20D3F">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376D95D1">
      <w:pPr>
        <w:pageBreakBefore w:val="0"/>
        <w:widowControl/>
        <w:shd w:val="clear"/>
        <w:kinsoku/>
        <w:wordWrap/>
        <w:overflowPunct/>
        <w:topLinePunct w:val="0"/>
        <w:autoSpaceDE/>
        <w:autoSpaceDN/>
        <w:bidi w:val="0"/>
        <w:adjustRightInd/>
        <w:snapToGrid/>
        <w:ind w:firstLine="480" w:firstLineChars="200"/>
        <w:textAlignment w:val="baseline"/>
        <w:outlineLvl w:val="9"/>
        <w:rPr>
          <w:rFonts w:hint="eastAsia" w:ascii="仿宋" w:hAnsi="仿宋" w:eastAsia="仿宋" w:cs="仿宋"/>
          <w:b w:val="0"/>
          <w:bCs w:val="0"/>
          <w:color w:val="auto"/>
          <w:sz w:val="24"/>
          <w:szCs w:val="24"/>
          <w:highlight w:val="none"/>
          <w:lang w:val="en-US" w:eastAsia="zh-CN"/>
        </w:rPr>
      </w:pPr>
    </w:p>
    <w:p w14:paraId="0530D1E8">
      <w:pPr>
        <w:shd w:val="clear"/>
        <w:rPr>
          <w:color w:val="auto"/>
          <w:highlight w:val="none"/>
          <w:lang w:eastAsia="zh-CN"/>
        </w:rPr>
      </w:pPr>
    </w:p>
    <w:p w14:paraId="38377E96">
      <w:pPr>
        <w:pStyle w:val="11"/>
        <w:shd w:val="clear"/>
        <w:rPr>
          <w:color w:val="auto"/>
          <w:highlight w:val="none"/>
          <w:lang w:eastAsia="zh-CN"/>
        </w:rPr>
      </w:pPr>
    </w:p>
    <w:p w14:paraId="7C494FDA">
      <w:pPr>
        <w:shd w:val="clear"/>
        <w:rPr>
          <w:color w:val="auto"/>
          <w:highlight w:val="none"/>
          <w:lang w:eastAsia="zh-CN"/>
        </w:rPr>
      </w:pPr>
    </w:p>
    <w:p w14:paraId="30D6266D">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F8AEE4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2338C9A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30F3366">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5D872578">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569B7BF4">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A032FFB">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256A01A">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35F46C6">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139D399">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1C0FF661">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2B74923">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4B6F359">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48306C9C">
      <w:pPr>
        <w:pageBreakBefore w:val="0"/>
        <w:widowControl/>
        <w:shd w:val="clear"/>
        <w:kinsoku/>
        <w:wordWrap/>
        <w:overflowPunct/>
        <w:topLinePunct w:val="0"/>
        <w:autoSpaceDE/>
        <w:autoSpaceDN/>
        <w:bidi w:val="0"/>
        <w:adjustRightInd/>
        <w:snapToGrid/>
        <w:textAlignment w:val="baseline"/>
        <w:outlineLvl w:val="9"/>
        <w:rPr>
          <w:color w:val="auto"/>
          <w:highlight w:val="none"/>
          <w:lang w:eastAsia="zh-CN"/>
        </w:rPr>
      </w:pPr>
    </w:p>
    <w:p w14:paraId="6E2FBBEB">
      <w:pPr>
        <w:shd w:val="clear"/>
        <w:spacing w:line="579" w:lineRule="exact"/>
        <w:jc w:val="center"/>
        <w:outlineLvl w:val="2"/>
        <w:rPr>
          <w:rFonts w:ascii="仿宋" w:hAnsi="仿宋" w:eastAsia="仿宋" w:cs="仿宋"/>
          <w:b/>
          <w:color w:val="auto"/>
          <w:sz w:val="24"/>
          <w:highlight w:val="none"/>
          <w:lang w:eastAsia="zh-CN"/>
        </w:rPr>
      </w:pPr>
      <w:bookmarkStart w:id="227" w:name="_Toc22758"/>
      <w:bookmarkStart w:id="228" w:name="_Toc6047"/>
      <w:bookmarkStart w:id="229" w:name="_Toc24900"/>
      <w:bookmarkStart w:id="230" w:name="_Toc4701"/>
      <w:bookmarkStart w:id="231" w:name="_Toc4560"/>
      <w:bookmarkStart w:id="232" w:name="_Toc22554422"/>
      <w:bookmarkStart w:id="233" w:name="_Toc3891661"/>
      <w:bookmarkStart w:id="234" w:name="_Toc234057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27"/>
      <w:bookmarkEnd w:id="228"/>
      <w:bookmarkEnd w:id="229"/>
      <w:bookmarkEnd w:id="230"/>
      <w:bookmarkEnd w:id="231"/>
    </w:p>
    <w:p w14:paraId="622FA45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1085D229">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671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C91A0AE">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D061AE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6DA078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973741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1C3A278">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310CE2">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4F99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44E87FF8">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33914E0F">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70A82218">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3444519">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DE756C4">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499FD6D0">
            <w:pPr>
              <w:shd w:val="clear"/>
              <w:spacing w:line="579" w:lineRule="exact"/>
              <w:ind w:firstLine="440" w:firstLineChars="200"/>
              <w:rPr>
                <w:rFonts w:ascii="仿宋" w:hAnsi="仿宋" w:eastAsia="仿宋" w:cs="仿宋"/>
                <w:color w:val="auto"/>
                <w:highlight w:val="none"/>
              </w:rPr>
            </w:pPr>
          </w:p>
        </w:tc>
      </w:tr>
      <w:tr w14:paraId="6BA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35E569D8">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25E52D50">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8D19AFB">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E5FB2B9">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10DC9AA9">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2C69F187">
            <w:pPr>
              <w:shd w:val="clear"/>
              <w:spacing w:line="579" w:lineRule="exact"/>
              <w:ind w:firstLine="440" w:firstLineChars="200"/>
              <w:rPr>
                <w:rFonts w:ascii="仿宋" w:hAnsi="仿宋" w:eastAsia="仿宋" w:cs="仿宋"/>
                <w:color w:val="auto"/>
                <w:highlight w:val="none"/>
              </w:rPr>
            </w:pPr>
          </w:p>
        </w:tc>
      </w:tr>
      <w:tr w14:paraId="6447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1307DD26">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10B37967">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3CDE8A33">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607D508C">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0DF6B96">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102D63EE">
            <w:pPr>
              <w:shd w:val="clear"/>
              <w:spacing w:line="579" w:lineRule="exact"/>
              <w:ind w:firstLine="440" w:firstLineChars="200"/>
              <w:rPr>
                <w:rFonts w:ascii="仿宋" w:hAnsi="仿宋" w:eastAsia="仿宋" w:cs="仿宋"/>
                <w:color w:val="auto"/>
                <w:highlight w:val="none"/>
              </w:rPr>
            </w:pPr>
          </w:p>
        </w:tc>
      </w:tr>
    </w:tbl>
    <w:p w14:paraId="7B4D46AB">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4A844FF9">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供应商应仔细研读、对照磋商文件规定的要求，偏离部分必须在上表中填写，并说明偏离情况。如不填写视同全部满足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386F5C4D">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0A1234FF">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792063D5">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44091681">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0DBC9974">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755EC6D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1E577C7">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1460EEC9">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46B2AD">
      <w:pPr>
        <w:keepNext w:val="0"/>
        <w:keepLines w:val="0"/>
        <w:pageBreakBefore w:val="0"/>
        <w:widowControl/>
        <w:shd w:val="clear"/>
        <w:kinsoku/>
        <w:wordWrap/>
        <w:overflowPunct/>
        <w:topLinePunct w:val="0"/>
        <w:autoSpaceDE/>
        <w:autoSpaceDN/>
        <w:bidi w:val="0"/>
        <w:adjustRightInd/>
        <w:snapToGrid/>
        <w:textAlignment w:val="auto"/>
        <w:outlineLvl w:val="9"/>
        <w:rPr>
          <w:color w:val="auto"/>
          <w:highlight w:val="none"/>
          <w:lang w:eastAsia="zh-CN"/>
        </w:rPr>
      </w:pPr>
    </w:p>
    <w:p w14:paraId="2012157E">
      <w:pPr>
        <w:rPr>
          <w:rFonts w:hint="eastAsia" w:ascii="仿宋" w:hAnsi="仿宋" w:eastAsia="仿宋" w:cs="仿宋"/>
          <w:b/>
          <w:color w:val="auto"/>
          <w:sz w:val="24"/>
          <w:highlight w:val="none"/>
          <w:lang w:eastAsia="zh-CN"/>
        </w:rPr>
      </w:pPr>
      <w:bookmarkStart w:id="235" w:name="_Toc14808"/>
      <w:bookmarkStart w:id="236" w:name="_Toc9472"/>
      <w:bookmarkStart w:id="237" w:name="_Toc27794"/>
      <w:bookmarkStart w:id="238" w:name="_Toc4026"/>
      <w:bookmarkStart w:id="239" w:name="_Toc32266"/>
      <w:r>
        <w:rPr>
          <w:rFonts w:hint="eastAsia" w:ascii="仿宋" w:hAnsi="仿宋" w:eastAsia="仿宋" w:cs="仿宋"/>
          <w:b/>
          <w:color w:val="auto"/>
          <w:sz w:val="24"/>
          <w:highlight w:val="none"/>
          <w:lang w:eastAsia="zh-CN"/>
        </w:rPr>
        <w:br w:type="page"/>
      </w:r>
    </w:p>
    <w:p w14:paraId="67501229">
      <w:pPr>
        <w:shd w:val="clear"/>
        <w:spacing w:line="579" w:lineRule="exac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bookmarkEnd w:id="232"/>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35"/>
      <w:bookmarkEnd w:id="236"/>
      <w:bookmarkEnd w:id="237"/>
      <w:bookmarkEnd w:id="238"/>
      <w:bookmarkEnd w:id="239"/>
    </w:p>
    <w:p w14:paraId="2FCD6AD1">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0F5DBA8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2A5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98CF1D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39924BD1">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18CDF22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5E0605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5C1CD736">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3AFA7745">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294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6374E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297BD80">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8BB99D4">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C12EE10">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36AFD69">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40F99C95">
            <w:pPr>
              <w:shd w:val="clear"/>
              <w:spacing w:line="579" w:lineRule="exact"/>
              <w:ind w:firstLine="440" w:firstLineChars="200"/>
              <w:rPr>
                <w:rFonts w:ascii="仿宋" w:hAnsi="仿宋" w:eastAsia="仿宋" w:cs="仿宋"/>
                <w:color w:val="auto"/>
                <w:highlight w:val="none"/>
              </w:rPr>
            </w:pPr>
          </w:p>
        </w:tc>
      </w:tr>
      <w:tr w14:paraId="45AE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330EEBAD">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1D686BC">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D6E60E1">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674C3FD">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D3F946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10CD320">
            <w:pPr>
              <w:shd w:val="clear"/>
              <w:spacing w:line="579" w:lineRule="exact"/>
              <w:ind w:firstLine="440" w:firstLineChars="200"/>
              <w:rPr>
                <w:rFonts w:ascii="仿宋" w:hAnsi="仿宋" w:eastAsia="仿宋" w:cs="仿宋"/>
                <w:color w:val="auto"/>
                <w:highlight w:val="none"/>
              </w:rPr>
            </w:pPr>
          </w:p>
        </w:tc>
      </w:tr>
      <w:tr w14:paraId="42BA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0E41E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A90577F">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3F219EB7">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32FB5BAF">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195C4AA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CFC37A9">
            <w:pPr>
              <w:shd w:val="clear"/>
              <w:spacing w:line="579" w:lineRule="exact"/>
              <w:ind w:firstLine="440" w:firstLineChars="200"/>
              <w:rPr>
                <w:rFonts w:ascii="仿宋" w:hAnsi="仿宋" w:eastAsia="仿宋" w:cs="仿宋"/>
                <w:color w:val="auto"/>
                <w:highlight w:val="none"/>
              </w:rPr>
            </w:pPr>
          </w:p>
        </w:tc>
      </w:tr>
      <w:tr w14:paraId="4CB9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5968EA3">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0988CD33">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B13BE94">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3868BA3">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93B817E">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93F3697">
            <w:pPr>
              <w:shd w:val="clear"/>
              <w:spacing w:line="579" w:lineRule="exact"/>
              <w:ind w:firstLine="440" w:firstLineChars="200"/>
              <w:rPr>
                <w:rFonts w:ascii="仿宋" w:hAnsi="仿宋" w:eastAsia="仿宋" w:cs="仿宋"/>
                <w:color w:val="auto"/>
                <w:highlight w:val="none"/>
              </w:rPr>
            </w:pPr>
          </w:p>
        </w:tc>
      </w:tr>
      <w:tr w14:paraId="7D12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93768E8">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CB00944">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588933D8">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7F3A9C01">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45AE5614">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BE8B704">
            <w:pPr>
              <w:shd w:val="clear"/>
              <w:spacing w:line="579" w:lineRule="exact"/>
              <w:ind w:firstLine="440" w:firstLineChars="200"/>
              <w:rPr>
                <w:rFonts w:ascii="仿宋" w:hAnsi="仿宋" w:eastAsia="仿宋" w:cs="仿宋"/>
                <w:color w:val="auto"/>
                <w:highlight w:val="none"/>
              </w:rPr>
            </w:pPr>
          </w:p>
        </w:tc>
      </w:tr>
    </w:tbl>
    <w:p w14:paraId="67AB5A65">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2D1CDEA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供应商应仔细研读、对照磋商文件第三部分的要求，偏离部分必须在上表中填写，并说明偏离情况。如不填写视同全部满足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54722A55">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文件的技术及服务要求相同。</w:t>
      </w:r>
    </w:p>
    <w:p w14:paraId="603362D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1533D258">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672E0652">
      <w:pPr>
        <w:pStyle w:val="25"/>
        <w:shd w:val="clear"/>
        <w:spacing w:after="0" w:line="579" w:lineRule="exact"/>
        <w:ind w:left="0" w:leftChars="0" w:firstLine="0" w:firstLineChars="0"/>
        <w:rPr>
          <w:rFonts w:hint="default" w:ascii="仿宋" w:hAnsi="仿宋" w:eastAsia="仿宋" w:cs="仿宋"/>
          <w:color w:val="auto"/>
          <w:highlight w:val="none"/>
          <w:lang w:eastAsia="zh-CN"/>
        </w:rPr>
      </w:pPr>
    </w:p>
    <w:p w14:paraId="6BBA01CF">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667FB1C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B258514">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35FBC7A">
      <w:pPr>
        <w:pStyle w:val="11"/>
        <w:shd w:val="clear"/>
        <w:rPr>
          <w:rFonts w:hint="eastAsia" w:ascii="仿宋" w:hAnsi="仿宋" w:eastAsia="仿宋" w:cs="仿宋"/>
          <w:color w:val="auto"/>
          <w:sz w:val="24"/>
          <w:szCs w:val="32"/>
          <w:highlight w:val="none"/>
          <w:lang w:eastAsia="zh-CN"/>
        </w:rPr>
      </w:pPr>
    </w:p>
    <w:p w14:paraId="661CADCF">
      <w:pPr>
        <w:pStyle w:val="18"/>
        <w:shd w:val="clear"/>
        <w:rPr>
          <w:rFonts w:hint="eastAsia" w:ascii="仿宋" w:hAnsi="仿宋" w:eastAsia="仿宋" w:cs="仿宋"/>
          <w:color w:val="auto"/>
          <w:sz w:val="24"/>
          <w:szCs w:val="32"/>
          <w:highlight w:val="none"/>
          <w:lang w:eastAsia="zh-CN"/>
        </w:rPr>
      </w:pPr>
    </w:p>
    <w:p w14:paraId="4821BB89">
      <w:pPr>
        <w:pStyle w:val="8"/>
        <w:shd w:val="clear"/>
        <w:rPr>
          <w:color w:val="auto"/>
          <w:highlight w:val="none"/>
          <w:lang w:eastAsia="zh-CN"/>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33"/>
    <w:bookmarkEnd w:id="234"/>
    <w:p w14:paraId="16E542D8">
      <w:pPr>
        <w:shd w:val="clear"/>
        <w:spacing w:line="579" w:lineRule="exact"/>
        <w:jc w:val="center"/>
        <w:outlineLvl w:val="2"/>
        <w:rPr>
          <w:rFonts w:hint="eastAsia" w:ascii="仿宋" w:hAnsi="仿宋" w:eastAsia="仿宋" w:cs="仿宋"/>
          <w:b/>
          <w:color w:val="auto"/>
          <w:sz w:val="24"/>
          <w:highlight w:val="none"/>
          <w:lang w:eastAsia="zh-CN"/>
        </w:rPr>
      </w:pPr>
      <w:bookmarkStart w:id="240" w:name="_Toc244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）供应商企业类型声明函</w:t>
      </w:r>
      <w:bookmarkEnd w:id="240"/>
    </w:p>
    <w:p w14:paraId="4AD391DB">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-1、中小微企业声明函</w:t>
      </w:r>
    </w:p>
    <w:p w14:paraId="02D33070">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bidi="ar"/>
        </w:rPr>
        <w:t>《中小企业声明函》（服务）</w:t>
      </w:r>
    </w:p>
    <w:p w14:paraId="49FD3DCE">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66F71528">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38FE038">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54897F79">
      <w:pPr>
        <w:shd w:val="clear"/>
        <w:spacing w:line="579" w:lineRule="exac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1F6AF06A">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2CC32F16">
      <w:pPr>
        <w:shd w:val="clear"/>
        <w:spacing w:line="579"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1978A645">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667CECCB">
      <w:pPr>
        <w:shd w:val="clear"/>
        <w:spacing w:line="579"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54EBA962">
      <w:pPr>
        <w:shd w:val="clear"/>
        <w:spacing w:line="579"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p>
    <w:p w14:paraId="3510F472">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24D8732">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5D0DC18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6B61666A">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53EE05B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46024D97">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574DB8D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0FB902BA">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4FAC990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381E794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3E84335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4EA7361C">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61B22DD">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-3残疾人福利性单位声明函</w:t>
      </w:r>
    </w:p>
    <w:p w14:paraId="7C4EEB6B">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041BB468">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B919C">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055B1FBD">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77DF0BB">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58ECB18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56193ED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50C02023">
      <w:pPr>
        <w:pStyle w:val="25"/>
        <w:shd w:val="clear"/>
        <w:ind w:firstLine="241"/>
        <w:rPr>
          <w:rFonts w:hint="default" w:ascii="仿宋" w:hAnsi="仿宋" w:eastAsia="仿宋" w:cs="仿宋"/>
          <w:b/>
          <w:color w:val="auto"/>
          <w:highlight w:val="none"/>
          <w:lang w:eastAsia="zh-CN"/>
        </w:rPr>
      </w:pPr>
    </w:p>
    <w:p w14:paraId="7F197085">
      <w:pPr>
        <w:pStyle w:val="25"/>
        <w:shd w:val="clear"/>
        <w:ind w:firstLine="241"/>
        <w:rPr>
          <w:rFonts w:hint="default" w:ascii="仿宋" w:hAnsi="仿宋" w:eastAsia="仿宋" w:cs="仿宋"/>
          <w:b/>
          <w:color w:val="auto"/>
          <w:highlight w:val="none"/>
          <w:lang w:eastAsia="zh-CN"/>
        </w:rPr>
      </w:pPr>
    </w:p>
    <w:p w14:paraId="5E8CEEC9">
      <w:pPr>
        <w:shd w:val="clear"/>
        <w:rPr>
          <w:rFonts w:hint="default" w:ascii="仿宋" w:hAnsi="仿宋" w:eastAsia="仿宋" w:cs="仿宋"/>
          <w:b/>
          <w:color w:val="auto"/>
          <w:highlight w:val="none"/>
          <w:lang w:eastAsia="zh-CN"/>
        </w:rPr>
      </w:pPr>
    </w:p>
    <w:p w14:paraId="44D4BB87">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00B9FE88">
      <w:pPr>
        <w:pStyle w:val="25"/>
        <w:shd w:val="clear"/>
        <w:ind w:firstLine="241"/>
        <w:rPr>
          <w:rFonts w:hint="default" w:ascii="仿宋" w:hAnsi="仿宋" w:eastAsia="仿宋" w:cs="仿宋"/>
          <w:b/>
          <w:color w:val="auto"/>
          <w:highlight w:val="none"/>
          <w:lang w:eastAsia="zh-CN"/>
        </w:rPr>
      </w:pPr>
    </w:p>
    <w:p w14:paraId="4F121EFC">
      <w:pPr>
        <w:shd w:val="clear"/>
        <w:spacing w:line="579" w:lineRule="exact"/>
        <w:jc w:val="center"/>
        <w:outlineLvl w:val="2"/>
        <w:rPr>
          <w:rFonts w:ascii="仿宋" w:hAnsi="仿宋" w:eastAsia="仿宋" w:cs="仿宋"/>
          <w:b/>
          <w:color w:val="auto"/>
          <w:sz w:val="24"/>
          <w:highlight w:val="none"/>
          <w:lang w:eastAsia="zh-CN"/>
        </w:rPr>
      </w:pPr>
      <w:bookmarkStart w:id="241" w:name="_Toc29252"/>
      <w:bookmarkStart w:id="242" w:name="_Toc7885"/>
      <w:bookmarkStart w:id="243" w:name="_Toc12596"/>
      <w:bookmarkStart w:id="244" w:name="_Toc1692"/>
      <w:bookmarkStart w:id="245" w:name="_Toc930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）供应商认为有必要提交的其他资料</w:t>
      </w:r>
      <w:bookmarkEnd w:id="225"/>
      <w:bookmarkEnd w:id="241"/>
      <w:bookmarkEnd w:id="242"/>
      <w:bookmarkEnd w:id="243"/>
      <w:bookmarkEnd w:id="244"/>
      <w:bookmarkEnd w:id="245"/>
    </w:p>
    <w:p w14:paraId="5815C8BE">
      <w:pPr>
        <w:shd w:val="clear"/>
        <w:spacing w:line="50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供应商应提交的其它资料应包括：</w:t>
      </w:r>
    </w:p>
    <w:p w14:paraId="3947025D">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）评分细则提及或供应商认为需要提供的其他说明和资料。</w:t>
      </w:r>
    </w:p>
    <w:p w14:paraId="6FDE1AD6">
      <w:pPr>
        <w:shd w:val="clea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0"/>
          <w:highlight w:val="none"/>
          <w:lang w:eastAsia="zh-CN" w:bidi="ar"/>
        </w:rPr>
        <w:t>磋商</w:t>
      </w:r>
      <w:r>
        <w:rPr>
          <w:rFonts w:hint="eastAsia" w:ascii="仿宋" w:hAnsi="仿宋" w:eastAsia="仿宋" w:cs="仿宋"/>
          <w:color w:val="auto"/>
          <w:sz w:val="24"/>
          <w:highlight w:val="none"/>
          <w:lang w:eastAsia="zh-CN"/>
        </w:rPr>
        <w:t>文件要求提供的其它资料等；</w:t>
      </w:r>
    </w:p>
    <w:p w14:paraId="58A20726">
      <w:pPr>
        <w:shd w:val="clear"/>
        <w:spacing w:line="500" w:lineRule="exact"/>
        <w:ind w:firstLine="48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highlight w:val="none"/>
          <w:lang w:val="en-US" w:eastAsia="zh-CN"/>
        </w:rPr>
        <w:t>（3）单位账户信息（用于退还保证金）</w:t>
      </w:r>
    </w:p>
    <w:p w14:paraId="1A0ACA93">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账户名称：</w:t>
      </w:r>
    </w:p>
    <w:p w14:paraId="2B1DCA11">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统一社会信用代码：</w:t>
      </w:r>
    </w:p>
    <w:p w14:paraId="07F551E5">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账户号码：</w:t>
      </w:r>
    </w:p>
    <w:p w14:paraId="61058B9C">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w:t>
      </w:r>
    </w:p>
    <w:p w14:paraId="1D502B59">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开户行号：</w:t>
      </w:r>
    </w:p>
    <w:p w14:paraId="0B641E16">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单位地址：</w:t>
      </w:r>
    </w:p>
    <w:p w14:paraId="56D14BF0">
      <w:pPr>
        <w:pBdr>
          <w:top w:val="single" w:color="auto" w:sz="4" w:space="0"/>
          <w:left w:val="single" w:color="auto" w:sz="4" w:space="0"/>
          <w:bottom w:val="single" w:color="auto" w:sz="4" w:space="0"/>
          <w:right w:val="single" w:color="auto" w:sz="4" w:space="0"/>
          <w:between w:val="single" w:color="auto" w:sz="4" w:space="0"/>
        </w:pBdr>
        <w:spacing w:line="500" w:lineRule="exact"/>
        <w:jc w:val="lef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联系电话：</w:t>
      </w:r>
    </w:p>
    <w:p w14:paraId="3B5FCE83">
      <w:pPr>
        <w:pStyle w:val="81"/>
        <w:jc w:val="left"/>
        <w:rPr>
          <w:color w:val="auto"/>
          <w:highlight w:val="none"/>
          <w:lang w:eastAsia="zh-CN"/>
        </w:rPr>
      </w:pPr>
    </w:p>
    <w:p w14:paraId="50805F92">
      <w:pPr>
        <w:shd w:val="clear"/>
        <w:spacing w:line="455" w:lineRule="exact"/>
        <w:jc w:val="center"/>
        <w:rPr>
          <w:rStyle w:val="35"/>
          <w:rFonts w:ascii="仿宋" w:hAnsi="仿宋" w:eastAsia="仿宋" w:cs="仿宋"/>
          <w:color w:val="auto"/>
          <w:highlight w:val="none"/>
          <w:lang w:eastAsia="zh-CN"/>
        </w:rPr>
      </w:pPr>
    </w:p>
    <w:sectPr>
      <w:headerReference r:id="rId7" w:type="first"/>
      <w:head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418">
    <w:pPr>
      <w:pStyle w:val="38"/>
      <w:spacing w:line="14" w:lineRule="auto"/>
      <w:ind w:left="0"/>
      <w:rPr>
        <w:rStyle w:val="35"/>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4A7400E9"/>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4A7400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28F7">
    <w:pPr>
      <w:pStyle w:val="38"/>
      <w:spacing w:line="14" w:lineRule="auto"/>
      <w:ind w:left="0"/>
      <w:rPr>
        <w:rStyle w:val="35"/>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14:paraId="533F8486">
                          <w:pPr>
                            <w:pStyle w:val="18"/>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14:paraId="533F8486">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5608ABDD"/>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5608ABD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0D12">
    <w:pPr>
      <w:pStyle w:val="38"/>
      <w:spacing w:line="14" w:lineRule="auto"/>
      <w:ind w:left="0"/>
      <w:rPr>
        <w:rStyle w:val="35"/>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DB37">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D9DB37">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65500C5"/>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665500C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6B1D">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5C22">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1B25"/>
    <w:multiLevelType w:val="multilevel"/>
    <w:tmpl w:val="00D51B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
    <w:nsid w:val="4CF9323B"/>
    <w:multiLevelType w:val="multilevel"/>
    <w:tmpl w:val="4CF932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E6C19"/>
    <w:multiLevelType w:val="multilevel"/>
    <w:tmpl w:val="5D7E6C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2F7659"/>
    <w:multiLevelType w:val="multilevel"/>
    <w:tmpl w:val="662F76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E85B67"/>
    <w:multiLevelType w:val="multilevel"/>
    <w:tmpl w:val="77E85B67"/>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6">
    <w:nsid w:val="7FF9466A"/>
    <w:multiLevelType w:val="multilevel"/>
    <w:tmpl w:val="7FF9466A"/>
    <w:lvl w:ilvl="0" w:tentative="0">
      <w:start w:val="1"/>
      <w:numFmt w:val="chineseCountingThousand"/>
      <w:lvlText w:val="第%1条"/>
      <w:lvlJc w:val="left"/>
      <w:pPr>
        <w:ind w:left="892" w:hanging="420"/>
      </w:pPr>
      <w:rPr>
        <w:rFonts w:hint="eastAsia"/>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0NTY0YzRlNGU4Y2M3ODllMGRlYjBjNmZlZjg3NmI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1AEB"/>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253DA"/>
    <w:rsid w:val="00665433"/>
    <w:rsid w:val="00681C19"/>
    <w:rsid w:val="006841C7"/>
    <w:rsid w:val="006B247C"/>
    <w:rsid w:val="006C4F7F"/>
    <w:rsid w:val="00702DD4"/>
    <w:rsid w:val="00710DAD"/>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25154"/>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286394"/>
    <w:rsid w:val="01567841"/>
    <w:rsid w:val="019C289F"/>
    <w:rsid w:val="01A16F33"/>
    <w:rsid w:val="01A8449D"/>
    <w:rsid w:val="01B47468"/>
    <w:rsid w:val="01CE57B8"/>
    <w:rsid w:val="02370C95"/>
    <w:rsid w:val="02571C51"/>
    <w:rsid w:val="027B6439"/>
    <w:rsid w:val="02C24BF1"/>
    <w:rsid w:val="02D432A2"/>
    <w:rsid w:val="02ED1C6E"/>
    <w:rsid w:val="03464522"/>
    <w:rsid w:val="03F37758"/>
    <w:rsid w:val="04536448"/>
    <w:rsid w:val="04705D22"/>
    <w:rsid w:val="0495145E"/>
    <w:rsid w:val="04A863DD"/>
    <w:rsid w:val="055D610C"/>
    <w:rsid w:val="05675ECF"/>
    <w:rsid w:val="0627707C"/>
    <w:rsid w:val="067B57E2"/>
    <w:rsid w:val="06A44F1D"/>
    <w:rsid w:val="06AB7970"/>
    <w:rsid w:val="06C47189"/>
    <w:rsid w:val="06C54CB0"/>
    <w:rsid w:val="06CB5D92"/>
    <w:rsid w:val="06D27AF8"/>
    <w:rsid w:val="07195727"/>
    <w:rsid w:val="07C02047"/>
    <w:rsid w:val="07C05BA3"/>
    <w:rsid w:val="082A5985"/>
    <w:rsid w:val="087E15BA"/>
    <w:rsid w:val="08DF2F56"/>
    <w:rsid w:val="090715AF"/>
    <w:rsid w:val="091C14FF"/>
    <w:rsid w:val="093D4235"/>
    <w:rsid w:val="094B3F58"/>
    <w:rsid w:val="096A72F1"/>
    <w:rsid w:val="09D80212"/>
    <w:rsid w:val="0A1962AD"/>
    <w:rsid w:val="0A4725AB"/>
    <w:rsid w:val="0A4D4223"/>
    <w:rsid w:val="0A560A40"/>
    <w:rsid w:val="0B5C5BE2"/>
    <w:rsid w:val="0B8B4D93"/>
    <w:rsid w:val="0BA9426E"/>
    <w:rsid w:val="0C4A4A1E"/>
    <w:rsid w:val="0C601702"/>
    <w:rsid w:val="0C831895"/>
    <w:rsid w:val="0CA75583"/>
    <w:rsid w:val="0CF4009D"/>
    <w:rsid w:val="0CF55810"/>
    <w:rsid w:val="0D2B02CB"/>
    <w:rsid w:val="0D7908E3"/>
    <w:rsid w:val="0DA22D0C"/>
    <w:rsid w:val="0DAD5853"/>
    <w:rsid w:val="0DF93BBD"/>
    <w:rsid w:val="0E2D4B6B"/>
    <w:rsid w:val="0E36209B"/>
    <w:rsid w:val="0EB32594"/>
    <w:rsid w:val="0F463B85"/>
    <w:rsid w:val="0F91624F"/>
    <w:rsid w:val="0FC71A98"/>
    <w:rsid w:val="0FEF7528"/>
    <w:rsid w:val="110A5E09"/>
    <w:rsid w:val="110F4EDE"/>
    <w:rsid w:val="11421D1E"/>
    <w:rsid w:val="1145536B"/>
    <w:rsid w:val="115F467E"/>
    <w:rsid w:val="12154A1A"/>
    <w:rsid w:val="12294638"/>
    <w:rsid w:val="12907D3B"/>
    <w:rsid w:val="12DD62D4"/>
    <w:rsid w:val="12F7199C"/>
    <w:rsid w:val="130A16D3"/>
    <w:rsid w:val="13264DFD"/>
    <w:rsid w:val="133D311B"/>
    <w:rsid w:val="13B20C55"/>
    <w:rsid w:val="13BC5DB8"/>
    <w:rsid w:val="14445DAD"/>
    <w:rsid w:val="145502DA"/>
    <w:rsid w:val="14665901"/>
    <w:rsid w:val="148C7438"/>
    <w:rsid w:val="14F17494"/>
    <w:rsid w:val="15DC6C15"/>
    <w:rsid w:val="161F23BA"/>
    <w:rsid w:val="167D7355"/>
    <w:rsid w:val="169B736F"/>
    <w:rsid w:val="16BF12AA"/>
    <w:rsid w:val="16DD3805"/>
    <w:rsid w:val="16F615E1"/>
    <w:rsid w:val="176D1177"/>
    <w:rsid w:val="17DD7839"/>
    <w:rsid w:val="18064177"/>
    <w:rsid w:val="184E71FB"/>
    <w:rsid w:val="18574FDE"/>
    <w:rsid w:val="185A1AA5"/>
    <w:rsid w:val="188E5849"/>
    <w:rsid w:val="189746FE"/>
    <w:rsid w:val="189F1AF7"/>
    <w:rsid w:val="18A47AFC"/>
    <w:rsid w:val="18BA4947"/>
    <w:rsid w:val="18BC4EA1"/>
    <w:rsid w:val="18CE20EA"/>
    <w:rsid w:val="197C6776"/>
    <w:rsid w:val="199A737C"/>
    <w:rsid w:val="19AC242B"/>
    <w:rsid w:val="19CA6B54"/>
    <w:rsid w:val="19F824A4"/>
    <w:rsid w:val="19F8652E"/>
    <w:rsid w:val="1A5F5EDE"/>
    <w:rsid w:val="1B874AF7"/>
    <w:rsid w:val="1C1E610B"/>
    <w:rsid w:val="1C3861F8"/>
    <w:rsid w:val="1C9553F8"/>
    <w:rsid w:val="1D594FC0"/>
    <w:rsid w:val="1D9374E2"/>
    <w:rsid w:val="1D992CC6"/>
    <w:rsid w:val="1DB90420"/>
    <w:rsid w:val="1E0C3B6A"/>
    <w:rsid w:val="1E3621E2"/>
    <w:rsid w:val="1E37603B"/>
    <w:rsid w:val="1E4427E1"/>
    <w:rsid w:val="1ED06729"/>
    <w:rsid w:val="1EE06ED7"/>
    <w:rsid w:val="1EEC5078"/>
    <w:rsid w:val="1F514488"/>
    <w:rsid w:val="1FC41B50"/>
    <w:rsid w:val="20473C4C"/>
    <w:rsid w:val="20660B38"/>
    <w:rsid w:val="2079293B"/>
    <w:rsid w:val="208E4638"/>
    <w:rsid w:val="209377B8"/>
    <w:rsid w:val="20BE47F2"/>
    <w:rsid w:val="21555156"/>
    <w:rsid w:val="217575A6"/>
    <w:rsid w:val="218203C8"/>
    <w:rsid w:val="21DD71FC"/>
    <w:rsid w:val="221E1A8A"/>
    <w:rsid w:val="2236442E"/>
    <w:rsid w:val="22D80503"/>
    <w:rsid w:val="22DE3B19"/>
    <w:rsid w:val="22E718DD"/>
    <w:rsid w:val="22ED386C"/>
    <w:rsid w:val="230428D8"/>
    <w:rsid w:val="23867849"/>
    <w:rsid w:val="24531E4A"/>
    <w:rsid w:val="24AF703C"/>
    <w:rsid w:val="24C53D08"/>
    <w:rsid w:val="24C82B7B"/>
    <w:rsid w:val="24F95C80"/>
    <w:rsid w:val="251779C6"/>
    <w:rsid w:val="25311A36"/>
    <w:rsid w:val="2570695E"/>
    <w:rsid w:val="257F27A2"/>
    <w:rsid w:val="25AC12CE"/>
    <w:rsid w:val="25DC7BF4"/>
    <w:rsid w:val="26485289"/>
    <w:rsid w:val="266256F9"/>
    <w:rsid w:val="26EF48E0"/>
    <w:rsid w:val="26FE42F5"/>
    <w:rsid w:val="272A498F"/>
    <w:rsid w:val="275D555D"/>
    <w:rsid w:val="276C1002"/>
    <w:rsid w:val="27A04C51"/>
    <w:rsid w:val="27F47186"/>
    <w:rsid w:val="289536A8"/>
    <w:rsid w:val="28C8445F"/>
    <w:rsid w:val="28DF1259"/>
    <w:rsid w:val="28E83D31"/>
    <w:rsid w:val="28F96D0F"/>
    <w:rsid w:val="291458E7"/>
    <w:rsid w:val="29170A26"/>
    <w:rsid w:val="293E3E40"/>
    <w:rsid w:val="297D524A"/>
    <w:rsid w:val="29942CB5"/>
    <w:rsid w:val="29BD5F8E"/>
    <w:rsid w:val="29CD3A29"/>
    <w:rsid w:val="2A570191"/>
    <w:rsid w:val="2A7C19A5"/>
    <w:rsid w:val="2B0D0850"/>
    <w:rsid w:val="2B1B2F6C"/>
    <w:rsid w:val="2B204A27"/>
    <w:rsid w:val="2B9D6077"/>
    <w:rsid w:val="2BD12BE5"/>
    <w:rsid w:val="2C624BCB"/>
    <w:rsid w:val="2C9F01B4"/>
    <w:rsid w:val="2D47728A"/>
    <w:rsid w:val="2D6B0EDD"/>
    <w:rsid w:val="2D941D0F"/>
    <w:rsid w:val="2DCC55E9"/>
    <w:rsid w:val="2DE54D2D"/>
    <w:rsid w:val="2E0B376C"/>
    <w:rsid w:val="2E4910CB"/>
    <w:rsid w:val="2E4E5407"/>
    <w:rsid w:val="2E683BD1"/>
    <w:rsid w:val="2EBF6305"/>
    <w:rsid w:val="2ECE6548"/>
    <w:rsid w:val="2EE32E7F"/>
    <w:rsid w:val="2F326AD7"/>
    <w:rsid w:val="2F6C46D1"/>
    <w:rsid w:val="2FDE1B0D"/>
    <w:rsid w:val="2FE000D5"/>
    <w:rsid w:val="300C7DD0"/>
    <w:rsid w:val="301763EC"/>
    <w:rsid w:val="305B5EDD"/>
    <w:rsid w:val="306B6744"/>
    <w:rsid w:val="3091782D"/>
    <w:rsid w:val="30A532D8"/>
    <w:rsid w:val="31A37E74"/>
    <w:rsid w:val="31CA56EC"/>
    <w:rsid w:val="323F16FE"/>
    <w:rsid w:val="32755658"/>
    <w:rsid w:val="327A4E06"/>
    <w:rsid w:val="329B11B7"/>
    <w:rsid w:val="329F4483"/>
    <w:rsid w:val="32E225C2"/>
    <w:rsid w:val="33A84E4D"/>
    <w:rsid w:val="34703AAA"/>
    <w:rsid w:val="347B2A5F"/>
    <w:rsid w:val="348B0A0A"/>
    <w:rsid w:val="34BF5A78"/>
    <w:rsid w:val="35150A2C"/>
    <w:rsid w:val="359F765A"/>
    <w:rsid w:val="35C613E9"/>
    <w:rsid w:val="360B2F4A"/>
    <w:rsid w:val="361B02C4"/>
    <w:rsid w:val="3622228B"/>
    <w:rsid w:val="365244E9"/>
    <w:rsid w:val="368214DA"/>
    <w:rsid w:val="36EC3294"/>
    <w:rsid w:val="371B457E"/>
    <w:rsid w:val="371F3DE4"/>
    <w:rsid w:val="37803D3B"/>
    <w:rsid w:val="37A34A15"/>
    <w:rsid w:val="37BA0B56"/>
    <w:rsid w:val="37BA3643"/>
    <w:rsid w:val="37D90437"/>
    <w:rsid w:val="390C7E91"/>
    <w:rsid w:val="3971644D"/>
    <w:rsid w:val="39767B13"/>
    <w:rsid w:val="39DA0497"/>
    <w:rsid w:val="39DC5FBD"/>
    <w:rsid w:val="3AA52863"/>
    <w:rsid w:val="3AB92FEC"/>
    <w:rsid w:val="3AC12471"/>
    <w:rsid w:val="3B201ED9"/>
    <w:rsid w:val="3B251BE5"/>
    <w:rsid w:val="3B5901B9"/>
    <w:rsid w:val="3B5D4EDB"/>
    <w:rsid w:val="3B954E32"/>
    <w:rsid w:val="3BB52F3F"/>
    <w:rsid w:val="3C045F6C"/>
    <w:rsid w:val="3C3C2D43"/>
    <w:rsid w:val="3C6329B0"/>
    <w:rsid w:val="3C673A15"/>
    <w:rsid w:val="3CB11983"/>
    <w:rsid w:val="3CC8229C"/>
    <w:rsid w:val="3CD236A7"/>
    <w:rsid w:val="3CE05DC4"/>
    <w:rsid w:val="3D475B6E"/>
    <w:rsid w:val="3DAD5802"/>
    <w:rsid w:val="3E43534C"/>
    <w:rsid w:val="3E7266F9"/>
    <w:rsid w:val="3EAE247B"/>
    <w:rsid w:val="3ED25BE0"/>
    <w:rsid w:val="3ED51E49"/>
    <w:rsid w:val="3F253C47"/>
    <w:rsid w:val="3F261F20"/>
    <w:rsid w:val="3F3C1B1F"/>
    <w:rsid w:val="3F584337"/>
    <w:rsid w:val="3FAC4174"/>
    <w:rsid w:val="4070745F"/>
    <w:rsid w:val="40763FAC"/>
    <w:rsid w:val="408F1FDB"/>
    <w:rsid w:val="40C53A2B"/>
    <w:rsid w:val="413A2666"/>
    <w:rsid w:val="41AB0AB2"/>
    <w:rsid w:val="41C1381D"/>
    <w:rsid w:val="41D63AE4"/>
    <w:rsid w:val="41EE068E"/>
    <w:rsid w:val="425B713F"/>
    <w:rsid w:val="429F4609"/>
    <w:rsid w:val="42AA4915"/>
    <w:rsid w:val="42D703E3"/>
    <w:rsid w:val="43235FF4"/>
    <w:rsid w:val="436E5BE5"/>
    <w:rsid w:val="43BD4B4A"/>
    <w:rsid w:val="43C53F65"/>
    <w:rsid w:val="4482351C"/>
    <w:rsid w:val="45072B81"/>
    <w:rsid w:val="459C2AA4"/>
    <w:rsid w:val="462C063A"/>
    <w:rsid w:val="463735B9"/>
    <w:rsid w:val="464D570B"/>
    <w:rsid w:val="466167A9"/>
    <w:rsid w:val="469E17E5"/>
    <w:rsid w:val="46BD2CD2"/>
    <w:rsid w:val="47532C9A"/>
    <w:rsid w:val="47A81BD4"/>
    <w:rsid w:val="47B70A16"/>
    <w:rsid w:val="47C4574E"/>
    <w:rsid w:val="47EA7940"/>
    <w:rsid w:val="47ED307D"/>
    <w:rsid w:val="480D1A37"/>
    <w:rsid w:val="48632CA6"/>
    <w:rsid w:val="48AF2AEE"/>
    <w:rsid w:val="49521DF7"/>
    <w:rsid w:val="4A5676C5"/>
    <w:rsid w:val="4A8E0D19"/>
    <w:rsid w:val="4AAD5BAC"/>
    <w:rsid w:val="4AD02CDB"/>
    <w:rsid w:val="4AD32296"/>
    <w:rsid w:val="4B036A00"/>
    <w:rsid w:val="4B4C5754"/>
    <w:rsid w:val="4B692527"/>
    <w:rsid w:val="4B896845"/>
    <w:rsid w:val="4BC32B39"/>
    <w:rsid w:val="4C3E0CA3"/>
    <w:rsid w:val="4C3E48B5"/>
    <w:rsid w:val="4C986C9C"/>
    <w:rsid w:val="4CCC3C6F"/>
    <w:rsid w:val="4CF34116"/>
    <w:rsid w:val="4CF51418"/>
    <w:rsid w:val="4D594BA2"/>
    <w:rsid w:val="4D6B16DA"/>
    <w:rsid w:val="4DC4703C"/>
    <w:rsid w:val="4DF80A94"/>
    <w:rsid w:val="4DFA0CB0"/>
    <w:rsid w:val="4E801E3D"/>
    <w:rsid w:val="4EAB2F9E"/>
    <w:rsid w:val="4EE74D90"/>
    <w:rsid w:val="4EF83441"/>
    <w:rsid w:val="4F117CA0"/>
    <w:rsid w:val="4F2C6C47"/>
    <w:rsid w:val="4FA53E52"/>
    <w:rsid w:val="4FB53274"/>
    <w:rsid w:val="4FEE0B5A"/>
    <w:rsid w:val="4FFE51A2"/>
    <w:rsid w:val="50377F99"/>
    <w:rsid w:val="50385459"/>
    <w:rsid w:val="505E04E8"/>
    <w:rsid w:val="51475FBA"/>
    <w:rsid w:val="517575E4"/>
    <w:rsid w:val="51797BE3"/>
    <w:rsid w:val="517F39A6"/>
    <w:rsid w:val="518B234A"/>
    <w:rsid w:val="51FC76AB"/>
    <w:rsid w:val="52072D6D"/>
    <w:rsid w:val="5208399B"/>
    <w:rsid w:val="520B3EC2"/>
    <w:rsid w:val="52291B63"/>
    <w:rsid w:val="52773F4A"/>
    <w:rsid w:val="52992845"/>
    <w:rsid w:val="52AA2CA4"/>
    <w:rsid w:val="52B92EE7"/>
    <w:rsid w:val="52BC29D7"/>
    <w:rsid w:val="52F43F1F"/>
    <w:rsid w:val="539A0E2A"/>
    <w:rsid w:val="53A25146"/>
    <w:rsid w:val="53B441AC"/>
    <w:rsid w:val="53C71BA9"/>
    <w:rsid w:val="54286D42"/>
    <w:rsid w:val="54330A77"/>
    <w:rsid w:val="54521051"/>
    <w:rsid w:val="5473011D"/>
    <w:rsid w:val="54AD082A"/>
    <w:rsid w:val="54BB2F47"/>
    <w:rsid w:val="54BD45AE"/>
    <w:rsid w:val="54CC515B"/>
    <w:rsid w:val="54E87AB4"/>
    <w:rsid w:val="552C177F"/>
    <w:rsid w:val="55495648"/>
    <w:rsid w:val="554B1933"/>
    <w:rsid w:val="55545149"/>
    <w:rsid w:val="5595676E"/>
    <w:rsid w:val="5597330F"/>
    <w:rsid w:val="55AA2FBB"/>
    <w:rsid w:val="55B9695A"/>
    <w:rsid w:val="562B0474"/>
    <w:rsid w:val="563C1E65"/>
    <w:rsid w:val="566B274A"/>
    <w:rsid w:val="56846B43"/>
    <w:rsid w:val="56BE0ACC"/>
    <w:rsid w:val="57376AD1"/>
    <w:rsid w:val="575D430A"/>
    <w:rsid w:val="576F7A7F"/>
    <w:rsid w:val="57B81478"/>
    <w:rsid w:val="57C3211F"/>
    <w:rsid w:val="582D4969"/>
    <w:rsid w:val="58376975"/>
    <w:rsid w:val="585767E0"/>
    <w:rsid w:val="59213594"/>
    <w:rsid w:val="596C5D33"/>
    <w:rsid w:val="59CC77BF"/>
    <w:rsid w:val="59EC3BA2"/>
    <w:rsid w:val="5A510752"/>
    <w:rsid w:val="5A551748"/>
    <w:rsid w:val="5AD7215D"/>
    <w:rsid w:val="5AE8181F"/>
    <w:rsid w:val="5B1E422F"/>
    <w:rsid w:val="5B597015"/>
    <w:rsid w:val="5B94004E"/>
    <w:rsid w:val="5B992327"/>
    <w:rsid w:val="5BD078B1"/>
    <w:rsid w:val="5C2D0D2B"/>
    <w:rsid w:val="5C7F519E"/>
    <w:rsid w:val="5DA33C1E"/>
    <w:rsid w:val="5DE7023E"/>
    <w:rsid w:val="5DF72B16"/>
    <w:rsid w:val="5E6A32E8"/>
    <w:rsid w:val="5E7269DF"/>
    <w:rsid w:val="5EEB267A"/>
    <w:rsid w:val="5EFD5B80"/>
    <w:rsid w:val="5F291A96"/>
    <w:rsid w:val="5F467786"/>
    <w:rsid w:val="5F51659D"/>
    <w:rsid w:val="5F583C99"/>
    <w:rsid w:val="5FC07AF8"/>
    <w:rsid w:val="5FFC1BCD"/>
    <w:rsid w:val="60732927"/>
    <w:rsid w:val="6075653D"/>
    <w:rsid w:val="60794423"/>
    <w:rsid w:val="60B92304"/>
    <w:rsid w:val="60D5218F"/>
    <w:rsid w:val="615D17EC"/>
    <w:rsid w:val="61753621"/>
    <w:rsid w:val="63027A37"/>
    <w:rsid w:val="630A1DE1"/>
    <w:rsid w:val="634C7460"/>
    <w:rsid w:val="63576530"/>
    <w:rsid w:val="64247748"/>
    <w:rsid w:val="656A2DF5"/>
    <w:rsid w:val="6574699F"/>
    <w:rsid w:val="65E36874"/>
    <w:rsid w:val="65EE2DFD"/>
    <w:rsid w:val="661D4897"/>
    <w:rsid w:val="665C3E5E"/>
    <w:rsid w:val="666F0E5A"/>
    <w:rsid w:val="666F593F"/>
    <w:rsid w:val="66705BC9"/>
    <w:rsid w:val="66A30CDB"/>
    <w:rsid w:val="66F81DD8"/>
    <w:rsid w:val="66F83B86"/>
    <w:rsid w:val="6714680B"/>
    <w:rsid w:val="6723111E"/>
    <w:rsid w:val="6723647B"/>
    <w:rsid w:val="67AE06E9"/>
    <w:rsid w:val="681E0AFA"/>
    <w:rsid w:val="68321382"/>
    <w:rsid w:val="683C1DE5"/>
    <w:rsid w:val="683C7AA3"/>
    <w:rsid w:val="68462183"/>
    <w:rsid w:val="6896732F"/>
    <w:rsid w:val="68CC7870"/>
    <w:rsid w:val="68F072E5"/>
    <w:rsid w:val="69FA0E9A"/>
    <w:rsid w:val="6A040A94"/>
    <w:rsid w:val="6A1E6767"/>
    <w:rsid w:val="6A317DAA"/>
    <w:rsid w:val="6B226F0A"/>
    <w:rsid w:val="6B596BBE"/>
    <w:rsid w:val="6B7A2760"/>
    <w:rsid w:val="6B826114"/>
    <w:rsid w:val="6BC4672D"/>
    <w:rsid w:val="6C5A5B54"/>
    <w:rsid w:val="6D3F3B91"/>
    <w:rsid w:val="6D5331F7"/>
    <w:rsid w:val="6D79057F"/>
    <w:rsid w:val="6DAC1227"/>
    <w:rsid w:val="6DCE1D4D"/>
    <w:rsid w:val="6DFB3020"/>
    <w:rsid w:val="6E511DCE"/>
    <w:rsid w:val="6E785735"/>
    <w:rsid w:val="6EDD7D36"/>
    <w:rsid w:val="6F140570"/>
    <w:rsid w:val="6FD92F2F"/>
    <w:rsid w:val="6FF37E5C"/>
    <w:rsid w:val="708F6BDE"/>
    <w:rsid w:val="71193077"/>
    <w:rsid w:val="715E6F0F"/>
    <w:rsid w:val="71DE13C0"/>
    <w:rsid w:val="71F45C1D"/>
    <w:rsid w:val="72227D09"/>
    <w:rsid w:val="724573D2"/>
    <w:rsid w:val="729A773C"/>
    <w:rsid w:val="72D51220"/>
    <w:rsid w:val="738F5872"/>
    <w:rsid w:val="73AE628E"/>
    <w:rsid w:val="742A7C83"/>
    <w:rsid w:val="7449525A"/>
    <w:rsid w:val="748527D2"/>
    <w:rsid w:val="74AA4797"/>
    <w:rsid w:val="74FD0F42"/>
    <w:rsid w:val="751C1388"/>
    <w:rsid w:val="75AB6268"/>
    <w:rsid w:val="75CE3AAA"/>
    <w:rsid w:val="76992564"/>
    <w:rsid w:val="77130569"/>
    <w:rsid w:val="7769462C"/>
    <w:rsid w:val="77FB7048"/>
    <w:rsid w:val="78633ED9"/>
    <w:rsid w:val="7867228E"/>
    <w:rsid w:val="78A72549"/>
    <w:rsid w:val="78F24BCC"/>
    <w:rsid w:val="796E7C36"/>
    <w:rsid w:val="79C43D9C"/>
    <w:rsid w:val="7A132E5B"/>
    <w:rsid w:val="7A9A5170"/>
    <w:rsid w:val="7AFB1A3F"/>
    <w:rsid w:val="7B683F9D"/>
    <w:rsid w:val="7BB30B9E"/>
    <w:rsid w:val="7BB3231A"/>
    <w:rsid w:val="7BBD3977"/>
    <w:rsid w:val="7C1728A9"/>
    <w:rsid w:val="7C501917"/>
    <w:rsid w:val="7C6C3C5E"/>
    <w:rsid w:val="7C74298E"/>
    <w:rsid w:val="7C7B2F9C"/>
    <w:rsid w:val="7C835899"/>
    <w:rsid w:val="7CA44918"/>
    <w:rsid w:val="7CAD0B17"/>
    <w:rsid w:val="7CE56503"/>
    <w:rsid w:val="7D026909"/>
    <w:rsid w:val="7D8D08ED"/>
    <w:rsid w:val="7E0A50FF"/>
    <w:rsid w:val="7E542173"/>
    <w:rsid w:val="7E5D350D"/>
    <w:rsid w:val="7E697975"/>
    <w:rsid w:val="7E7D753D"/>
    <w:rsid w:val="7E952009"/>
    <w:rsid w:val="7ED54355"/>
    <w:rsid w:val="7EF57DE7"/>
    <w:rsid w:val="7F58120E"/>
    <w:rsid w:val="7F65392B"/>
    <w:rsid w:val="7F73429A"/>
    <w:rsid w:val="7F8909CB"/>
    <w:rsid w:val="7F9016EA"/>
    <w:rsid w:val="7FC212AF"/>
    <w:rsid w:val="7FE9455C"/>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2"/>
    <w:autoRedefine/>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autoRedefine/>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autoRedefine/>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semiHidden/>
    <w:qFormat/>
    <w:uiPriority w:val="0"/>
    <w:pPr>
      <w:ind w:left="420" w:leftChars="200"/>
    </w:pPr>
  </w:style>
  <w:style w:type="paragraph" w:styleId="7">
    <w:name w:val="Normal Indent"/>
    <w:basedOn w:val="1"/>
    <w:next w:val="1"/>
    <w:autoRedefine/>
    <w:qFormat/>
    <w:uiPriority w:val="0"/>
    <w:pPr>
      <w:spacing w:line="360" w:lineRule="auto"/>
      <w:ind w:firstLine="200" w:firstLineChars="200"/>
    </w:pPr>
    <w:rPr>
      <w:rFonts w:ascii="Times New Roman" w:hAnsi="Times New Roman"/>
      <w:sz w:val="28"/>
      <w:szCs w:val="20"/>
    </w:rPr>
  </w:style>
  <w:style w:type="paragraph" w:styleId="8">
    <w:name w:val="index 5"/>
    <w:basedOn w:val="1"/>
    <w:next w:val="1"/>
    <w:autoRedefine/>
    <w:qFormat/>
    <w:uiPriority w:val="0"/>
    <w:pPr>
      <w:ind w:left="1680"/>
    </w:p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
    <w:autoRedefine/>
    <w:qFormat/>
    <w:uiPriority w:val="0"/>
    <w:pPr>
      <w:spacing w:after="120"/>
      <w:ind w:left="420" w:leftChars="200"/>
    </w:pPr>
    <w:rPr>
      <w:rFonts w:ascii="Times New Roman" w:hAnsi="Times New Roman"/>
      <w:sz w:val="20"/>
      <w:szCs w:val="24"/>
    </w:rPr>
  </w:style>
  <w:style w:type="paragraph" w:styleId="13">
    <w:name w:val="toc 3"/>
    <w:basedOn w:val="1"/>
    <w:next w:val="1"/>
    <w:autoRedefine/>
    <w:semiHidden/>
    <w:unhideWhenUsed/>
    <w:qFormat/>
    <w:uiPriority w:val="39"/>
    <w:pPr>
      <w:ind w:left="840" w:leftChars="400"/>
    </w:pPr>
  </w:style>
  <w:style w:type="paragraph" w:styleId="14">
    <w:name w:val="Plain Text"/>
    <w:basedOn w:val="1"/>
    <w:autoRedefine/>
    <w:qFormat/>
    <w:uiPriority w:val="0"/>
    <w:rPr>
      <w:rFonts w:ascii="宋体" w:hAnsi="Times New Roman"/>
      <w:szCs w:val="24"/>
    </w:r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qFormat/>
    <w:uiPriority w:val="99"/>
    <w:pPr>
      <w:ind w:firstLine="480"/>
    </w:pPr>
    <w:rPr>
      <w:rFonts w:asciiTheme="minorHAnsi" w:hAnsiTheme="minorHAnsi" w:eastAsiaTheme="minorEastAsia" w:cstheme="minorBidi"/>
    </w:rPr>
  </w:style>
  <w:style w:type="paragraph" w:styleId="17">
    <w:name w:val="Balloon Text"/>
    <w:basedOn w:val="1"/>
    <w:link w:val="66"/>
    <w:autoRedefine/>
    <w:semiHidden/>
    <w:unhideWhenUsed/>
    <w:qFormat/>
    <w:uiPriority w:val="99"/>
    <w:rPr>
      <w:sz w:val="18"/>
      <w:szCs w:val="18"/>
    </w:rPr>
  </w:style>
  <w:style w:type="paragraph" w:styleId="18">
    <w:name w:val="footer"/>
    <w:basedOn w:val="1"/>
    <w:link w:val="51"/>
    <w:autoRedefine/>
    <w:qFormat/>
    <w:uiPriority w:val="0"/>
    <w:pPr>
      <w:tabs>
        <w:tab w:val="center" w:pos="4153"/>
        <w:tab w:val="right" w:pos="8306"/>
      </w:tabs>
      <w:snapToGrid w:val="0"/>
    </w:pPr>
    <w:rPr>
      <w:sz w:val="18"/>
      <w:szCs w:val="18"/>
    </w:rPr>
  </w:style>
  <w:style w:type="paragraph" w:styleId="19">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unhideWhenUsed/>
    <w:qFormat/>
    <w:uiPriority w:val="39"/>
  </w:style>
  <w:style w:type="paragraph" w:styleId="21">
    <w:name w:val="Subtitle"/>
    <w:basedOn w:val="1"/>
    <w:next w:val="1"/>
    <w:autoRedefine/>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2">
    <w:name w:val="toc 2"/>
    <w:basedOn w:val="1"/>
    <w:next w:val="1"/>
    <w:autoRedefine/>
    <w:semiHidden/>
    <w:unhideWhenUsed/>
    <w:qFormat/>
    <w:uiPriority w:val="39"/>
    <w:pPr>
      <w:ind w:left="420" w:leftChars="200"/>
    </w:pPr>
  </w:style>
  <w:style w:type="paragraph" w:styleId="23">
    <w:name w:val="Normal (Web)"/>
    <w:basedOn w:val="1"/>
    <w:autoRedefine/>
    <w:qFormat/>
    <w:uiPriority w:val="99"/>
    <w:pPr>
      <w:spacing w:before="100" w:beforeAutospacing="1" w:after="100" w:afterAutospacing="1"/>
      <w:textAlignment w:val="auto"/>
    </w:pPr>
    <w:rPr>
      <w:rFonts w:cs="宋体"/>
      <w:sz w:val="24"/>
      <w:szCs w:val="24"/>
      <w:lang w:eastAsia="zh-CN"/>
    </w:rPr>
  </w:style>
  <w:style w:type="paragraph" w:styleId="24">
    <w:name w:val="Title"/>
    <w:basedOn w:val="1"/>
    <w:next w:val="1"/>
    <w:autoRedefine/>
    <w:qFormat/>
    <w:uiPriority w:val="0"/>
    <w:pPr>
      <w:adjustRightInd w:val="0"/>
      <w:snapToGrid w:val="0"/>
      <w:spacing w:before="120" w:after="120"/>
      <w:outlineLvl w:val="0"/>
    </w:pPr>
    <w:rPr>
      <w:rFonts w:ascii="黑体" w:hAnsi="Times New Roman" w:cs="Times New Roman"/>
      <w:b/>
      <w:snapToGrid w:val="0"/>
      <w:kern w:val="0"/>
      <w:szCs w:val="20"/>
    </w:rPr>
  </w:style>
  <w:style w:type="paragraph" w:styleId="25">
    <w:name w:val="Body Text First Indent"/>
    <w:basedOn w:val="11"/>
    <w:next w:val="1"/>
    <w:autoRedefine/>
    <w:qFormat/>
    <w:uiPriority w:val="0"/>
    <w:pPr>
      <w:spacing w:line="360" w:lineRule="auto"/>
      <w:ind w:firstLine="420" w:firstLineChars="100"/>
    </w:pPr>
    <w:rPr>
      <w:rFonts w:hint="eastAsia"/>
      <w:sz w:val="24"/>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Hyperlink"/>
    <w:basedOn w:val="29"/>
    <w:autoRedefine/>
    <w:qFormat/>
    <w:uiPriority w:val="99"/>
    <w:rPr>
      <w:color w:val="0657AB"/>
      <w:u w:val="none"/>
    </w:rPr>
  </w:style>
  <w:style w:type="character" w:styleId="32">
    <w:name w:val="HTML Sample"/>
    <w:basedOn w:val="29"/>
    <w:autoRedefine/>
    <w:qFormat/>
    <w:uiPriority w:val="0"/>
    <w:rPr>
      <w:rFonts w:ascii="Courier New" w:hAnsi="Courier New"/>
    </w:rPr>
  </w:style>
  <w:style w:type="paragraph" w:customStyle="1" w:styleId="33">
    <w:name w:val="标题 5（有编号）（绿盟科技）"/>
    <w:basedOn w:val="1"/>
    <w:next w:val="34"/>
    <w:autoRedefine/>
    <w:qFormat/>
    <w:uiPriority w:val="0"/>
    <w:pPr>
      <w:keepNext/>
      <w:keepLines/>
      <w:spacing w:before="280" w:after="156" w:line="377" w:lineRule="auto"/>
      <w:outlineLvl w:val="4"/>
    </w:pPr>
    <w:rPr>
      <w:rFonts w:ascii="Arial" w:hAnsi="Arial" w:eastAsia="黑体"/>
      <w:b/>
      <w:sz w:val="24"/>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NormalCharacter"/>
    <w:autoRedefine/>
    <w:qFormat/>
    <w:uiPriority w:val="0"/>
  </w:style>
  <w:style w:type="table" w:customStyle="1" w:styleId="36">
    <w:name w:val="TableNormal"/>
    <w:autoRedefine/>
    <w:qFormat/>
    <w:uiPriority w:val="0"/>
    <w:tblPr>
      <w:tblCellMar>
        <w:top w:w="0" w:type="dxa"/>
        <w:left w:w="0" w:type="dxa"/>
        <w:bottom w:w="0" w:type="dxa"/>
        <w:right w:w="0" w:type="dxa"/>
      </w:tblCellMar>
    </w:tblPr>
  </w:style>
  <w:style w:type="paragraph" w:customStyle="1" w:styleId="37">
    <w:name w:val="UserStyle_0"/>
    <w:basedOn w:val="1"/>
    <w:next w:val="1"/>
    <w:autoRedefine/>
    <w:qFormat/>
    <w:uiPriority w:val="0"/>
    <w:pPr>
      <w:ind w:firstLine="560"/>
    </w:pPr>
  </w:style>
  <w:style w:type="paragraph" w:customStyle="1" w:styleId="38">
    <w:name w:val="BodyText"/>
    <w:basedOn w:val="1"/>
    <w:autoRedefine/>
    <w:qFormat/>
    <w:uiPriority w:val="0"/>
    <w:pPr>
      <w:ind w:left="109"/>
    </w:pPr>
    <w:rPr>
      <w:sz w:val="24"/>
      <w:szCs w:val="24"/>
    </w:rPr>
  </w:style>
  <w:style w:type="paragraph" w:customStyle="1" w:styleId="39">
    <w:name w:val="BodyText1I"/>
    <w:basedOn w:val="38"/>
    <w:autoRedefine/>
    <w:qFormat/>
    <w:uiPriority w:val="0"/>
    <w:pPr>
      <w:ind w:firstLine="420" w:firstLineChars="100"/>
      <w:jc w:val="center"/>
    </w:pPr>
    <w:rPr>
      <w:rFonts w:cs="宋体"/>
      <w:b/>
      <w:bCs/>
      <w:kern w:val="2"/>
      <w:sz w:val="36"/>
    </w:rPr>
  </w:style>
  <w:style w:type="paragraph" w:customStyle="1" w:styleId="40">
    <w:name w:val="UserStyle_1"/>
    <w:basedOn w:val="1"/>
    <w:autoRedefine/>
    <w:qFormat/>
    <w:uiPriority w:val="0"/>
    <w:pPr>
      <w:ind w:left="54"/>
      <w:jc w:val="center"/>
    </w:pPr>
    <w:rPr>
      <w:rFonts w:cs="宋体"/>
      <w:b/>
      <w:bCs/>
      <w:sz w:val="40"/>
      <w:szCs w:val="40"/>
    </w:rPr>
  </w:style>
  <w:style w:type="paragraph" w:customStyle="1" w:styleId="41">
    <w:name w:val="UserStyle_2"/>
    <w:basedOn w:val="1"/>
    <w:autoRedefine/>
    <w:qFormat/>
    <w:uiPriority w:val="0"/>
    <w:pPr>
      <w:jc w:val="center"/>
    </w:pPr>
    <w:rPr>
      <w:rFonts w:cs="宋体"/>
      <w:b/>
      <w:bCs/>
      <w:sz w:val="36"/>
      <w:szCs w:val="36"/>
    </w:rPr>
  </w:style>
  <w:style w:type="paragraph" w:customStyle="1" w:styleId="42">
    <w:name w:val="UserStyle_3"/>
    <w:basedOn w:val="1"/>
    <w:autoRedefine/>
    <w:qFormat/>
    <w:uiPriority w:val="0"/>
    <w:pPr>
      <w:ind w:left="23"/>
      <w:jc w:val="center"/>
    </w:pPr>
    <w:rPr>
      <w:rFonts w:cs="宋体"/>
      <w:b/>
      <w:bCs/>
      <w:sz w:val="30"/>
      <w:szCs w:val="30"/>
    </w:rPr>
  </w:style>
  <w:style w:type="paragraph" w:customStyle="1" w:styleId="43">
    <w:name w:val="UserStyle_4"/>
    <w:basedOn w:val="1"/>
    <w:autoRedefine/>
    <w:qFormat/>
    <w:uiPriority w:val="0"/>
  </w:style>
  <w:style w:type="table" w:customStyle="1" w:styleId="44">
    <w:name w:val="UserStyle_5"/>
    <w:autoRedefine/>
    <w:qFormat/>
    <w:uiPriority w:val="0"/>
    <w:tblPr>
      <w:tblCellMar>
        <w:top w:w="0" w:type="dxa"/>
        <w:left w:w="0" w:type="dxa"/>
        <w:bottom w:w="0" w:type="dxa"/>
        <w:right w:w="0" w:type="dxa"/>
      </w:tblCellMar>
    </w:tblPr>
  </w:style>
  <w:style w:type="paragraph" w:customStyle="1" w:styleId="45">
    <w:name w:val="UserStyle_6"/>
    <w:basedOn w:val="1"/>
    <w:autoRedefine/>
    <w:qFormat/>
    <w:uiPriority w:val="0"/>
    <w:pPr>
      <w:spacing w:before="31"/>
      <w:ind w:left="591"/>
    </w:pPr>
    <w:rPr>
      <w:rFonts w:cs="宋体"/>
      <w:b/>
      <w:bCs/>
      <w:sz w:val="24"/>
      <w:szCs w:val="24"/>
    </w:rPr>
  </w:style>
  <w:style w:type="paragraph" w:customStyle="1" w:styleId="46">
    <w:name w:val="UserStyle_7"/>
    <w:basedOn w:val="1"/>
    <w:autoRedefine/>
    <w:qFormat/>
    <w:uiPriority w:val="0"/>
    <w:pPr>
      <w:ind w:left="152"/>
      <w:jc w:val="center"/>
    </w:pPr>
    <w:rPr>
      <w:rFonts w:cs="宋体"/>
      <w:b/>
      <w:bCs/>
      <w:sz w:val="32"/>
      <w:szCs w:val="32"/>
    </w:rPr>
  </w:style>
  <w:style w:type="paragraph" w:customStyle="1" w:styleId="47">
    <w:name w:val="179"/>
    <w:basedOn w:val="1"/>
    <w:autoRedefine/>
    <w:qFormat/>
    <w:uiPriority w:val="0"/>
    <w:pPr>
      <w:spacing w:before="31"/>
      <w:ind w:left="109" w:firstLine="480"/>
    </w:pPr>
  </w:style>
  <w:style w:type="paragraph" w:customStyle="1" w:styleId="48">
    <w:name w:val="UserStyle_8"/>
    <w:basedOn w:val="1"/>
    <w:autoRedefine/>
    <w:qFormat/>
    <w:uiPriority w:val="0"/>
    <w:pPr>
      <w:ind w:left="109"/>
    </w:pPr>
    <w:rPr>
      <w:rFonts w:cs="宋体"/>
      <w:b/>
      <w:bCs/>
      <w:sz w:val="28"/>
      <w:szCs w:val="28"/>
    </w:rPr>
  </w:style>
  <w:style w:type="paragraph" w:customStyle="1" w:styleId="49">
    <w:name w:val="UserStyle_9"/>
    <w:basedOn w:val="1"/>
    <w:autoRedefine/>
    <w:qFormat/>
    <w:uiPriority w:val="0"/>
    <w:pPr>
      <w:ind w:firstLine="420" w:firstLineChars="200"/>
    </w:pPr>
  </w:style>
  <w:style w:type="character" w:customStyle="1" w:styleId="50">
    <w:name w:val="页眉 字符"/>
    <w:basedOn w:val="29"/>
    <w:link w:val="19"/>
    <w:autoRedefine/>
    <w:qFormat/>
    <w:uiPriority w:val="99"/>
    <w:rPr>
      <w:rFonts w:ascii="宋体" w:hAnsi="宋体"/>
      <w:sz w:val="18"/>
      <w:szCs w:val="18"/>
      <w:lang w:eastAsia="en-US"/>
    </w:rPr>
  </w:style>
  <w:style w:type="character" w:customStyle="1" w:styleId="51">
    <w:name w:val="页脚 字符"/>
    <w:basedOn w:val="29"/>
    <w:link w:val="18"/>
    <w:autoRedefine/>
    <w:qFormat/>
    <w:uiPriority w:val="0"/>
    <w:rPr>
      <w:rFonts w:ascii="宋体" w:hAnsi="宋体"/>
      <w:sz w:val="18"/>
      <w:szCs w:val="18"/>
      <w:lang w:eastAsia="en-US"/>
    </w:rPr>
  </w:style>
  <w:style w:type="character" w:customStyle="1" w:styleId="52">
    <w:name w:val="标题 1 字符"/>
    <w:basedOn w:val="29"/>
    <w:link w:val="2"/>
    <w:autoRedefine/>
    <w:qFormat/>
    <w:uiPriority w:val="9"/>
    <w:rPr>
      <w:rFonts w:ascii="宋体" w:hAnsi="宋体" w:cs="宋体"/>
      <w:b/>
      <w:bCs/>
      <w:kern w:val="36"/>
      <w:sz w:val="48"/>
      <w:szCs w:val="48"/>
    </w:rPr>
  </w:style>
  <w:style w:type="paragraph" w:customStyle="1" w:styleId="53">
    <w:name w:val="detail-info"/>
    <w:basedOn w:val="1"/>
    <w:autoRedefine/>
    <w:qFormat/>
    <w:uiPriority w:val="0"/>
    <w:pPr>
      <w:spacing w:before="100" w:beforeAutospacing="1" w:after="100" w:afterAutospacing="1"/>
      <w:textAlignment w:val="auto"/>
    </w:pPr>
    <w:rPr>
      <w:rFonts w:cs="宋体"/>
      <w:sz w:val="24"/>
      <w:szCs w:val="24"/>
      <w:lang w:eastAsia="zh-CN"/>
    </w:rPr>
  </w:style>
  <w:style w:type="character" w:customStyle="1" w:styleId="54">
    <w:name w:val="bookmark-item"/>
    <w:basedOn w:val="29"/>
    <w:autoRedefine/>
    <w:qFormat/>
    <w:uiPriority w:val="0"/>
  </w:style>
  <w:style w:type="paragraph" w:styleId="55">
    <w:name w:val="List Paragraph"/>
    <w:basedOn w:val="1"/>
    <w:autoRedefine/>
    <w:qFormat/>
    <w:uiPriority w:val="34"/>
    <w:pPr>
      <w:ind w:firstLine="420" w:firstLineChars="200"/>
    </w:pPr>
  </w:style>
  <w:style w:type="paragraph" w:customStyle="1" w:styleId="56">
    <w:name w:val="标书正文"/>
    <w:basedOn w:val="1"/>
    <w:autoRedefine/>
    <w:qFormat/>
    <w:uiPriority w:val="0"/>
    <w:pPr>
      <w:spacing w:line="560" w:lineRule="exact"/>
      <w:ind w:firstLine="723" w:firstLineChars="200"/>
      <w:jc w:val="center"/>
    </w:pPr>
    <w:rPr>
      <w:rFonts w:ascii="仿宋_GB2312" w:hAnsi="Calibri" w:eastAsia="仿宋_GB2312"/>
      <w:b/>
      <w:sz w:val="36"/>
      <w:szCs w:val="24"/>
    </w:rPr>
  </w:style>
  <w:style w:type="paragraph" w:customStyle="1" w:styleId="5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8">
    <w:name w:val="Table Paragraph"/>
    <w:basedOn w:val="59"/>
    <w:autoRedefine/>
    <w:qFormat/>
    <w:uiPriority w:val="1"/>
    <w:pPr>
      <w:widowControl w:val="0"/>
      <w:autoSpaceDE w:val="0"/>
      <w:autoSpaceDN w:val="0"/>
      <w:textAlignment w:val="auto"/>
    </w:pPr>
    <w:rPr>
      <w:rFonts w:cs="宋体"/>
      <w:lang w:eastAsia="zh-CN"/>
    </w:rPr>
  </w:style>
  <w:style w:type="paragraph" w:customStyle="1" w:styleId="59">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 A"/>
    <w:basedOn w:val="1"/>
    <w:autoRedefine/>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1">
    <w:name w:val="11正文"/>
    <w:basedOn w:val="1"/>
    <w:autoRedefine/>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2">
    <w:name w:val="图"/>
    <w:basedOn w:val="1"/>
    <w:autoRedefine/>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3">
    <w:name w:val="font11"/>
    <w:basedOn w:val="29"/>
    <w:autoRedefine/>
    <w:qFormat/>
    <w:uiPriority w:val="0"/>
    <w:rPr>
      <w:rFonts w:hint="eastAsia" w:ascii="宋体" w:hAnsi="宋体" w:eastAsia="宋体" w:cs="宋体"/>
      <w:color w:val="000000"/>
      <w:sz w:val="24"/>
      <w:szCs w:val="24"/>
      <w:u w:val="none"/>
    </w:rPr>
  </w:style>
  <w:style w:type="character" w:customStyle="1" w:styleId="64">
    <w:name w:val="font01"/>
    <w:basedOn w:val="29"/>
    <w:autoRedefine/>
    <w:qFormat/>
    <w:uiPriority w:val="0"/>
    <w:rPr>
      <w:rFonts w:hint="eastAsia" w:ascii="宋体" w:hAnsi="宋体" w:eastAsia="宋体" w:cs="宋体"/>
      <w:color w:val="000000"/>
      <w:sz w:val="24"/>
      <w:szCs w:val="24"/>
      <w:u w:val="none"/>
    </w:rPr>
  </w:style>
  <w:style w:type="paragraph" w:customStyle="1" w:styleId="65">
    <w:name w:val="招标方案正文"/>
    <w:basedOn w:val="1"/>
    <w:autoRedefine/>
    <w:qFormat/>
    <w:uiPriority w:val="0"/>
    <w:pPr>
      <w:spacing w:line="360" w:lineRule="auto"/>
      <w:ind w:firstLine="200" w:firstLineChars="200"/>
    </w:pPr>
    <w:rPr>
      <w:rFonts w:ascii="Times New Roman" w:hAnsi="Times New Roman"/>
      <w:sz w:val="24"/>
    </w:rPr>
  </w:style>
  <w:style w:type="character" w:customStyle="1" w:styleId="66">
    <w:name w:val="批注框文本 字符"/>
    <w:basedOn w:val="29"/>
    <w:link w:val="17"/>
    <w:autoRedefine/>
    <w:semiHidden/>
    <w:qFormat/>
    <w:uiPriority w:val="99"/>
    <w:rPr>
      <w:rFonts w:ascii="宋体" w:hAnsi="宋体"/>
      <w:sz w:val="18"/>
      <w:szCs w:val="18"/>
      <w:lang w:eastAsia="en-US"/>
    </w:rPr>
  </w:style>
  <w:style w:type="table" w:customStyle="1" w:styleId="67">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68">
    <w:name w:val="标题3"/>
    <w:autoRedefine/>
    <w:qFormat/>
    <w:uiPriority w:val="0"/>
    <w:rPr>
      <w:rFonts w:ascii="仿宋" w:hAnsi="仿宋" w:eastAsia="楷体"/>
      <w:b/>
      <w:kern w:val="1"/>
      <w:sz w:val="32"/>
    </w:rPr>
  </w:style>
  <w:style w:type="table" w:customStyle="1" w:styleId="69">
    <w:name w:val="网格型11"/>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51"/>
    <w:basedOn w:val="29"/>
    <w:autoRedefine/>
    <w:qFormat/>
    <w:uiPriority w:val="0"/>
    <w:rPr>
      <w:rFonts w:hint="default" w:ascii="方正仿宋_GBK" w:hAnsi="方正仿宋_GBK" w:eastAsia="方正仿宋_GBK" w:cs="方正仿宋_GBK"/>
      <w:color w:val="000000"/>
      <w:sz w:val="24"/>
      <w:szCs w:val="24"/>
      <w:u w:val="none"/>
    </w:rPr>
  </w:style>
  <w:style w:type="paragraph" w:customStyle="1" w:styleId="72">
    <w:name w:val="正文缩进1"/>
    <w:basedOn w:val="1"/>
    <w:autoRedefine/>
    <w:qFormat/>
    <w:uiPriority w:val="0"/>
    <w:pPr>
      <w:ind w:firstLine="420" w:firstLineChars="200"/>
    </w:pPr>
  </w:style>
  <w:style w:type="paragraph" w:customStyle="1" w:styleId="7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4">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5">
    <w:name w:val="列表段落1"/>
    <w:basedOn w:val="1"/>
    <w:autoRedefine/>
    <w:qFormat/>
    <w:uiPriority w:val="34"/>
    <w:pPr>
      <w:ind w:firstLine="420" w:firstLineChars="200"/>
    </w:pPr>
  </w:style>
  <w:style w:type="paragraph" w:customStyle="1" w:styleId="76">
    <w:name w:val="Body text|1"/>
    <w:basedOn w:val="1"/>
    <w:autoRedefine/>
    <w:qFormat/>
    <w:uiPriority w:val="0"/>
    <w:pPr>
      <w:widowControl w:val="0"/>
      <w:shd w:val="clear" w:color="auto" w:fill="auto"/>
      <w:spacing w:line="334" w:lineRule="auto"/>
      <w:ind w:firstLine="400"/>
    </w:pPr>
    <w:rPr>
      <w:rFonts w:ascii="宋体" w:hAnsi="宋体" w:eastAsia="宋体" w:cs="宋体"/>
      <w:u w:val="none"/>
      <w:shd w:val="clear" w:color="auto" w:fill="auto"/>
      <w:lang w:val="zh-TW" w:eastAsia="zh-TW" w:bidi="zh-TW"/>
    </w:rPr>
  </w:style>
  <w:style w:type="paragraph" w:customStyle="1" w:styleId="77">
    <w:name w:val="样式1"/>
    <w:basedOn w:val="5"/>
    <w:autoRedefine/>
    <w:qFormat/>
    <w:uiPriority w:val="99"/>
    <w:rPr>
      <w:rFonts w:ascii="宋体" w:hAnsi="宋体"/>
      <w:sz w:val="24"/>
      <w:szCs w:val="24"/>
    </w:rPr>
  </w:style>
  <w:style w:type="paragraph" w:customStyle="1" w:styleId="78">
    <w:name w:val="Normal_1"/>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Table Text"/>
    <w:basedOn w:val="1"/>
    <w:autoRedefine/>
    <w:semiHidden/>
    <w:qFormat/>
    <w:uiPriority w:val="0"/>
    <w:rPr>
      <w:rFonts w:eastAsia="Arial"/>
    </w:rPr>
  </w:style>
  <w:style w:type="paragraph" w:customStyle="1" w:styleId="80">
    <w:name w:val="Other|1"/>
    <w:basedOn w:val="1"/>
    <w:qFormat/>
    <w:uiPriority w:val="0"/>
    <w:pPr>
      <w:widowControl/>
      <w:shd w:val="clear" w:color="000000" w:fill="auto"/>
      <w:bidi/>
      <w:jc w:val="left"/>
    </w:pPr>
    <w:rPr>
      <w:rFonts w:ascii="宋体" w:hAnsi="宋体" w:eastAsia="宋体"/>
      <w:sz w:val="22"/>
      <w:shd w:val="clear" w:color="000000" w:fill="auto"/>
    </w:rPr>
  </w:style>
  <w:style w:type="paragraph" w:styleId="81">
    <w:name w:val="No Spacing"/>
    <w:basedOn w:val="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一级标题"/>
    <w:basedOn w:val="2"/>
    <w:qFormat/>
    <w:uiPriority w:val="0"/>
    <w:pPr>
      <w:spacing w:before="0" w:after="0" w:line="240" w:lineRule="auto"/>
      <w:jc w:val="center"/>
    </w:pPr>
    <w:rPr>
      <w:rFonts w:ascii="方正小标宋_GBK" w:eastAsia="方正小标宋_GBK"/>
      <w:b w:val="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95</Pages>
  <Words>14223</Words>
  <Characters>15487</Characters>
  <Lines>348</Lines>
  <Paragraphs>98</Paragraphs>
  <TotalTime>10</TotalTime>
  <ScaleCrop>false</ScaleCrop>
  <LinksUpToDate>false</LinksUpToDate>
  <CharactersWithSpaces>15649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2024-07-07T12:35:00Z</cp:lastPrinted>
  <dcterms:modified xsi:type="dcterms:W3CDTF">2025-07-11T06:11:35Z</dcterms:modified>
  <dc:title>新疆维吾尔自治区公安厅特警总队智能枪弹柜采购项目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9070D25F247B44919D52901B34CE7F41_13</vt:lpwstr>
  </property>
  <property fmtid="{D5CDD505-2E9C-101B-9397-08002B2CF9AE}" pid="4" name="KSOTemplateDocerSaveRecord">
    <vt:lpwstr>eyJoZGlkIjoiNTUwZjU3MDVkYmQyMDFmOTNkYWQ4ZWE2MGY2MzQ3MTQiLCJ1c2VySWQiOiI0NTAyNzY3MTgifQ==</vt:lpwstr>
  </property>
</Properties>
</file>