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2BF7D">
      <w:pPr>
        <w:jc w:val="center"/>
        <w:rPr>
          <w:rFonts w:hint="eastAsia" w:ascii="仿宋" w:hAnsi="仿宋" w:eastAsia="仿宋" w:cs="仿宋"/>
          <w:b/>
          <w:color w:val="000000"/>
          <w:sz w:val="30"/>
          <w:szCs w:val="30"/>
          <w:highlight w:val="none"/>
          <w:lang w:eastAsia="zh-CN"/>
        </w:rPr>
      </w:pPr>
      <w:r>
        <w:rPr>
          <w:rFonts w:hint="eastAsia" w:ascii="仿宋" w:hAnsi="仿宋" w:eastAsia="仿宋" w:cs="仿宋"/>
          <w:b/>
          <w:color w:val="000000"/>
          <w:sz w:val="30"/>
          <w:szCs w:val="30"/>
          <w:highlight w:val="none"/>
        </w:rPr>
        <w:t>采购编号：</w:t>
      </w:r>
      <w:r>
        <w:rPr>
          <w:rFonts w:hint="eastAsia" w:ascii="仿宋" w:hAnsi="仿宋" w:eastAsia="仿宋" w:cs="仿宋"/>
          <w:b/>
          <w:color w:val="000000"/>
          <w:sz w:val="30"/>
          <w:szCs w:val="30"/>
          <w:highlight w:val="none"/>
          <w:lang w:val="en-US" w:eastAsia="zh-CN"/>
        </w:rPr>
        <w:t>[2025]976号</w:t>
      </w:r>
    </w:p>
    <w:p w14:paraId="676F23B2">
      <w:pPr>
        <w:rPr>
          <w:rFonts w:hint="eastAsia" w:ascii="仿宋" w:hAnsi="仿宋" w:eastAsia="仿宋" w:cs="仿宋"/>
          <w:b/>
          <w:color w:val="000000"/>
          <w:sz w:val="36"/>
          <w:szCs w:val="36"/>
          <w:highlight w:val="none"/>
        </w:rPr>
      </w:pPr>
    </w:p>
    <w:p w14:paraId="33AC440A">
      <w:pPr>
        <w:rPr>
          <w:rFonts w:hint="eastAsia" w:ascii="仿宋" w:hAnsi="仿宋" w:eastAsia="仿宋" w:cs="仿宋"/>
          <w:b/>
          <w:color w:val="000000"/>
          <w:sz w:val="36"/>
          <w:szCs w:val="36"/>
          <w:highlight w:val="none"/>
        </w:rPr>
      </w:pPr>
    </w:p>
    <w:p w14:paraId="228A1B1E">
      <w:pPr>
        <w:jc w:val="center"/>
        <w:rPr>
          <w:rFonts w:hint="eastAsia" w:ascii="仿宋" w:hAnsi="仿宋" w:eastAsia="仿宋" w:cs="仿宋"/>
          <w:b/>
          <w:color w:val="000000"/>
          <w:sz w:val="48"/>
          <w:szCs w:val="48"/>
          <w:highlight w:val="none"/>
          <w:lang w:eastAsia="zh-CN"/>
        </w:rPr>
      </w:pPr>
      <w:bookmarkStart w:id="0" w:name="_Toc31127"/>
      <w:r>
        <w:rPr>
          <w:rFonts w:hint="eastAsia" w:ascii="仿宋" w:hAnsi="仿宋" w:eastAsia="仿宋" w:cs="仿宋"/>
          <w:b/>
          <w:color w:val="000000"/>
          <w:sz w:val="48"/>
          <w:szCs w:val="48"/>
          <w:highlight w:val="none"/>
          <w:lang w:eastAsia="zh-CN"/>
        </w:rPr>
        <w:t>乌鲁木齐市第八幼儿园2025年</w:t>
      </w:r>
    </w:p>
    <w:p w14:paraId="52123B9D">
      <w:pPr>
        <w:jc w:val="center"/>
        <w:rPr>
          <w:rFonts w:hint="eastAsia" w:ascii="仿宋" w:hAnsi="仿宋" w:eastAsia="仿宋" w:cs="仿宋"/>
          <w:b/>
          <w:color w:val="auto"/>
          <w:sz w:val="40"/>
          <w:szCs w:val="40"/>
          <w:highlight w:val="none"/>
        </w:rPr>
      </w:pPr>
      <w:r>
        <w:rPr>
          <w:rFonts w:hint="eastAsia" w:ascii="仿宋" w:hAnsi="仿宋" w:eastAsia="仿宋" w:cs="仿宋"/>
          <w:b/>
          <w:color w:val="000000"/>
          <w:sz w:val="48"/>
          <w:szCs w:val="48"/>
          <w:highlight w:val="none"/>
          <w:lang w:eastAsia="zh-CN"/>
        </w:rPr>
        <w:t>园舍维修改造项目</w:t>
      </w:r>
    </w:p>
    <w:p w14:paraId="04F33AE9">
      <w:pPr>
        <w:rPr>
          <w:rFonts w:hint="eastAsia" w:ascii="仿宋" w:hAnsi="仿宋" w:eastAsia="仿宋" w:cs="仿宋"/>
          <w:b/>
          <w:color w:val="auto"/>
          <w:sz w:val="40"/>
          <w:szCs w:val="40"/>
          <w:highlight w:val="none"/>
        </w:rPr>
      </w:pPr>
    </w:p>
    <w:p w14:paraId="5CDC85B5">
      <w:pPr>
        <w:pStyle w:val="2"/>
        <w:rPr>
          <w:rFonts w:hint="eastAsia" w:ascii="仿宋" w:hAnsi="仿宋" w:eastAsia="仿宋" w:cs="仿宋"/>
          <w:b/>
          <w:color w:val="auto"/>
          <w:sz w:val="40"/>
          <w:szCs w:val="40"/>
          <w:highlight w:val="none"/>
        </w:rPr>
      </w:pPr>
    </w:p>
    <w:p w14:paraId="65EC76A5">
      <w:pPr>
        <w:rPr>
          <w:rFonts w:hint="eastAsia"/>
        </w:rPr>
      </w:pPr>
      <w:bookmarkStart w:id="818" w:name="_GoBack"/>
      <w:bookmarkEnd w:id="818"/>
    </w:p>
    <w:p w14:paraId="5CF88DB5">
      <w:pPr>
        <w:spacing w:line="360" w:lineRule="auto"/>
        <w:jc w:val="center"/>
        <w:outlineLvl w:val="0"/>
        <w:rPr>
          <w:rFonts w:hint="eastAsia" w:ascii="仿宋" w:hAnsi="仿宋" w:eastAsia="仿宋" w:cs="仿宋"/>
          <w:b/>
          <w:color w:val="auto"/>
          <w:sz w:val="48"/>
          <w:szCs w:val="48"/>
          <w:highlight w:val="none"/>
        </w:rPr>
      </w:pPr>
      <w:bookmarkStart w:id="1" w:name="_Toc7532"/>
      <w:r>
        <w:rPr>
          <w:rFonts w:hint="eastAsia" w:ascii="仿宋" w:hAnsi="仿宋" w:eastAsia="仿宋" w:cs="仿宋"/>
          <w:b/>
          <w:color w:val="auto"/>
          <w:sz w:val="48"/>
          <w:szCs w:val="48"/>
          <w:highlight w:val="none"/>
        </w:rPr>
        <w:t>竞</w:t>
      </w:r>
      <w:bookmarkEnd w:id="0"/>
      <w:bookmarkEnd w:id="1"/>
    </w:p>
    <w:p w14:paraId="2D351E32">
      <w:pPr>
        <w:spacing w:line="360" w:lineRule="auto"/>
        <w:jc w:val="center"/>
        <w:outlineLvl w:val="0"/>
        <w:rPr>
          <w:rFonts w:hint="eastAsia" w:ascii="仿宋" w:hAnsi="仿宋" w:eastAsia="仿宋" w:cs="仿宋"/>
          <w:b/>
          <w:color w:val="auto"/>
          <w:sz w:val="48"/>
          <w:szCs w:val="48"/>
          <w:highlight w:val="none"/>
        </w:rPr>
      </w:pPr>
      <w:bookmarkStart w:id="2" w:name="_Toc16118"/>
      <w:bookmarkStart w:id="3" w:name="_Toc9782"/>
      <w:r>
        <w:rPr>
          <w:rFonts w:hint="eastAsia" w:ascii="仿宋" w:hAnsi="仿宋" w:eastAsia="仿宋" w:cs="仿宋"/>
          <w:b/>
          <w:color w:val="auto"/>
          <w:sz w:val="48"/>
          <w:szCs w:val="48"/>
          <w:highlight w:val="none"/>
        </w:rPr>
        <w:t>争</w:t>
      </w:r>
      <w:bookmarkEnd w:id="2"/>
      <w:bookmarkEnd w:id="3"/>
    </w:p>
    <w:p w14:paraId="5E1261E9">
      <w:pPr>
        <w:spacing w:line="360" w:lineRule="auto"/>
        <w:jc w:val="center"/>
        <w:outlineLvl w:val="0"/>
        <w:rPr>
          <w:rFonts w:hint="eastAsia" w:ascii="仿宋" w:hAnsi="仿宋" w:eastAsia="仿宋" w:cs="仿宋"/>
          <w:b/>
          <w:color w:val="auto"/>
          <w:sz w:val="48"/>
          <w:szCs w:val="48"/>
          <w:highlight w:val="none"/>
        </w:rPr>
      </w:pPr>
      <w:bookmarkStart w:id="4" w:name="_Toc266"/>
      <w:bookmarkStart w:id="5" w:name="_Toc28130"/>
      <w:r>
        <w:rPr>
          <w:rFonts w:hint="eastAsia" w:ascii="仿宋" w:hAnsi="仿宋" w:eastAsia="仿宋" w:cs="仿宋"/>
          <w:b/>
          <w:color w:val="auto"/>
          <w:sz w:val="48"/>
          <w:szCs w:val="48"/>
          <w:highlight w:val="none"/>
        </w:rPr>
        <w:t>性</w:t>
      </w:r>
      <w:bookmarkEnd w:id="4"/>
      <w:bookmarkEnd w:id="5"/>
    </w:p>
    <w:p w14:paraId="09B7619C">
      <w:pPr>
        <w:spacing w:line="360" w:lineRule="auto"/>
        <w:jc w:val="center"/>
        <w:outlineLvl w:val="0"/>
        <w:rPr>
          <w:rFonts w:hint="eastAsia" w:ascii="仿宋" w:hAnsi="仿宋" w:eastAsia="仿宋" w:cs="仿宋"/>
          <w:b/>
          <w:color w:val="auto"/>
          <w:sz w:val="48"/>
          <w:szCs w:val="48"/>
          <w:highlight w:val="none"/>
        </w:rPr>
      </w:pPr>
      <w:bookmarkStart w:id="6" w:name="_Toc21108"/>
      <w:bookmarkStart w:id="7" w:name="_Toc31464"/>
      <w:r>
        <w:rPr>
          <w:rFonts w:hint="eastAsia" w:ascii="仿宋" w:hAnsi="仿宋" w:eastAsia="仿宋" w:cs="仿宋"/>
          <w:b/>
          <w:color w:val="auto"/>
          <w:sz w:val="48"/>
          <w:szCs w:val="48"/>
          <w:highlight w:val="none"/>
        </w:rPr>
        <w:t>磋</w:t>
      </w:r>
      <w:bookmarkEnd w:id="6"/>
      <w:bookmarkEnd w:id="7"/>
    </w:p>
    <w:p w14:paraId="1E3FB7B0">
      <w:pPr>
        <w:spacing w:line="360" w:lineRule="auto"/>
        <w:jc w:val="center"/>
        <w:outlineLvl w:val="0"/>
        <w:rPr>
          <w:rFonts w:hint="eastAsia" w:ascii="仿宋" w:hAnsi="仿宋" w:eastAsia="仿宋" w:cs="仿宋"/>
          <w:b/>
          <w:color w:val="auto"/>
          <w:sz w:val="48"/>
          <w:szCs w:val="48"/>
          <w:highlight w:val="none"/>
        </w:rPr>
      </w:pPr>
      <w:bookmarkStart w:id="8" w:name="_Toc28782"/>
      <w:bookmarkStart w:id="9" w:name="_Toc17772"/>
      <w:r>
        <w:rPr>
          <w:rFonts w:hint="eastAsia" w:ascii="仿宋" w:hAnsi="仿宋" w:eastAsia="仿宋" w:cs="仿宋"/>
          <w:b/>
          <w:color w:val="auto"/>
          <w:sz w:val="48"/>
          <w:szCs w:val="48"/>
          <w:highlight w:val="none"/>
        </w:rPr>
        <w:t>商</w:t>
      </w:r>
      <w:bookmarkEnd w:id="8"/>
      <w:bookmarkEnd w:id="9"/>
    </w:p>
    <w:p w14:paraId="0412D27B">
      <w:pPr>
        <w:jc w:val="center"/>
        <w:rPr>
          <w:rFonts w:hint="eastAsia" w:ascii="仿宋" w:hAnsi="仿宋" w:eastAsia="仿宋" w:cs="仿宋"/>
          <w:b/>
          <w:color w:val="auto"/>
          <w:sz w:val="40"/>
          <w:szCs w:val="40"/>
          <w:highlight w:val="none"/>
        </w:rPr>
      </w:pPr>
    </w:p>
    <w:p w14:paraId="51D10BB5">
      <w:pPr>
        <w:jc w:val="center"/>
        <w:rPr>
          <w:rFonts w:hint="eastAsia" w:ascii="仿宋" w:hAnsi="仿宋" w:eastAsia="仿宋" w:cs="仿宋"/>
          <w:b/>
          <w:color w:val="auto"/>
          <w:sz w:val="40"/>
          <w:szCs w:val="40"/>
          <w:highlight w:val="none"/>
        </w:rPr>
      </w:pPr>
    </w:p>
    <w:p w14:paraId="0ACB7BD2">
      <w:pPr>
        <w:pStyle w:val="2"/>
        <w:ind w:left="0" w:leftChars="0" w:firstLine="0" w:firstLineChars="0"/>
        <w:rPr>
          <w:rFonts w:hint="eastAsia" w:ascii="仿宋" w:hAnsi="仿宋" w:eastAsia="仿宋" w:cs="仿宋"/>
          <w:color w:val="auto"/>
          <w:sz w:val="40"/>
          <w:szCs w:val="40"/>
          <w:highlight w:val="none"/>
        </w:rPr>
      </w:pPr>
    </w:p>
    <w:p w14:paraId="00E9F5C6">
      <w:pPr>
        <w:pStyle w:val="2"/>
        <w:ind w:left="0" w:leftChars="0" w:firstLine="0" w:firstLineChars="0"/>
        <w:rPr>
          <w:rFonts w:hint="eastAsia" w:ascii="仿宋" w:hAnsi="仿宋" w:eastAsia="仿宋" w:cs="仿宋"/>
          <w:color w:val="auto"/>
          <w:sz w:val="40"/>
          <w:szCs w:val="40"/>
          <w:highlight w:val="none"/>
        </w:rPr>
      </w:pPr>
    </w:p>
    <w:p w14:paraId="7383300F">
      <w:pPr>
        <w:pStyle w:val="5"/>
        <w:spacing w:line="360" w:lineRule="auto"/>
        <w:jc w:val="center"/>
        <w:rPr>
          <w:rFonts w:hint="eastAsia" w:ascii="仿宋" w:hAnsi="仿宋" w:eastAsia="仿宋" w:cs="仿宋"/>
          <w:b/>
          <w:color w:val="auto"/>
          <w:sz w:val="32"/>
          <w:szCs w:val="32"/>
          <w:highlight w:val="none"/>
          <w:lang w:eastAsia="zh-CN"/>
        </w:rPr>
      </w:pPr>
      <w:bookmarkStart w:id="10" w:name="_Toc17125"/>
      <w:r>
        <w:rPr>
          <w:rFonts w:hint="eastAsia" w:ascii="仿宋" w:hAnsi="仿宋" w:eastAsia="仿宋" w:cs="仿宋"/>
          <w:b/>
          <w:color w:val="auto"/>
          <w:sz w:val="32"/>
          <w:szCs w:val="32"/>
          <w:highlight w:val="none"/>
        </w:rPr>
        <w:t>采购人：</w:t>
      </w:r>
      <w:bookmarkEnd w:id="10"/>
      <w:r>
        <w:rPr>
          <w:rFonts w:hint="eastAsia" w:ascii="仿宋" w:hAnsi="仿宋" w:eastAsia="仿宋" w:cs="仿宋"/>
          <w:b/>
          <w:color w:val="auto"/>
          <w:sz w:val="32"/>
          <w:szCs w:val="32"/>
          <w:highlight w:val="none"/>
          <w:lang w:eastAsia="zh-CN"/>
        </w:rPr>
        <w:t>乌鲁木齐市第八幼儿园</w:t>
      </w:r>
    </w:p>
    <w:p w14:paraId="78195A8F">
      <w:pPr>
        <w:pStyle w:val="5"/>
        <w:spacing w:line="360" w:lineRule="auto"/>
        <w:jc w:val="center"/>
        <w:outlineLvl w:val="0"/>
        <w:rPr>
          <w:rFonts w:hint="eastAsia" w:ascii="仿宋" w:hAnsi="仿宋" w:eastAsia="仿宋" w:cs="仿宋"/>
          <w:b/>
          <w:color w:val="auto"/>
          <w:sz w:val="32"/>
          <w:szCs w:val="32"/>
          <w:highlight w:val="none"/>
        </w:rPr>
      </w:pPr>
      <w:bookmarkStart w:id="11" w:name="_Toc20573"/>
      <w:bookmarkStart w:id="12" w:name="_Toc13994"/>
      <w:r>
        <w:rPr>
          <w:rFonts w:hint="eastAsia" w:ascii="仿宋" w:hAnsi="仿宋" w:eastAsia="仿宋" w:cs="仿宋"/>
          <w:b/>
          <w:color w:val="auto"/>
          <w:sz w:val="32"/>
          <w:szCs w:val="32"/>
          <w:highlight w:val="none"/>
        </w:rPr>
        <w:t>代理机构：新疆凯智工程管理咨询有限责任公司</w:t>
      </w:r>
      <w:bookmarkEnd w:id="11"/>
      <w:bookmarkEnd w:id="12"/>
    </w:p>
    <w:p w14:paraId="682E1E61">
      <w:pPr>
        <w:pStyle w:val="5"/>
        <w:spacing w:line="360" w:lineRule="auto"/>
        <w:jc w:val="center"/>
        <w:rPr>
          <w:rFonts w:hint="eastAsia" w:ascii="仿宋" w:hAnsi="仿宋" w:eastAsia="仿宋" w:cs="仿宋"/>
          <w:bCs/>
          <w:color w:val="000000"/>
          <w:sz w:val="36"/>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07</w:t>
      </w:r>
      <w:r>
        <w:rPr>
          <w:rFonts w:hint="eastAsia" w:ascii="仿宋" w:hAnsi="仿宋" w:eastAsia="仿宋" w:cs="仿宋"/>
          <w:b/>
          <w:color w:val="auto"/>
          <w:sz w:val="32"/>
          <w:szCs w:val="32"/>
          <w:highlight w:val="none"/>
        </w:rPr>
        <w:t>月</w:t>
      </w:r>
      <w:bookmarkStart w:id="13" w:name="_Toc18699"/>
      <w:bookmarkStart w:id="14" w:name="_Toc2686"/>
      <w:bookmarkStart w:id="15" w:name="_Toc10043"/>
      <w:bookmarkStart w:id="16" w:name="_Toc20653"/>
      <w:bookmarkStart w:id="17" w:name="_Toc31151"/>
      <w:bookmarkStart w:id="18" w:name="_Toc7536"/>
    </w:p>
    <w:p w14:paraId="1CE08586">
      <w:pPr>
        <w:spacing w:beforeAutospacing="0" w:afterAutospacing="0" w:line="360" w:lineRule="exact"/>
        <w:jc w:val="center"/>
        <w:outlineLvl w:val="9"/>
        <w:rPr>
          <w:rFonts w:hint="eastAsia" w:ascii="仿宋" w:hAnsi="仿宋" w:eastAsia="仿宋" w:cs="仿宋"/>
          <w:bCs/>
          <w:color w:val="000000"/>
          <w:sz w:val="36"/>
          <w:highlight w:val="none"/>
        </w:rPr>
        <w:sectPr>
          <w:pgSz w:w="11907" w:h="16840"/>
          <w:pgMar w:top="1440" w:right="1474" w:bottom="1440" w:left="1474" w:header="851" w:footer="992" w:gutter="0"/>
          <w:pgNumType w:start="1"/>
          <w:cols w:space="720" w:num="1"/>
          <w:docGrid w:linePitch="312" w:charSpace="0"/>
        </w:sectPr>
      </w:pPr>
    </w:p>
    <w:bookmarkEnd w:id="13"/>
    <w:bookmarkEnd w:id="14"/>
    <w:bookmarkEnd w:id="15"/>
    <w:bookmarkEnd w:id="16"/>
    <w:bookmarkEnd w:id="17"/>
    <w:bookmarkEnd w:id="18"/>
    <w:p w14:paraId="23A32C5C">
      <w:pPr>
        <w:pStyle w:val="47"/>
        <w:spacing w:beforeAutospacing="0" w:afterAutospacing="0" w:line="360" w:lineRule="auto"/>
        <w:jc w:val="center"/>
        <w:rPr>
          <w:rFonts w:hint="eastAsia" w:ascii="仿宋" w:hAnsi="仿宋" w:eastAsia="仿宋" w:cs="仿宋"/>
          <w:color w:val="000000"/>
          <w:sz w:val="34"/>
          <w:szCs w:val="24"/>
          <w:highlight w:val="none"/>
          <w:lang w:val="en-US" w:eastAsia="zh-CN" w:bidi="ar-SA"/>
        </w:rPr>
      </w:pPr>
      <w:bookmarkStart w:id="19" w:name="_Toc5787"/>
      <w:bookmarkEnd w:id="19"/>
      <w:bookmarkStart w:id="20" w:name="_Toc7381"/>
      <w:bookmarkEnd w:id="20"/>
      <w:r>
        <w:rPr>
          <w:rFonts w:hint="eastAsia" w:ascii="仿宋" w:hAnsi="仿宋" w:eastAsia="仿宋" w:cs="仿宋"/>
          <w:b/>
          <w:bCs w:val="0"/>
          <w:color w:val="000000"/>
          <w:sz w:val="36"/>
          <w:highlight w:val="none"/>
        </w:rPr>
        <w:t>目    录</w:t>
      </w: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TOC \o "1-1" \h \u </w:instrText>
      </w:r>
      <w:r>
        <w:rPr>
          <w:rFonts w:hint="eastAsia" w:ascii="仿宋" w:hAnsi="仿宋" w:eastAsia="仿宋" w:cs="仿宋"/>
          <w:color w:val="000000"/>
          <w:szCs w:val="24"/>
          <w:highlight w:val="none"/>
        </w:rPr>
        <w:fldChar w:fldCharType="separate"/>
      </w:r>
    </w:p>
    <w:p w14:paraId="38DBC66B">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_Toc9019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第一章  </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邀请</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_Toc9019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4CDDCB2C">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_Toc6992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_Toc6992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7AFB97EE">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_Toc3261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第三章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64274FA">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_Toc10275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第四章  供应商的资格要求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_Toc10275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44147E15">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_Toc22251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 xml:space="preserve">第五章  </w:t>
      </w:r>
      <w:r>
        <w:rPr>
          <w:rFonts w:hint="eastAsia" w:ascii="仿宋" w:hAnsi="仿宋" w:eastAsia="仿宋" w:cs="仿宋"/>
          <w:sz w:val="28"/>
          <w:szCs w:val="28"/>
          <w:highlight w:val="none"/>
          <w:lang w:val="en-US" w:eastAsia="zh-CN"/>
        </w:rPr>
        <w:t>采购项目采购需求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_Toc22251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9451694">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_Toc3627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 xml:space="preserve">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_Toc3627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EC36BC7">
      <w:pPr>
        <w:pStyle w:val="22"/>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_Toc81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章  合同主要条款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0F69C6A">
      <w:pPr>
        <w:spacing w:beforeAutospacing="0" w:afterAutospacing="0" w:line="360" w:lineRule="auto"/>
        <w:jc w:val="center"/>
        <w:outlineLvl w:val="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fldChar w:fldCharType="end"/>
      </w:r>
    </w:p>
    <w:p w14:paraId="1BADD65D">
      <w:pPr>
        <w:ind w:firstLine="480" w:firstLineChars="200"/>
        <w:rPr>
          <w:rFonts w:hint="eastAsia" w:ascii="仿宋" w:hAnsi="仿宋" w:eastAsia="仿宋" w:cs="仿宋"/>
          <w:bCs/>
          <w:color w:val="000000"/>
          <w:sz w:val="24"/>
          <w:highlight w:val="none"/>
        </w:rPr>
      </w:pPr>
    </w:p>
    <w:p w14:paraId="2C036E5E">
      <w:pPr>
        <w:pStyle w:val="34"/>
        <w:spacing w:beforeAutospacing="0" w:afterAutospacing="0" w:line="360" w:lineRule="exact"/>
        <w:jc w:val="center"/>
        <w:outlineLvl w:val="9"/>
        <w:rPr>
          <w:rFonts w:hint="eastAsia" w:ascii="仿宋" w:hAnsi="仿宋" w:eastAsia="仿宋" w:cs="仿宋"/>
          <w:bCs w:val="0"/>
          <w:color w:val="000000"/>
          <w:sz w:val="36"/>
          <w:highlight w:val="none"/>
        </w:rPr>
      </w:pPr>
    </w:p>
    <w:p w14:paraId="684DF46F">
      <w:pPr>
        <w:bidi w:val="0"/>
        <w:rPr>
          <w:rFonts w:hint="eastAsia" w:ascii="仿宋" w:hAnsi="仿宋" w:eastAsia="仿宋" w:cs="仿宋"/>
          <w:highlight w:val="none"/>
        </w:rPr>
      </w:pPr>
    </w:p>
    <w:p w14:paraId="7FD9BC2D">
      <w:pPr>
        <w:bidi w:val="0"/>
        <w:rPr>
          <w:rFonts w:hint="eastAsia" w:ascii="仿宋" w:hAnsi="仿宋" w:eastAsia="仿宋" w:cs="仿宋"/>
          <w:highlight w:val="none"/>
        </w:rPr>
      </w:pPr>
    </w:p>
    <w:p w14:paraId="298061E3">
      <w:pPr>
        <w:bidi w:val="0"/>
        <w:rPr>
          <w:rFonts w:hint="eastAsia" w:ascii="仿宋" w:hAnsi="仿宋" w:eastAsia="仿宋" w:cs="仿宋"/>
          <w:highlight w:val="none"/>
        </w:rPr>
      </w:pPr>
    </w:p>
    <w:p w14:paraId="1A9B33A4">
      <w:pPr>
        <w:bidi w:val="0"/>
        <w:rPr>
          <w:rFonts w:hint="eastAsia" w:ascii="仿宋" w:hAnsi="仿宋" w:eastAsia="仿宋" w:cs="仿宋"/>
          <w:highlight w:val="none"/>
        </w:rPr>
      </w:pPr>
    </w:p>
    <w:p w14:paraId="143C1993">
      <w:pPr>
        <w:bidi w:val="0"/>
        <w:rPr>
          <w:rFonts w:hint="eastAsia" w:ascii="仿宋" w:hAnsi="仿宋" w:eastAsia="仿宋" w:cs="仿宋"/>
          <w:highlight w:val="none"/>
        </w:rPr>
      </w:pPr>
    </w:p>
    <w:p w14:paraId="4D77CB82">
      <w:pPr>
        <w:bidi w:val="0"/>
        <w:rPr>
          <w:rFonts w:hint="eastAsia" w:ascii="仿宋" w:hAnsi="仿宋" w:eastAsia="仿宋" w:cs="仿宋"/>
          <w:highlight w:val="none"/>
        </w:rPr>
      </w:pPr>
    </w:p>
    <w:p w14:paraId="3C22D7C4">
      <w:pPr>
        <w:bidi w:val="0"/>
        <w:rPr>
          <w:rFonts w:hint="eastAsia" w:ascii="仿宋" w:hAnsi="仿宋" w:eastAsia="仿宋" w:cs="仿宋"/>
          <w:highlight w:val="none"/>
        </w:rPr>
      </w:pPr>
    </w:p>
    <w:p w14:paraId="5EFB6077">
      <w:pPr>
        <w:bidi w:val="0"/>
        <w:rPr>
          <w:rFonts w:hint="eastAsia" w:ascii="仿宋" w:hAnsi="仿宋" w:eastAsia="仿宋" w:cs="仿宋"/>
          <w:highlight w:val="none"/>
        </w:rPr>
      </w:pPr>
    </w:p>
    <w:p w14:paraId="4A2FDA86">
      <w:pPr>
        <w:bidi w:val="0"/>
        <w:rPr>
          <w:rFonts w:hint="eastAsia" w:ascii="仿宋" w:hAnsi="仿宋" w:eastAsia="仿宋" w:cs="仿宋"/>
          <w:highlight w:val="none"/>
        </w:rPr>
      </w:pPr>
    </w:p>
    <w:p w14:paraId="7462D041">
      <w:pPr>
        <w:bidi w:val="0"/>
        <w:rPr>
          <w:rFonts w:hint="eastAsia" w:ascii="仿宋" w:hAnsi="仿宋" w:eastAsia="仿宋" w:cs="仿宋"/>
          <w:highlight w:val="none"/>
        </w:rPr>
      </w:pPr>
    </w:p>
    <w:p w14:paraId="6DA1F45C">
      <w:pPr>
        <w:bidi w:val="0"/>
        <w:rPr>
          <w:rFonts w:hint="eastAsia" w:ascii="仿宋" w:hAnsi="仿宋" w:eastAsia="仿宋" w:cs="仿宋"/>
          <w:highlight w:val="none"/>
        </w:rPr>
      </w:pPr>
    </w:p>
    <w:p w14:paraId="43E7FF61">
      <w:pPr>
        <w:bidi w:val="0"/>
        <w:rPr>
          <w:rFonts w:hint="eastAsia" w:ascii="仿宋" w:hAnsi="仿宋" w:eastAsia="仿宋" w:cs="仿宋"/>
          <w:highlight w:val="none"/>
        </w:rPr>
      </w:pPr>
    </w:p>
    <w:p w14:paraId="5BB686DD">
      <w:pPr>
        <w:bidi w:val="0"/>
        <w:rPr>
          <w:rFonts w:hint="eastAsia" w:ascii="仿宋" w:hAnsi="仿宋" w:eastAsia="仿宋" w:cs="仿宋"/>
          <w:highlight w:val="none"/>
        </w:rPr>
      </w:pPr>
    </w:p>
    <w:p w14:paraId="2721564C">
      <w:pPr>
        <w:bidi w:val="0"/>
        <w:rPr>
          <w:rFonts w:hint="eastAsia" w:ascii="仿宋" w:hAnsi="仿宋" w:eastAsia="仿宋" w:cs="仿宋"/>
          <w:highlight w:val="none"/>
        </w:rPr>
      </w:pPr>
    </w:p>
    <w:p w14:paraId="47214B83">
      <w:pPr>
        <w:bidi w:val="0"/>
        <w:rPr>
          <w:rFonts w:hint="eastAsia" w:ascii="仿宋" w:hAnsi="仿宋" w:eastAsia="仿宋" w:cs="仿宋"/>
          <w:highlight w:val="none"/>
        </w:rPr>
      </w:pPr>
    </w:p>
    <w:p w14:paraId="417AD3DC">
      <w:pPr>
        <w:bidi w:val="0"/>
        <w:rPr>
          <w:rFonts w:hint="eastAsia" w:ascii="仿宋" w:hAnsi="仿宋" w:eastAsia="仿宋" w:cs="仿宋"/>
          <w:highlight w:val="none"/>
        </w:rPr>
      </w:pPr>
    </w:p>
    <w:p w14:paraId="5F334960">
      <w:pPr>
        <w:bidi w:val="0"/>
        <w:rPr>
          <w:rFonts w:hint="eastAsia" w:ascii="仿宋" w:hAnsi="仿宋" w:eastAsia="仿宋" w:cs="仿宋"/>
          <w:highlight w:val="none"/>
        </w:rPr>
      </w:pPr>
    </w:p>
    <w:p w14:paraId="1A7793D6">
      <w:pPr>
        <w:bidi w:val="0"/>
        <w:rPr>
          <w:rFonts w:hint="eastAsia" w:ascii="仿宋" w:hAnsi="仿宋" w:eastAsia="仿宋" w:cs="仿宋"/>
          <w:highlight w:val="none"/>
        </w:rPr>
      </w:pPr>
    </w:p>
    <w:p w14:paraId="690C00C7">
      <w:pPr>
        <w:tabs>
          <w:tab w:val="left" w:pos="5766"/>
        </w:tabs>
        <w:bidi w:val="0"/>
        <w:jc w:val="both"/>
        <w:rPr>
          <w:rFonts w:hint="eastAsia" w:ascii="仿宋" w:hAnsi="仿宋" w:eastAsia="仿宋" w:cs="仿宋"/>
          <w:bCs w:val="0"/>
          <w:color w:val="000000"/>
          <w:sz w:val="36"/>
          <w:highlight w:val="none"/>
        </w:rPr>
        <w:sectPr>
          <w:footerReference r:id="rId5" w:type="default"/>
          <w:pgSz w:w="11907" w:h="16840"/>
          <w:pgMar w:top="1440" w:right="1474" w:bottom="1440" w:left="1474" w:header="851" w:footer="992" w:gutter="0"/>
          <w:pgNumType w:fmt="upperRoman" w:start="1"/>
          <w:cols w:space="720" w:num="1"/>
          <w:docGrid w:linePitch="312" w:charSpace="0"/>
        </w:sectPr>
      </w:pPr>
      <w:bookmarkStart w:id="21" w:name="_Toc647_WPSOffice_Level1"/>
      <w:bookmarkStart w:id="22" w:name="_Toc40"/>
      <w:bookmarkStart w:id="23" w:name="_Toc213396759"/>
      <w:bookmarkStart w:id="24" w:name="_Toc213396945"/>
      <w:bookmarkStart w:id="25" w:name="_Toc213397009"/>
      <w:bookmarkStart w:id="26" w:name="_Toc213496267"/>
      <w:bookmarkStart w:id="27" w:name="_Toc217446031"/>
    </w:p>
    <w:bookmarkEnd w:id="21"/>
    <w:bookmarkEnd w:id="22"/>
    <w:p w14:paraId="7BCBCB64">
      <w:pPr>
        <w:pStyle w:val="34"/>
        <w:bidi w:val="0"/>
        <w:jc w:val="center"/>
        <w:rPr>
          <w:rFonts w:hint="eastAsia" w:ascii="仿宋" w:hAnsi="仿宋" w:eastAsia="仿宋" w:cs="仿宋"/>
          <w:highlight w:val="none"/>
        </w:rPr>
      </w:pPr>
      <w:bookmarkStart w:id="28" w:name="_Toc26420"/>
      <w:bookmarkEnd w:id="28"/>
      <w:bookmarkStart w:id="29" w:name="_Toc9019"/>
      <w:r>
        <w:rPr>
          <w:rFonts w:hint="eastAsia" w:ascii="仿宋" w:hAnsi="仿宋" w:eastAsia="仿宋" w:cs="仿宋"/>
          <w:highlight w:val="none"/>
        </w:rPr>
        <w:t xml:space="preserve">第一章  </w:t>
      </w:r>
      <w:r>
        <w:rPr>
          <w:rFonts w:hint="eastAsia" w:ascii="仿宋" w:hAnsi="仿宋" w:eastAsia="仿宋" w:cs="仿宋"/>
          <w:highlight w:val="none"/>
          <w:lang w:val="en-US" w:eastAsia="zh-CN"/>
        </w:rPr>
        <w:t>磋商</w:t>
      </w:r>
      <w:r>
        <w:rPr>
          <w:rFonts w:hint="eastAsia" w:ascii="仿宋" w:hAnsi="仿宋" w:eastAsia="仿宋" w:cs="仿宋"/>
          <w:highlight w:val="none"/>
        </w:rPr>
        <w:t>邀请</w:t>
      </w:r>
      <w:bookmarkEnd w:id="29"/>
    </w:p>
    <w:p w14:paraId="42AC42F8">
      <w:pPr>
        <w:pStyle w:val="58"/>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b w:val="0"/>
          <w:bCs/>
          <w:color w:val="000000"/>
          <w:sz w:val="24"/>
          <w:szCs w:val="24"/>
          <w:highlight w:val="none"/>
        </w:rPr>
      </w:pPr>
      <w:bookmarkStart w:id="30" w:name="_Toc30753"/>
      <w:bookmarkStart w:id="31" w:name="_Toc24280"/>
      <w:bookmarkStart w:id="32" w:name="_Toc856_WPSOffice_Level1"/>
      <w:r>
        <w:rPr>
          <w:rStyle w:val="61"/>
          <w:rFonts w:hint="eastAsia" w:ascii="仿宋" w:hAnsi="仿宋" w:eastAsia="仿宋" w:cs="仿宋"/>
          <w:b w:val="0"/>
          <w:bCs/>
          <w:color w:val="000000"/>
          <w:sz w:val="24"/>
          <w:szCs w:val="24"/>
          <w:highlight w:val="none"/>
        </w:rPr>
        <w:t>项目概况</w:t>
      </w:r>
      <w:bookmarkEnd w:id="30"/>
    </w:p>
    <w:p w14:paraId="36422F63">
      <w:pPr>
        <w:pStyle w:val="58"/>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乌鲁木齐市第八幼儿园2025年园舍维修改造项目</w:t>
      </w:r>
      <w:r>
        <w:rPr>
          <w:rFonts w:hint="eastAsia" w:ascii="仿宋" w:hAnsi="仿宋" w:eastAsia="仿宋" w:cs="仿宋"/>
          <w:color w:val="000000"/>
          <w:sz w:val="24"/>
          <w:szCs w:val="24"/>
          <w:highlight w:val="none"/>
        </w:rPr>
        <w:t>的潜在</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应新疆政府采购网 (http://www.ccgp-xinjiang.gov.cn) 政采云线上平台</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获取</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文件，并于</w:t>
      </w:r>
      <w:r>
        <w:rPr>
          <w:rFonts w:hint="eastAsia" w:ascii="仿宋" w:hAnsi="仿宋" w:eastAsia="仿宋" w:cs="仿宋"/>
          <w:sz w:val="24"/>
          <w:szCs w:val="24"/>
          <w:highlight w:val="none"/>
          <w:lang w:eastAsia="zh-CN"/>
        </w:rPr>
        <w:t>2025年07月25日16时 00 分</w:t>
      </w:r>
      <w:r>
        <w:rPr>
          <w:rFonts w:hint="eastAsia" w:ascii="仿宋" w:hAnsi="仿宋" w:eastAsia="仿宋" w:cs="仿宋"/>
          <w:color w:val="000000"/>
          <w:sz w:val="24"/>
          <w:szCs w:val="24"/>
          <w:highlight w:val="none"/>
        </w:rPr>
        <w:t>（北京时间）前递交投标文件。</w:t>
      </w:r>
    </w:p>
    <w:p w14:paraId="6F3E2FDE">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33" w:name="_Toc9449"/>
      <w:bookmarkEnd w:id="33"/>
      <w:bookmarkStart w:id="34" w:name="_Toc3905"/>
      <w:bookmarkEnd w:id="34"/>
      <w:bookmarkStart w:id="35" w:name="_Toc16059"/>
      <w:r>
        <w:rPr>
          <w:rStyle w:val="61"/>
          <w:rFonts w:hint="eastAsia" w:ascii="仿宋" w:hAnsi="仿宋" w:eastAsia="仿宋" w:cs="仿宋"/>
          <w:color w:val="000000"/>
          <w:sz w:val="24"/>
          <w:szCs w:val="24"/>
          <w:highlight w:val="none"/>
        </w:rPr>
        <w:t>一、项目基本情况</w:t>
      </w:r>
      <w:bookmarkEnd w:id="35"/>
    </w:p>
    <w:p w14:paraId="16C9EDA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[2025]976号</w:t>
      </w:r>
    </w:p>
    <w:p w14:paraId="6947AF6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项目名称：</w:t>
      </w:r>
      <w:r>
        <w:rPr>
          <w:rFonts w:hint="eastAsia" w:ascii="仿宋" w:hAnsi="仿宋" w:eastAsia="仿宋" w:cs="仿宋"/>
          <w:color w:val="000000"/>
          <w:sz w:val="24"/>
          <w:szCs w:val="24"/>
          <w:highlight w:val="none"/>
          <w:lang w:eastAsia="zh-CN"/>
        </w:rPr>
        <w:t>乌鲁木齐市第八幼儿园2025年园舍维修</w:t>
      </w:r>
      <w:r>
        <w:rPr>
          <w:rFonts w:hint="eastAsia" w:ascii="仿宋" w:hAnsi="仿宋" w:eastAsia="仿宋" w:cs="仿宋"/>
          <w:color w:val="000000"/>
          <w:sz w:val="24"/>
          <w:szCs w:val="24"/>
          <w:highlight w:val="none"/>
          <w:lang w:val="en-US" w:eastAsia="zh-CN"/>
        </w:rPr>
        <w:t>改造项目</w:t>
      </w:r>
    </w:p>
    <w:p w14:paraId="123F886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采购方式：竞争性磋商</w:t>
      </w:r>
    </w:p>
    <w:p w14:paraId="6222760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390000.00元</w:t>
      </w:r>
    </w:p>
    <w:p w14:paraId="3A124AA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最高限价（元）：</w:t>
      </w:r>
      <w:r>
        <w:rPr>
          <w:rFonts w:hint="eastAsia" w:ascii="仿宋" w:hAnsi="仿宋" w:eastAsia="仿宋" w:cs="仿宋"/>
          <w:color w:val="000000"/>
          <w:sz w:val="24"/>
          <w:szCs w:val="24"/>
          <w:highlight w:val="none"/>
          <w:lang w:val="en-US" w:eastAsia="zh-CN" w:bidi="ar-SA"/>
        </w:rPr>
        <w:t>387026.67元</w:t>
      </w:r>
    </w:p>
    <w:p w14:paraId="433C1C2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采购需求：</w:t>
      </w:r>
    </w:p>
    <w:p w14:paraId="219794B3">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标项名称:</w:t>
      </w:r>
      <w:r>
        <w:rPr>
          <w:rFonts w:hint="eastAsia" w:ascii="仿宋" w:hAnsi="仿宋" w:eastAsia="仿宋" w:cs="仿宋"/>
          <w:color w:val="000000"/>
          <w:sz w:val="24"/>
          <w:szCs w:val="24"/>
          <w:highlight w:val="none"/>
          <w:lang w:eastAsia="zh-CN"/>
        </w:rPr>
        <w:t>乌鲁木齐市第八幼儿园2025年园舍维修改造项目</w:t>
      </w:r>
    </w:p>
    <w:p w14:paraId="560A4671">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firstLine="0" w:firstLineChars="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数量:1</w:t>
      </w:r>
    </w:p>
    <w:p w14:paraId="1012066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390000.00元</w:t>
      </w:r>
    </w:p>
    <w:p w14:paraId="2522F5E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简要规格描述或项目基本概况介绍、用途：</w:t>
      </w:r>
      <w:r>
        <w:rPr>
          <w:rFonts w:hint="eastAsia" w:ascii="仿宋" w:hAnsi="仿宋" w:eastAsia="仿宋" w:cs="仿宋"/>
          <w:color w:val="000000"/>
          <w:sz w:val="24"/>
          <w:szCs w:val="24"/>
          <w:highlight w:val="none"/>
          <w:lang w:eastAsia="zh-CN"/>
        </w:rPr>
        <w:t>乌鲁木齐市第八幼儿园2025年园舍维修改造项目，</w:t>
      </w:r>
      <w:r>
        <w:rPr>
          <w:rFonts w:hint="eastAsia" w:ascii="仿宋" w:hAnsi="仿宋" w:eastAsia="仿宋" w:cs="仿宋"/>
          <w:color w:val="000000"/>
          <w:sz w:val="24"/>
          <w:szCs w:val="24"/>
          <w:highlight w:val="none"/>
          <w:lang w:val="en-US" w:eastAsia="zh-CN"/>
        </w:rPr>
        <w:t>含工程量清单范围内的全部工作内容(包括磋商文件、答疑及磋商文件补充等内容)。</w:t>
      </w:r>
    </w:p>
    <w:p w14:paraId="26156E3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294BDCB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合同履约期限：详见</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w:t>
      </w:r>
    </w:p>
    <w:p w14:paraId="614C29F1">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本项目不接受联合体投标。</w:t>
      </w:r>
    </w:p>
    <w:p w14:paraId="0945F945">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36" w:name="_Toc1868"/>
      <w:bookmarkEnd w:id="36"/>
      <w:bookmarkStart w:id="37" w:name="_Toc21605"/>
      <w:bookmarkEnd w:id="37"/>
      <w:bookmarkStart w:id="38" w:name="_Toc3832"/>
      <w:r>
        <w:rPr>
          <w:rStyle w:val="61"/>
          <w:rFonts w:hint="eastAsia" w:ascii="仿宋" w:hAnsi="仿宋" w:eastAsia="仿宋" w:cs="仿宋"/>
          <w:color w:val="000000"/>
          <w:sz w:val="24"/>
          <w:szCs w:val="24"/>
          <w:highlight w:val="none"/>
        </w:rPr>
        <w:t>二、申请人的资格要求：</w:t>
      </w:r>
      <w:bookmarkEnd w:id="38"/>
    </w:p>
    <w:p w14:paraId="6F0D68B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eastAsia" w:ascii="仿宋" w:hAnsi="仿宋" w:eastAsia="仿宋" w:cs="仿宋"/>
          <w:color w:val="000000"/>
          <w:sz w:val="24"/>
          <w:szCs w:val="24"/>
          <w:highlight w:val="none"/>
        </w:rPr>
      </w:pPr>
      <w:bookmarkStart w:id="39" w:name="_Toc10704"/>
      <w:bookmarkEnd w:id="39"/>
      <w:r>
        <w:rPr>
          <w:rFonts w:hint="eastAsia" w:ascii="仿宋" w:hAnsi="仿宋" w:eastAsia="仿宋" w:cs="仿宋"/>
          <w:color w:val="000000"/>
          <w:sz w:val="24"/>
          <w:szCs w:val="24"/>
          <w:highlight w:val="none"/>
        </w:rPr>
        <w:t>1.满足《中华人民共和国政府采购法》第二十二条规定；</w:t>
      </w:r>
    </w:p>
    <w:p w14:paraId="13694F7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default" w:ascii="仿宋" w:hAnsi="仿宋" w:eastAsia="仿宋" w:cs="仿宋"/>
          <w:color w:val="000000"/>
          <w:sz w:val="24"/>
          <w:szCs w:val="24"/>
          <w:highlight w:val="none"/>
          <w:lang w:val="en-US" w:eastAsia="zh-CN"/>
        </w:rPr>
      </w:pPr>
      <w:bookmarkStart w:id="40" w:name="_Toc17516"/>
      <w:bookmarkEnd w:id="40"/>
      <w:r>
        <w:rPr>
          <w:rFonts w:hint="eastAsia" w:ascii="仿宋" w:hAnsi="仿宋" w:eastAsia="仿宋" w:cs="仿宋"/>
          <w:color w:val="000000"/>
          <w:sz w:val="24"/>
          <w:szCs w:val="24"/>
          <w:highlight w:val="none"/>
        </w:rPr>
        <w:t>2.落实政府采购政策需满足的资格要求：</w:t>
      </w:r>
      <w:r>
        <w:rPr>
          <w:rFonts w:hint="eastAsia" w:ascii="仿宋" w:hAnsi="仿宋" w:eastAsia="仿宋" w:cs="仿宋"/>
          <w:color w:val="000000"/>
          <w:sz w:val="24"/>
          <w:szCs w:val="24"/>
          <w:highlight w:val="none"/>
          <w:lang w:val="en-US" w:eastAsia="zh-CN"/>
        </w:rPr>
        <w:t>本项目专门面向中小企业；</w:t>
      </w:r>
    </w:p>
    <w:p w14:paraId="689037A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Style w:val="29"/>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w:t>
      </w:r>
      <w:bookmarkStart w:id="41" w:name="_Toc28464"/>
      <w:r>
        <w:rPr>
          <w:rFonts w:hint="eastAsia" w:ascii="仿宋" w:hAnsi="仿宋" w:eastAsia="仿宋" w:cs="仿宋"/>
          <w:color w:val="000000"/>
          <w:kern w:val="0"/>
          <w:sz w:val="24"/>
          <w:szCs w:val="24"/>
          <w:highlight w:val="none"/>
          <w:lang w:val="en-US" w:eastAsia="zh-CN" w:bidi="ar-SA"/>
        </w:rPr>
        <w:t>本项目的特定资格要求：</w:t>
      </w:r>
      <w:r>
        <w:rPr>
          <w:rStyle w:val="29"/>
          <w:rFonts w:hint="eastAsia" w:ascii="仿宋" w:hAnsi="仿宋" w:eastAsia="仿宋" w:cs="仿宋"/>
          <w:b w:val="0"/>
          <w:bCs/>
          <w:color w:val="000000"/>
          <w:kern w:val="2"/>
          <w:sz w:val="24"/>
          <w:szCs w:val="24"/>
          <w:highlight w:val="none"/>
          <w:lang w:val="en-US" w:eastAsia="zh-CN" w:bidi="ar-SA"/>
        </w:rPr>
        <w:t>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p>
    <w:p w14:paraId="0E3A9B8B">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r>
        <w:rPr>
          <w:rStyle w:val="61"/>
          <w:rFonts w:hint="eastAsia" w:ascii="仿宋" w:hAnsi="仿宋" w:eastAsia="仿宋" w:cs="仿宋"/>
          <w:color w:val="000000"/>
          <w:sz w:val="24"/>
          <w:szCs w:val="24"/>
          <w:highlight w:val="none"/>
        </w:rPr>
        <w:t>三、获取</w:t>
      </w:r>
      <w:r>
        <w:rPr>
          <w:rStyle w:val="61"/>
          <w:rFonts w:hint="eastAsia" w:ascii="仿宋" w:hAnsi="仿宋" w:eastAsia="仿宋" w:cs="仿宋"/>
          <w:color w:val="000000"/>
          <w:sz w:val="24"/>
          <w:szCs w:val="24"/>
          <w:highlight w:val="none"/>
          <w:lang w:eastAsia="zh-CN"/>
        </w:rPr>
        <w:t>采购</w:t>
      </w:r>
      <w:r>
        <w:rPr>
          <w:rStyle w:val="61"/>
          <w:rFonts w:hint="eastAsia" w:ascii="仿宋" w:hAnsi="仿宋" w:eastAsia="仿宋" w:cs="仿宋"/>
          <w:color w:val="000000"/>
          <w:sz w:val="24"/>
          <w:szCs w:val="24"/>
          <w:highlight w:val="none"/>
        </w:rPr>
        <w:t>文件</w:t>
      </w:r>
      <w:bookmarkEnd w:id="41"/>
    </w:p>
    <w:p w14:paraId="14F00FD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42" w:name="_Toc8368"/>
      <w:r>
        <w:rPr>
          <w:rFonts w:hint="eastAsia" w:ascii="仿宋" w:hAnsi="仿宋" w:eastAsia="仿宋" w:cs="仿宋"/>
          <w:sz w:val="24"/>
          <w:szCs w:val="24"/>
          <w:highlight w:val="none"/>
        </w:rPr>
        <w:t>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eastAsia="zh-CN"/>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rPr>
        <w:t>，每天上午10:30至13:30，下午15:30至19:00（北京时间，法定节假日除外）</w:t>
      </w:r>
      <w:bookmarkEnd w:id="42"/>
    </w:p>
    <w:p w14:paraId="39EF3B9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3" w:name="_Toc24457"/>
      <w:bookmarkStart w:id="44" w:name="_Toc30713"/>
      <w:r>
        <w:rPr>
          <w:rFonts w:hint="eastAsia" w:ascii="仿宋" w:hAnsi="仿宋" w:eastAsia="仿宋" w:cs="仿宋"/>
          <w:sz w:val="24"/>
          <w:szCs w:val="24"/>
          <w:highlight w:val="none"/>
          <w:lang w:eastAsia="zh-CN"/>
        </w:rPr>
        <w:t>地点：政采云平台线上获取 (https://www.zcygov.cn/)</w:t>
      </w:r>
      <w:bookmarkEnd w:id="43"/>
    </w:p>
    <w:p w14:paraId="35A1A98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5" w:name="_Toc7651"/>
      <w:r>
        <w:rPr>
          <w:rFonts w:hint="eastAsia" w:ascii="仿宋" w:hAnsi="仿宋" w:eastAsia="仿宋" w:cs="仿宋"/>
          <w:sz w:val="24"/>
          <w:szCs w:val="24"/>
          <w:highlight w:val="none"/>
          <w:lang w:eastAsia="zh-CN"/>
        </w:rPr>
        <w:t>方式：</w:t>
      </w:r>
      <w:r>
        <w:rPr>
          <w:rFonts w:hint="eastAsia" w:ascii="仿宋" w:hAnsi="仿宋" w:eastAsia="仿宋" w:cs="仿宋"/>
          <w:sz w:val="24"/>
          <w:szCs w:val="24"/>
          <w:highlight w:val="none"/>
          <w:lang w:val="en-US" w:eastAsia="zh-CN"/>
        </w:rPr>
        <w:t>线上获取</w:t>
      </w:r>
      <w:bookmarkEnd w:id="45"/>
    </w:p>
    <w:p w14:paraId="7FAFF84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6" w:name="_Toc21330"/>
      <w:r>
        <w:rPr>
          <w:rFonts w:hint="eastAsia" w:ascii="仿宋" w:hAnsi="仿宋" w:eastAsia="仿宋" w:cs="仿宋"/>
          <w:sz w:val="24"/>
          <w:szCs w:val="24"/>
          <w:highlight w:val="none"/>
          <w:lang w:eastAsia="zh-CN"/>
        </w:rPr>
        <w:t>售价（元）：</w:t>
      </w:r>
      <w:r>
        <w:rPr>
          <w:rFonts w:hint="eastAsia" w:ascii="仿宋" w:hAnsi="仿宋" w:eastAsia="仿宋" w:cs="仿宋"/>
          <w:sz w:val="24"/>
          <w:szCs w:val="24"/>
          <w:highlight w:val="none"/>
          <w:lang w:val="en-US" w:eastAsia="zh-CN"/>
        </w:rPr>
        <w:t>0.00元</w:t>
      </w:r>
      <w:bookmarkEnd w:id="46"/>
    </w:p>
    <w:p w14:paraId="5D633D7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val="en-US" w:eastAsia="zh-CN"/>
        </w:rPr>
      </w:pPr>
      <w:bookmarkStart w:id="47" w:name="_Toc32256"/>
      <w:r>
        <w:rPr>
          <w:rFonts w:hint="eastAsia" w:ascii="仿宋" w:hAnsi="仿宋" w:eastAsia="仿宋" w:cs="仿宋"/>
          <w:sz w:val="24"/>
          <w:szCs w:val="24"/>
          <w:highlight w:val="none"/>
          <w:lang w:val="en-US" w:eastAsia="zh-CN"/>
        </w:rPr>
        <w:t>获取方式：供应商登陆政采云系统平台（https://www.zcygov.cn/）进入“项目采购”栏目，在获取采购文件菜单中选择所要获取采购文件的项目，申请获取采购文件。</w:t>
      </w:r>
      <w:bookmarkEnd w:id="47"/>
    </w:p>
    <w:bookmarkEnd w:id="44"/>
    <w:p w14:paraId="673AD759">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48" w:name="_Toc1972"/>
      <w:r>
        <w:rPr>
          <w:rStyle w:val="61"/>
          <w:rFonts w:hint="eastAsia" w:ascii="仿宋" w:hAnsi="仿宋" w:eastAsia="仿宋" w:cs="仿宋"/>
          <w:color w:val="000000"/>
          <w:sz w:val="24"/>
          <w:szCs w:val="24"/>
          <w:highlight w:val="none"/>
        </w:rPr>
        <w:t>四、提交投标文件截止时间、开标时间和地点</w:t>
      </w:r>
      <w:bookmarkEnd w:id="48"/>
    </w:p>
    <w:p w14:paraId="03D84D7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49" w:name="_Toc19788"/>
      <w:r>
        <w:rPr>
          <w:rFonts w:hint="eastAsia" w:ascii="仿宋" w:hAnsi="仿宋" w:eastAsia="仿宋" w:cs="仿宋"/>
          <w:sz w:val="24"/>
          <w:szCs w:val="24"/>
          <w:highlight w:val="none"/>
        </w:rPr>
        <w:t>提交投标文件截止时间：</w:t>
      </w:r>
      <w:r>
        <w:rPr>
          <w:rFonts w:hint="eastAsia" w:ascii="仿宋" w:hAnsi="仿宋" w:eastAsia="仿宋" w:cs="仿宋"/>
          <w:sz w:val="24"/>
          <w:szCs w:val="24"/>
          <w:highlight w:val="none"/>
          <w:lang w:eastAsia="zh-CN"/>
        </w:rPr>
        <w:t>2025年07月25日16时 00 分（北京时间）</w:t>
      </w:r>
      <w:bookmarkEnd w:id="49"/>
    </w:p>
    <w:p w14:paraId="6EC204F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50" w:name="_Toc5278"/>
      <w:r>
        <w:rPr>
          <w:rFonts w:hint="eastAsia" w:ascii="仿宋" w:hAnsi="仿宋" w:eastAsia="仿宋" w:cs="仿宋"/>
          <w:sz w:val="24"/>
          <w:szCs w:val="24"/>
          <w:highlight w:val="none"/>
        </w:rPr>
        <w:t>投标地点：</w:t>
      </w:r>
      <w:bookmarkEnd w:id="50"/>
      <w:r>
        <w:rPr>
          <w:rFonts w:hint="eastAsia" w:ascii="仿宋" w:hAnsi="仿宋" w:eastAsia="仿宋" w:cs="仿宋"/>
          <w:sz w:val="24"/>
          <w:szCs w:val="24"/>
          <w:highlight w:val="none"/>
          <w:lang w:eastAsia="zh-CN"/>
        </w:rPr>
        <w:t>政采云平台 (https://www.zcygov.cn/)</w:t>
      </w:r>
    </w:p>
    <w:p w14:paraId="4CBEDCD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1" w:name="_Toc30156"/>
      <w:r>
        <w:rPr>
          <w:rFonts w:hint="eastAsia" w:ascii="仿宋" w:hAnsi="仿宋" w:eastAsia="仿宋" w:cs="仿宋"/>
          <w:sz w:val="24"/>
          <w:szCs w:val="24"/>
          <w:highlight w:val="none"/>
        </w:rPr>
        <w:t>开标时间：</w:t>
      </w:r>
      <w:bookmarkEnd w:id="51"/>
      <w:r>
        <w:rPr>
          <w:rFonts w:hint="eastAsia" w:ascii="仿宋" w:hAnsi="仿宋" w:eastAsia="仿宋" w:cs="仿宋"/>
          <w:sz w:val="24"/>
          <w:szCs w:val="24"/>
          <w:highlight w:val="none"/>
          <w:lang w:eastAsia="zh-CN"/>
        </w:rPr>
        <w:t>2025年07月25日16时 00 分</w:t>
      </w:r>
      <w:r>
        <w:rPr>
          <w:rFonts w:hint="eastAsia" w:ascii="仿宋" w:hAnsi="仿宋" w:eastAsia="仿宋" w:cs="仿宋"/>
          <w:sz w:val="24"/>
          <w:szCs w:val="24"/>
          <w:highlight w:val="none"/>
        </w:rPr>
        <w:t>（北京时间）</w:t>
      </w:r>
    </w:p>
    <w:p w14:paraId="4E119D4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52" w:name="_Toc28292"/>
      <w:r>
        <w:rPr>
          <w:rFonts w:hint="eastAsia" w:ascii="仿宋" w:hAnsi="仿宋" w:eastAsia="仿宋" w:cs="仿宋"/>
          <w:sz w:val="24"/>
          <w:szCs w:val="24"/>
          <w:highlight w:val="none"/>
        </w:rPr>
        <w:t>开标地点：</w:t>
      </w:r>
      <w:bookmarkEnd w:id="52"/>
      <w:r>
        <w:rPr>
          <w:rFonts w:hint="eastAsia" w:ascii="仿宋" w:hAnsi="仿宋" w:eastAsia="仿宋" w:cs="仿宋"/>
          <w:sz w:val="24"/>
          <w:szCs w:val="24"/>
          <w:highlight w:val="none"/>
          <w:lang w:eastAsia="zh-CN"/>
        </w:rPr>
        <w:t>政采云平台 (https://www.zcygov.cn/)</w:t>
      </w:r>
    </w:p>
    <w:p w14:paraId="7FA04926">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53" w:name="_Toc18736"/>
      <w:bookmarkEnd w:id="53"/>
      <w:bookmarkStart w:id="54" w:name="_Toc10885"/>
      <w:r>
        <w:rPr>
          <w:rStyle w:val="61"/>
          <w:rFonts w:hint="eastAsia" w:ascii="仿宋" w:hAnsi="仿宋" w:eastAsia="仿宋" w:cs="仿宋"/>
          <w:color w:val="000000"/>
          <w:sz w:val="24"/>
          <w:szCs w:val="24"/>
          <w:highlight w:val="none"/>
        </w:rPr>
        <w:t>五、公告期限</w:t>
      </w:r>
      <w:bookmarkEnd w:id="54"/>
    </w:p>
    <w:p w14:paraId="5F700AA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5" w:name="_Toc21301"/>
      <w:r>
        <w:rPr>
          <w:rFonts w:hint="eastAsia" w:ascii="仿宋" w:hAnsi="仿宋" w:eastAsia="仿宋" w:cs="仿宋"/>
          <w:sz w:val="24"/>
          <w:szCs w:val="24"/>
          <w:highlight w:val="none"/>
        </w:rPr>
        <w:t>自本公告发布之日起5个工作日。</w:t>
      </w:r>
      <w:bookmarkEnd w:id="55"/>
    </w:p>
    <w:p w14:paraId="07FCF917">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56" w:name="_Toc18123"/>
      <w:bookmarkEnd w:id="56"/>
      <w:bookmarkStart w:id="57" w:name="_Toc5502"/>
      <w:r>
        <w:rPr>
          <w:rStyle w:val="61"/>
          <w:rFonts w:hint="eastAsia" w:ascii="仿宋" w:hAnsi="仿宋" w:eastAsia="仿宋" w:cs="仿宋"/>
          <w:color w:val="000000"/>
          <w:sz w:val="24"/>
          <w:szCs w:val="24"/>
          <w:highlight w:val="none"/>
        </w:rPr>
        <w:t>六、其他补充事宜</w:t>
      </w:r>
      <w:bookmarkEnd w:id="57"/>
    </w:p>
    <w:p w14:paraId="4E8E4CF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8" w:name="_Toc6051"/>
      <w:bookmarkStart w:id="59" w:name="_Toc2538"/>
      <w:r>
        <w:rPr>
          <w:rFonts w:hint="eastAsia" w:ascii="仿宋" w:hAnsi="仿宋" w:eastAsia="仿宋" w:cs="仿宋"/>
          <w:sz w:val="24"/>
          <w:szCs w:val="24"/>
          <w:highlight w:val="none"/>
        </w:rPr>
        <w:t>1、本项目实行电子招投标，供应商须登录政采云平台https://www.zcygov.cn/申请获取采购文件，并通过政采云电子投标客户端制作投标响应文件，同时自行承担与投标有关的一切费用。</w:t>
      </w:r>
    </w:p>
    <w:p w14:paraId="3C33E5E3">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2、各供应商应在开标前应确保成为政府采购网正式注册入库供应商，并完成CA数字证书申领（符合国密标准）。因未注册入库、未办理CA数字证书等原因造成无法投标或投标失败等后果由供应商自行承担。</w:t>
      </w:r>
    </w:p>
    <w:p w14:paraId="5E759A5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根据国办函〔2019〕41号文促进数字证书（CA）跨平台、跨部门、跨区域互认要求，政府采购云平台目前已支持包括新疆CA、翔晟CA及汇信CA等多家CA的办理及使用。投标人可通过政府采购网-办理指南—投标人—CA证书办理操作指南-进入CA办理界面，按需选择办理任意一家CA厂商的数字证书。CA证书办理操作指南链接：</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"http://u3v.cn/5F3afc。" </w:instrText>
      </w:r>
      <w:r>
        <w:rPr>
          <w:rFonts w:hint="eastAsia" w:ascii="仿宋" w:hAnsi="仿宋" w:eastAsia="仿宋" w:cs="仿宋"/>
          <w:sz w:val="24"/>
          <w:szCs w:val="24"/>
          <w:highlight w:val="none"/>
        </w:rPr>
        <w:fldChar w:fldCharType="separate"/>
      </w:r>
      <w:r>
        <w:rPr>
          <w:rStyle w:val="30"/>
          <w:rFonts w:hint="eastAsia" w:ascii="仿宋" w:hAnsi="仿宋" w:eastAsia="仿宋" w:cs="仿宋"/>
          <w:sz w:val="24"/>
          <w:szCs w:val="24"/>
          <w:highlight w:val="none"/>
        </w:rPr>
        <w:t>http://u3v.cn/5F3afc。</w:t>
      </w:r>
      <w:r>
        <w:rPr>
          <w:rFonts w:hint="eastAsia" w:ascii="仿宋" w:hAnsi="仿宋" w:eastAsia="仿宋" w:cs="仿宋"/>
          <w:sz w:val="24"/>
          <w:szCs w:val="24"/>
          <w:highlight w:val="none"/>
        </w:rPr>
        <w:fldChar w:fldCharType="end"/>
      </w:r>
    </w:p>
    <w:p w14:paraId="1E92383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4、供应商应当在磋商截止时间前,将生成的“电子加密响应文件”上传递交至“政府采购云平台”,磋商截止时间以后上传递交的响应文件将被“政府采购云平台”拒收。</w:t>
      </w:r>
      <w:bookmarkEnd w:id="58"/>
    </w:p>
    <w:p w14:paraId="2A64969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60" w:name="_Toc14051"/>
      <w:r>
        <w:rPr>
          <w:rFonts w:hint="eastAsia" w:ascii="仿宋" w:hAnsi="仿宋" w:eastAsia="仿宋" w:cs="仿宋"/>
          <w:sz w:val="24"/>
          <w:szCs w:val="24"/>
          <w:highlight w:val="none"/>
        </w:rPr>
        <w:t>5、供应商在磋商前须提前配置好电脑浏览器（建议使用 360 浏览器或谷歌浏览器）, 磋商时请使用制作加密电子响应文件的 CA 锁进行解密及报价确认。本项目响应文件解密时间定为30分钟内,如因自身原因导致无法正常解密,后果由供应商自行承担。</w:t>
      </w:r>
      <w:bookmarkEnd w:id="60"/>
    </w:p>
    <w:p w14:paraId="7547C30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b w:val="0"/>
          <w:bCs w:val="0"/>
          <w:color w:val="000000"/>
          <w:sz w:val="24"/>
          <w:szCs w:val="24"/>
          <w:highlight w:val="none"/>
        </w:rPr>
      </w:pPr>
      <w:bookmarkStart w:id="61" w:name="_Toc31808"/>
      <w:r>
        <w:rPr>
          <w:rFonts w:hint="eastAsia" w:ascii="仿宋" w:hAnsi="仿宋" w:eastAsia="仿宋" w:cs="仿宋"/>
          <w:sz w:val="24"/>
          <w:szCs w:val="24"/>
          <w:highlight w:val="none"/>
        </w:rPr>
        <w:t>6、供应商登录政采云平台，在磋商时间后 30 分钟内用“项目采购-开标评标”功能进行解密响应文件。若供应商在规定时间内（未按时解密的，视为无效磋商。解密与加密响应文件须使用同一个CA。</w:t>
      </w:r>
      <w:r>
        <w:rPr>
          <w:rFonts w:hint="eastAsia" w:ascii="仿宋" w:hAnsi="仿宋" w:eastAsia="仿宋" w:cs="仿宋"/>
          <w:b w:val="0"/>
          <w:bCs w:val="0"/>
          <w:color w:val="000000"/>
          <w:sz w:val="24"/>
          <w:szCs w:val="24"/>
          <w:highlight w:val="none"/>
        </w:rPr>
        <w:t>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color w:val="000000"/>
          <w:sz w:val="24"/>
          <w:szCs w:val="24"/>
          <w:highlight w:val="none"/>
          <w:lang w:val="en-US" w:eastAsia="zh-CN"/>
        </w:rPr>
        <w:t>建筑业</w:t>
      </w:r>
      <w:r>
        <w:rPr>
          <w:rFonts w:hint="eastAsia" w:ascii="仿宋" w:hAnsi="仿宋" w:eastAsia="仿宋" w:cs="仿宋"/>
          <w:b w:val="0"/>
          <w:bCs w:val="0"/>
          <w:color w:val="000000"/>
          <w:sz w:val="24"/>
          <w:szCs w:val="24"/>
          <w:highlight w:val="none"/>
        </w:rPr>
        <w:t>。</w:t>
      </w:r>
      <w:bookmarkEnd w:id="61"/>
    </w:p>
    <w:bookmarkEnd w:id="59"/>
    <w:p w14:paraId="1ED0EDBD">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62" w:name="_Toc16384"/>
      <w:r>
        <w:rPr>
          <w:rStyle w:val="61"/>
          <w:rFonts w:hint="eastAsia" w:ascii="仿宋" w:hAnsi="仿宋" w:eastAsia="仿宋" w:cs="仿宋"/>
          <w:color w:val="000000"/>
          <w:sz w:val="24"/>
          <w:szCs w:val="24"/>
          <w:highlight w:val="none"/>
        </w:rPr>
        <w:t>七、对本次采购提出询问，请按以下方式联系</w:t>
      </w:r>
      <w:bookmarkEnd w:id="62"/>
    </w:p>
    <w:p w14:paraId="268C6C0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63" w:name="_Toc7598"/>
      <w:bookmarkEnd w:id="63"/>
      <w:bookmarkStart w:id="64" w:name="_Toc425"/>
      <w:r>
        <w:rPr>
          <w:rFonts w:hint="eastAsia" w:ascii="仿宋" w:hAnsi="仿宋" w:eastAsia="仿宋" w:cs="仿宋"/>
          <w:sz w:val="24"/>
          <w:szCs w:val="24"/>
          <w:highlight w:val="none"/>
        </w:rPr>
        <w:t>1.采购人信息</w:t>
      </w:r>
      <w:bookmarkEnd w:id="64"/>
    </w:p>
    <w:p w14:paraId="397C7C4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65" w:name="_Toc31905"/>
      <w:r>
        <w:rPr>
          <w:rFonts w:hint="eastAsia" w:ascii="仿宋" w:hAnsi="仿宋" w:eastAsia="仿宋" w:cs="仿宋"/>
          <w:sz w:val="24"/>
          <w:szCs w:val="24"/>
          <w:highlight w:val="none"/>
        </w:rPr>
        <w:t>名 称：</w:t>
      </w:r>
      <w:bookmarkEnd w:id="65"/>
      <w:r>
        <w:rPr>
          <w:rFonts w:hint="eastAsia" w:ascii="仿宋" w:hAnsi="仿宋" w:eastAsia="仿宋" w:cs="仿宋"/>
          <w:sz w:val="24"/>
          <w:szCs w:val="24"/>
          <w:highlight w:val="none"/>
          <w:lang w:val="en-US" w:eastAsia="zh-CN"/>
        </w:rPr>
        <w:t>乌鲁木齐市第八幼儿园</w:t>
      </w:r>
    </w:p>
    <w:p w14:paraId="7C11905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eastAsia="zh-CN"/>
        </w:rPr>
      </w:pPr>
      <w:bookmarkStart w:id="66" w:name="_Toc22481"/>
      <w:bookmarkStart w:id="67" w:name="_Toc22571"/>
      <w:r>
        <w:rPr>
          <w:rFonts w:hint="eastAsia" w:ascii="仿宋" w:hAnsi="仿宋" w:eastAsia="仿宋" w:cs="仿宋"/>
          <w:sz w:val="24"/>
          <w:szCs w:val="24"/>
          <w:highlight w:val="none"/>
        </w:rPr>
        <w:t>地址：乌鲁木齐市米东</w:t>
      </w:r>
      <w:bookmarkEnd w:id="66"/>
      <w:r>
        <w:rPr>
          <w:rFonts w:hint="eastAsia" w:ascii="仿宋" w:hAnsi="仿宋" w:eastAsia="仿宋" w:cs="仿宋"/>
          <w:sz w:val="24"/>
          <w:szCs w:val="24"/>
          <w:highlight w:val="none"/>
          <w:lang w:val="en-US" w:eastAsia="zh-CN"/>
        </w:rPr>
        <w:t>区</w:t>
      </w:r>
    </w:p>
    <w:p w14:paraId="4517DF2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68" w:name="_Toc32295"/>
      <w:r>
        <w:rPr>
          <w:rFonts w:hint="eastAsia" w:ascii="仿宋" w:hAnsi="仿宋" w:eastAsia="仿宋" w:cs="仿宋"/>
          <w:sz w:val="24"/>
          <w:szCs w:val="24"/>
          <w:highlight w:val="none"/>
        </w:rPr>
        <w:t>联系人姓名：</w:t>
      </w:r>
      <w:bookmarkEnd w:id="68"/>
      <w:r>
        <w:rPr>
          <w:rFonts w:hint="eastAsia" w:ascii="仿宋" w:hAnsi="仿宋" w:eastAsia="仿宋" w:cs="仿宋"/>
          <w:sz w:val="24"/>
          <w:szCs w:val="24"/>
          <w:highlight w:val="none"/>
          <w:lang w:val="en-US" w:eastAsia="zh-CN"/>
        </w:rPr>
        <w:t>张老师</w:t>
      </w:r>
    </w:p>
    <w:p w14:paraId="1DB596A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69" w:name="_Toc20198"/>
      <w:r>
        <w:rPr>
          <w:rFonts w:hint="eastAsia" w:ascii="仿宋" w:hAnsi="仿宋" w:eastAsia="仿宋" w:cs="仿宋"/>
          <w:sz w:val="24"/>
          <w:szCs w:val="24"/>
          <w:highlight w:val="none"/>
        </w:rPr>
        <w:t>联系电话：</w:t>
      </w:r>
      <w:bookmarkEnd w:id="67"/>
      <w:bookmarkEnd w:id="69"/>
      <w:r>
        <w:rPr>
          <w:rFonts w:hint="eastAsia" w:ascii="仿宋" w:hAnsi="仿宋" w:eastAsia="仿宋" w:cs="仿宋"/>
          <w:sz w:val="24"/>
          <w:szCs w:val="24"/>
          <w:highlight w:val="none"/>
          <w:lang w:eastAsia="zh-CN"/>
        </w:rPr>
        <w:t>18999937816</w:t>
      </w:r>
    </w:p>
    <w:p w14:paraId="6F84B58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0" w:name="_Toc3854"/>
      <w:r>
        <w:rPr>
          <w:rFonts w:hint="eastAsia" w:ascii="仿宋" w:hAnsi="仿宋" w:eastAsia="仿宋" w:cs="仿宋"/>
          <w:sz w:val="24"/>
          <w:szCs w:val="24"/>
          <w:highlight w:val="none"/>
        </w:rPr>
        <w:t>2.采购代理机构信息</w:t>
      </w:r>
      <w:bookmarkEnd w:id="70"/>
    </w:p>
    <w:p w14:paraId="7DEA990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1" w:name="_Toc32343"/>
      <w:r>
        <w:rPr>
          <w:rFonts w:hint="eastAsia" w:ascii="仿宋" w:hAnsi="仿宋" w:eastAsia="仿宋" w:cs="仿宋"/>
          <w:sz w:val="24"/>
          <w:szCs w:val="24"/>
          <w:highlight w:val="none"/>
        </w:rPr>
        <w:t>名 称：新疆凯智工程管理咨询有限责任公司</w:t>
      </w:r>
      <w:bookmarkEnd w:id="71"/>
    </w:p>
    <w:p w14:paraId="797FF22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default" w:ascii="仿宋" w:hAnsi="仿宋" w:eastAsia="仿宋" w:cs="仿宋"/>
          <w:sz w:val="24"/>
          <w:szCs w:val="24"/>
          <w:highlight w:val="none"/>
          <w:lang w:val="en-US"/>
        </w:rPr>
      </w:pPr>
      <w:bookmarkStart w:id="72" w:name="_Toc3177"/>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新疆乌鲁木齐市米东区</w:t>
      </w:r>
      <w:r>
        <w:rPr>
          <w:rFonts w:hint="eastAsia" w:ascii="仿宋" w:hAnsi="仿宋" w:eastAsia="仿宋" w:cs="仿宋"/>
          <w:sz w:val="24"/>
          <w:szCs w:val="24"/>
          <w:highlight w:val="none"/>
          <w:lang w:eastAsia="zh-CN"/>
        </w:rPr>
        <w:t>府前中路159号东凯集团二楼</w:t>
      </w:r>
      <w:bookmarkEnd w:id="72"/>
      <w:bookmarkStart w:id="73" w:name="_Toc24515"/>
      <w:bookmarkEnd w:id="73"/>
      <w:r>
        <w:rPr>
          <w:rFonts w:hint="eastAsia" w:ascii="仿宋" w:hAnsi="仿宋" w:eastAsia="仿宋" w:cs="仿宋"/>
          <w:sz w:val="24"/>
          <w:szCs w:val="24"/>
          <w:highlight w:val="none"/>
          <w:lang w:val="en-US" w:eastAsia="zh-CN"/>
        </w:rPr>
        <w:t>209</w:t>
      </w:r>
    </w:p>
    <w:p w14:paraId="7635885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4" w:name="_Toc19677"/>
      <w:r>
        <w:rPr>
          <w:rFonts w:hint="eastAsia" w:ascii="仿宋" w:hAnsi="仿宋" w:eastAsia="仿宋" w:cs="仿宋"/>
          <w:sz w:val="24"/>
          <w:szCs w:val="24"/>
          <w:highlight w:val="none"/>
        </w:rPr>
        <w:t>3.项目联系方式</w:t>
      </w:r>
      <w:bookmarkEnd w:id="74"/>
    </w:p>
    <w:p w14:paraId="74BA8DD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75" w:name="_Toc4150"/>
      <w:bookmarkStart w:id="76" w:name="_Toc20899"/>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张媛媛</w:t>
      </w:r>
      <w:bookmarkEnd w:id="75"/>
    </w:p>
    <w:bookmarkEnd w:id="76"/>
    <w:p w14:paraId="1760BAC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Style w:val="67"/>
          <w:rFonts w:hint="eastAsia" w:ascii="仿宋" w:hAnsi="仿宋" w:eastAsia="仿宋" w:cs="仿宋"/>
          <w:color w:val="000000"/>
          <w:sz w:val="24"/>
          <w:szCs w:val="24"/>
          <w:highlight w:val="none"/>
          <w:lang w:val="en-US" w:eastAsia="zh-CN"/>
        </w:rPr>
      </w:pPr>
      <w:bookmarkStart w:id="77" w:name="_Toc10753"/>
      <w:r>
        <w:rPr>
          <w:rFonts w:hint="eastAsia" w:ascii="仿宋" w:hAnsi="仿宋" w:eastAsia="仿宋" w:cs="仿宋"/>
          <w:sz w:val="24"/>
          <w:szCs w:val="24"/>
          <w:highlight w:val="none"/>
        </w:rPr>
        <w:t>电 话：1</w:t>
      </w:r>
      <w:r>
        <w:rPr>
          <w:rFonts w:hint="eastAsia" w:ascii="仿宋" w:hAnsi="仿宋" w:eastAsia="仿宋" w:cs="仿宋"/>
          <w:sz w:val="24"/>
          <w:szCs w:val="24"/>
          <w:highlight w:val="none"/>
          <w:lang w:val="en-US" w:eastAsia="zh-CN"/>
        </w:rPr>
        <w:t>5199002822</w:t>
      </w:r>
      <w:bookmarkEnd w:id="77"/>
    </w:p>
    <w:bookmarkEnd w:id="23"/>
    <w:bookmarkEnd w:id="24"/>
    <w:bookmarkEnd w:id="25"/>
    <w:bookmarkEnd w:id="26"/>
    <w:bookmarkEnd w:id="27"/>
    <w:bookmarkEnd w:id="31"/>
    <w:bookmarkEnd w:id="32"/>
    <w:p w14:paraId="67C2E5B8">
      <w:pPr>
        <w:pStyle w:val="58"/>
        <w:keepNext w:val="0"/>
        <w:keepLines w:val="0"/>
        <w:pageBreakBefore w:val="0"/>
        <w:widowControl/>
        <w:kinsoku/>
        <w:wordWrap/>
        <w:overflowPunct/>
        <w:topLinePunct w:val="0"/>
        <w:autoSpaceDE/>
        <w:autoSpaceDN/>
        <w:bidi w:val="0"/>
        <w:adjustRightInd/>
        <w:snapToGrid/>
        <w:spacing w:before="200" w:beforeAutospacing="0" w:after="200" w:afterAutospacing="0" w:line="360" w:lineRule="auto"/>
        <w:jc w:val="center"/>
        <w:textAlignment w:val="auto"/>
        <w:outlineLvl w:val="0"/>
        <w:rPr>
          <w:rFonts w:hint="eastAsia" w:ascii="仿宋" w:hAnsi="仿宋" w:eastAsia="仿宋" w:cs="仿宋"/>
          <w:b/>
          <w:bCs/>
          <w:color w:val="000000"/>
          <w:sz w:val="24"/>
          <w:szCs w:val="24"/>
          <w:highlight w:val="none"/>
          <w:lang w:val="en-US" w:eastAsia="zh-CN"/>
        </w:rPr>
      </w:pPr>
      <w:bookmarkStart w:id="78" w:name="_Toc19150"/>
      <w:bookmarkEnd w:id="78"/>
      <w:r>
        <w:rPr>
          <w:rFonts w:hint="eastAsia" w:ascii="仿宋" w:hAnsi="仿宋" w:eastAsia="仿宋" w:cs="仿宋"/>
          <w:b/>
          <w:bCs/>
          <w:color w:val="000000"/>
          <w:sz w:val="24"/>
          <w:szCs w:val="24"/>
          <w:highlight w:val="none"/>
          <w:lang w:val="en-US" w:eastAsia="zh-CN"/>
        </w:rPr>
        <w:br w:type="page"/>
      </w:r>
      <w:bookmarkStart w:id="79" w:name="_Toc6992"/>
      <w:r>
        <w:rPr>
          <w:rFonts w:hint="eastAsia" w:ascii="仿宋" w:hAnsi="仿宋" w:eastAsia="仿宋" w:cs="仿宋"/>
          <w:b/>
          <w:bCs/>
          <w:color w:val="000000"/>
          <w:sz w:val="32"/>
          <w:szCs w:val="32"/>
          <w:highlight w:val="none"/>
          <w:lang w:val="en-US" w:eastAsia="zh-CN"/>
        </w:rPr>
        <w:t>第二章  供应商须知</w:t>
      </w:r>
      <w:bookmarkEnd w:id="79"/>
    </w:p>
    <w:p w14:paraId="16FE4F49">
      <w:pPr>
        <w:pStyle w:val="35"/>
        <w:spacing w:beforeAutospacing="0" w:afterAutospacing="0" w:line="240" w:lineRule="atLeast"/>
        <w:jc w:val="center"/>
        <w:rPr>
          <w:rFonts w:hint="eastAsia" w:ascii="仿宋" w:hAnsi="仿宋" w:eastAsia="仿宋" w:cs="仿宋"/>
          <w:color w:val="000000"/>
          <w:sz w:val="24"/>
          <w:szCs w:val="24"/>
          <w:highlight w:val="none"/>
        </w:rPr>
      </w:pPr>
      <w:bookmarkStart w:id="80" w:name="_Toc213397010"/>
      <w:bookmarkEnd w:id="80"/>
      <w:bookmarkStart w:id="81" w:name="_Toc189727030"/>
      <w:bookmarkEnd w:id="81"/>
      <w:bookmarkStart w:id="82" w:name="_Toc213396946"/>
      <w:bookmarkEnd w:id="82"/>
      <w:bookmarkStart w:id="83" w:name="_Toc213396760"/>
      <w:bookmarkEnd w:id="83"/>
      <w:bookmarkStart w:id="84" w:name="_Toc217446032"/>
      <w:bookmarkEnd w:id="84"/>
      <w:bookmarkStart w:id="85" w:name="_Toc213496268"/>
      <w:bookmarkEnd w:id="85"/>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w:t>
      </w:r>
      <w:r>
        <w:rPr>
          <w:rFonts w:hint="eastAsia" w:ascii="仿宋" w:hAnsi="仿宋" w:eastAsia="仿宋" w:cs="仿宋"/>
          <w:color w:val="000000"/>
          <w:sz w:val="24"/>
          <w:szCs w:val="24"/>
          <w:highlight w:val="none"/>
          <w:lang w:val="en-US" w:eastAsia="zh-CN"/>
        </w:rPr>
        <w:t>前</w:t>
      </w:r>
      <w:r>
        <w:rPr>
          <w:rFonts w:hint="eastAsia" w:ascii="仿宋" w:hAnsi="仿宋" w:eastAsia="仿宋" w:cs="仿宋"/>
          <w:color w:val="000000"/>
          <w:sz w:val="24"/>
          <w:szCs w:val="24"/>
          <w:highlight w:val="none"/>
        </w:rPr>
        <w:t>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463"/>
        <w:gridCol w:w="6253"/>
      </w:tblGrid>
      <w:tr w14:paraId="0FE7C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3" w:type="dxa"/>
            <w:vAlign w:val="center"/>
          </w:tcPr>
          <w:p w14:paraId="3EC2CAFC">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序号</w:t>
            </w:r>
          </w:p>
        </w:tc>
        <w:tc>
          <w:tcPr>
            <w:tcW w:w="1463" w:type="dxa"/>
            <w:vAlign w:val="center"/>
          </w:tcPr>
          <w:p w14:paraId="724B2FE7">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名 称</w:t>
            </w:r>
          </w:p>
        </w:tc>
        <w:tc>
          <w:tcPr>
            <w:tcW w:w="6253" w:type="dxa"/>
            <w:vAlign w:val="center"/>
          </w:tcPr>
          <w:p w14:paraId="54A46714">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内   容</w:t>
            </w:r>
          </w:p>
        </w:tc>
      </w:tr>
      <w:tr w14:paraId="0D79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5B16037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463" w:type="dxa"/>
            <w:vAlign w:val="center"/>
          </w:tcPr>
          <w:p w14:paraId="546AB32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w:t>
            </w:r>
          </w:p>
        </w:tc>
        <w:tc>
          <w:tcPr>
            <w:tcW w:w="6253" w:type="dxa"/>
            <w:vAlign w:val="center"/>
          </w:tcPr>
          <w:p w14:paraId="32310849">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名称：</w:t>
            </w:r>
            <w:r>
              <w:rPr>
                <w:rFonts w:hint="eastAsia" w:ascii="仿宋" w:hAnsi="仿宋" w:eastAsia="仿宋" w:cs="仿宋"/>
                <w:sz w:val="24"/>
                <w:szCs w:val="24"/>
                <w:highlight w:val="none"/>
                <w:lang w:val="en-US" w:eastAsia="zh-CN"/>
              </w:rPr>
              <w:t>乌鲁木齐市第八幼儿园</w:t>
            </w:r>
          </w:p>
          <w:p w14:paraId="49E06402">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sz w:val="24"/>
                <w:szCs w:val="24"/>
                <w:highlight w:val="none"/>
                <w:lang w:val="en-US" w:eastAsia="zh-CN"/>
              </w:rPr>
              <w:t>张老师</w:t>
            </w:r>
          </w:p>
          <w:p w14:paraId="331B19E7">
            <w:pPr>
              <w:pStyle w:val="5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lang w:val="en-US" w:eastAsia="zh-CN"/>
              </w:rPr>
              <w:t>18999937816</w:t>
            </w:r>
          </w:p>
          <w:p w14:paraId="5D57B3B8">
            <w:pPr>
              <w:pStyle w:val="5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outlineLvl w:val="1"/>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地址：</w:t>
            </w:r>
            <w:r>
              <w:rPr>
                <w:rFonts w:hint="eastAsia" w:ascii="仿宋" w:hAnsi="仿宋" w:eastAsia="仿宋" w:cs="仿宋"/>
                <w:sz w:val="24"/>
                <w:szCs w:val="24"/>
                <w:highlight w:val="none"/>
              </w:rPr>
              <w:t>乌鲁木齐市米东</w:t>
            </w:r>
            <w:r>
              <w:rPr>
                <w:rFonts w:hint="eastAsia" w:ascii="仿宋" w:hAnsi="仿宋" w:eastAsia="仿宋" w:cs="仿宋"/>
                <w:sz w:val="24"/>
                <w:szCs w:val="24"/>
                <w:highlight w:val="none"/>
                <w:lang w:val="en-US" w:eastAsia="zh-CN"/>
              </w:rPr>
              <w:t>区</w:t>
            </w:r>
          </w:p>
        </w:tc>
      </w:tr>
      <w:tr w14:paraId="1AD8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79A0311">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463" w:type="dxa"/>
            <w:vAlign w:val="center"/>
          </w:tcPr>
          <w:p w14:paraId="0E998790">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w:t>
            </w:r>
          </w:p>
        </w:tc>
        <w:tc>
          <w:tcPr>
            <w:tcW w:w="6253" w:type="dxa"/>
            <w:vAlign w:val="center"/>
          </w:tcPr>
          <w:p w14:paraId="1056C6C7">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val="en-US" w:eastAsia="zh-CN"/>
              </w:rPr>
              <w:t>新疆凯智工程管理咨询有限责任公司</w:t>
            </w:r>
          </w:p>
          <w:p w14:paraId="3746C803">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val="en-US" w:eastAsia="zh-CN"/>
              </w:rPr>
              <w:t>：张媛媛</w:t>
            </w:r>
          </w:p>
          <w:p w14:paraId="3A5D5534">
            <w:pPr>
              <w:spacing w:beforeAutospacing="0" w:afterAutospacing="0"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电话：15199002822</w:t>
            </w:r>
          </w:p>
          <w:p w14:paraId="0A11EAC4">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eastAsia="zh-CN"/>
              </w:rPr>
              <w:t>新疆凯智工程管理咨询有限责任公司（</w:t>
            </w:r>
            <w:r>
              <w:rPr>
                <w:rFonts w:hint="eastAsia" w:ascii="仿宋" w:hAnsi="仿宋" w:eastAsia="仿宋" w:cs="仿宋"/>
                <w:sz w:val="24"/>
                <w:szCs w:val="24"/>
                <w:highlight w:val="none"/>
                <w:lang w:val="en-US" w:eastAsia="zh-CN"/>
              </w:rPr>
              <w:t>新疆乌鲁木齐市米东区</w:t>
            </w:r>
            <w:r>
              <w:rPr>
                <w:rFonts w:hint="eastAsia" w:ascii="仿宋" w:hAnsi="仿宋" w:eastAsia="仿宋" w:cs="仿宋"/>
                <w:color w:val="000000"/>
                <w:sz w:val="24"/>
                <w:szCs w:val="24"/>
                <w:highlight w:val="none"/>
                <w:lang w:eastAsia="zh-CN"/>
              </w:rPr>
              <w:t>府前中路159号东凯集团</w:t>
            </w:r>
            <w:r>
              <w:rPr>
                <w:rFonts w:hint="eastAsia" w:ascii="仿宋" w:hAnsi="仿宋" w:eastAsia="仿宋" w:cs="仿宋"/>
                <w:color w:val="000000"/>
                <w:sz w:val="24"/>
                <w:szCs w:val="24"/>
                <w:highlight w:val="none"/>
                <w:lang w:val="en-US" w:eastAsia="zh-CN"/>
              </w:rPr>
              <w:t>209</w:t>
            </w:r>
            <w:r>
              <w:rPr>
                <w:rFonts w:hint="eastAsia" w:ascii="仿宋" w:hAnsi="仿宋" w:eastAsia="仿宋" w:cs="仿宋"/>
                <w:color w:val="000000"/>
                <w:sz w:val="24"/>
                <w:szCs w:val="24"/>
                <w:highlight w:val="none"/>
                <w:lang w:eastAsia="zh-CN"/>
              </w:rPr>
              <w:t>）</w:t>
            </w:r>
          </w:p>
        </w:tc>
      </w:tr>
      <w:tr w14:paraId="6AACC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663" w:type="dxa"/>
            <w:vAlign w:val="center"/>
          </w:tcPr>
          <w:p w14:paraId="72045E47">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463" w:type="dxa"/>
            <w:vAlign w:val="center"/>
          </w:tcPr>
          <w:p w14:paraId="6EA695A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6253" w:type="dxa"/>
            <w:vAlign w:val="center"/>
          </w:tcPr>
          <w:p w14:paraId="69C3BFB0">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乌鲁木齐市第八幼儿园2025年园舍维修改造项目</w:t>
            </w:r>
          </w:p>
        </w:tc>
      </w:tr>
      <w:tr w14:paraId="0B2B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3DA258E">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463" w:type="dxa"/>
            <w:vAlign w:val="center"/>
          </w:tcPr>
          <w:p w14:paraId="414153D7">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采购编号</w:t>
            </w:r>
          </w:p>
        </w:tc>
        <w:tc>
          <w:tcPr>
            <w:tcW w:w="6253" w:type="dxa"/>
            <w:vAlign w:val="center"/>
          </w:tcPr>
          <w:p w14:paraId="026B76C8">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"https://pay.zcygov.cn/purchaseplan_front/" \l "/plan/apply/detail/1000005830377"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eastAsia="zh-CN"/>
              </w:rPr>
              <w:t>[2025]976号</w:t>
            </w:r>
            <w:r>
              <w:rPr>
                <w:rFonts w:hint="eastAsia" w:ascii="仿宋" w:hAnsi="仿宋" w:eastAsia="仿宋" w:cs="仿宋"/>
                <w:color w:val="000000"/>
                <w:sz w:val="24"/>
                <w:szCs w:val="24"/>
                <w:highlight w:val="none"/>
              </w:rPr>
              <w:fldChar w:fldCharType="end"/>
            </w:r>
          </w:p>
        </w:tc>
      </w:tr>
      <w:tr w14:paraId="5066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3" w:type="dxa"/>
            <w:vAlign w:val="center"/>
          </w:tcPr>
          <w:p w14:paraId="5943FE6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463" w:type="dxa"/>
            <w:vAlign w:val="center"/>
          </w:tcPr>
          <w:p w14:paraId="5FADBC39">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资金来源、预算金额及最高限价</w:t>
            </w:r>
          </w:p>
        </w:tc>
        <w:tc>
          <w:tcPr>
            <w:tcW w:w="6253" w:type="dxa"/>
            <w:vAlign w:val="center"/>
          </w:tcPr>
          <w:p w14:paraId="112EAD96">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w:t>
            </w:r>
            <w:r>
              <w:rPr>
                <w:rFonts w:hint="eastAsia" w:ascii="仿宋" w:hAnsi="仿宋" w:eastAsia="仿宋" w:cs="仿宋"/>
                <w:color w:val="000000"/>
                <w:sz w:val="24"/>
                <w:szCs w:val="24"/>
                <w:highlight w:val="none"/>
                <w:lang w:val="en-US" w:eastAsia="zh-CN"/>
              </w:rPr>
              <w:t>资金来源为：财政资金</w:t>
            </w:r>
          </w:p>
          <w:p w14:paraId="7900B23A">
            <w:pPr>
              <w:pStyle w:val="60"/>
              <w:spacing w:line="24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预算金额</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390000.00元</w:t>
            </w:r>
          </w:p>
          <w:p w14:paraId="092AB0CA">
            <w:pPr>
              <w:keepNext w:val="0"/>
              <w:keepLines w:val="0"/>
              <w:widowControl/>
              <w:suppressLineNumbers w:val="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bidi="ar-SA"/>
              </w:rPr>
              <w:t>最高限价：387026.67元</w:t>
            </w:r>
          </w:p>
        </w:tc>
      </w:tr>
      <w:tr w14:paraId="71462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4EBA9F6">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1463" w:type="dxa"/>
            <w:vAlign w:val="center"/>
          </w:tcPr>
          <w:p w14:paraId="4C78646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lang w:val="en-US" w:eastAsia="zh-CN"/>
              </w:rPr>
              <w:t>内容及采购</w:t>
            </w:r>
            <w:r>
              <w:rPr>
                <w:rFonts w:hint="eastAsia" w:ascii="仿宋" w:hAnsi="仿宋" w:eastAsia="仿宋" w:cs="仿宋"/>
                <w:color w:val="000000"/>
                <w:sz w:val="24"/>
                <w:szCs w:val="24"/>
                <w:highlight w:val="none"/>
              </w:rPr>
              <w:t>范围</w:t>
            </w:r>
          </w:p>
        </w:tc>
        <w:tc>
          <w:tcPr>
            <w:tcW w:w="6253" w:type="dxa"/>
            <w:vAlign w:val="center"/>
          </w:tcPr>
          <w:p w14:paraId="7F7B5262">
            <w:pPr>
              <w:spacing w:beforeAutospacing="0" w:afterAutospacing="0"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lang w:val="en-US" w:eastAsia="zh-CN"/>
              </w:rPr>
              <w:t>内容：</w:t>
            </w:r>
            <w:r>
              <w:rPr>
                <w:rFonts w:hint="eastAsia" w:ascii="仿宋" w:hAnsi="仿宋" w:eastAsia="仿宋" w:cs="仿宋"/>
                <w:color w:val="000000"/>
                <w:sz w:val="24"/>
                <w:szCs w:val="24"/>
                <w:highlight w:val="none"/>
                <w:lang w:eastAsia="zh-CN"/>
              </w:rPr>
              <w:t>乌鲁木齐市第八幼儿园2025年园舍维修改造项目，</w:t>
            </w:r>
            <w:r>
              <w:rPr>
                <w:rFonts w:hint="eastAsia" w:ascii="仿宋" w:hAnsi="仿宋" w:eastAsia="仿宋" w:cs="仿宋"/>
                <w:color w:val="000000"/>
                <w:sz w:val="24"/>
                <w:szCs w:val="24"/>
                <w:highlight w:val="none"/>
                <w:lang w:val="en-US" w:eastAsia="zh-CN"/>
              </w:rPr>
              <w:t>含工程量清单范围内的全部工作内容(包括磋商文件、答疑及磋商文件补充等内容)。</w:t>
            </w:r>
          </w:p>
        </w:tc>
      </w:tr>
      <w:tr w14:paraId="647DB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3A3EB9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1463" w:type="dxa"/>
            <w:vAlign w:val="center"/>
          </w:tcPr>
          <w:p w14:paraId="5ECBFD4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标段（包）划分</w:t>
            </w:r>
          </w:p>
        </w:tc>
        <w:tc>
          <w:tcPr>
            <w:tcW w:w="6253" w:type="dxa"/>
            <w:vAlign w:val="center"/>
          </w:tcPr>
          <w:p w14:paraId="55FDB31B">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共1个标段（包）。</w:t>
            </w:r>
          </w:p>
        </w:tc>
      </w:tr>
      <w:tr w14:paraId="1D665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6C986B5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1463" w:type="dxa"/>
            <w:vAlign w:val="center"/>
          </w:tcPr>
          <w:p w14:paraId="791315CD">
            <w:pPr>
              <w:spacing w:beforeAutospacing="0" w:afterAutospacing="0" w:line="240" w:lineRule="auto"/>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工期</w:t>
            </w:r>
          </w:p>
        </w:tc>
        <w:tc>
          <w:tcPr>
            <w:tcW w:w="6253" w:type="dxa"/>
            <w:vAlign w:val="center"/>
          </w:tcPr>
          <w:p w14:paraId="7F31CE47">
            <w:pPr>
              <w:spacing w:beforeAutospacing="0" w:afterAutospacing="0" w:line="240" w:lineRule="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自合同签订之日起15个日历日</w:t>
            </w:r>
          </w:p>
        </w:tc>
      </w:tr>
      <w:tr w14:paraId="3F375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60F0EE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1463" w:type="dxa"/>
            <w:vAlign w:val="center"/>
          </w:tcPr>
          <w:p w14:paraId="7D059F0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质量要求</w:t>
            </w:r>
          </w:p>
        </w:tc>
        <w:tc>
          <w:tcPr>
            <w:tcW w:w="6253" w:type="dxa"/>
            <w:vAlign w:val="center"/>
          </w:tcPr>
          <w:p w14:paraId="75797908">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合格</w:t>
            </w:r>
          </w:p>
        </w:tc>
      </w:tr>
      <w:tr w14:paraId="6CD5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C26F64F">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1463" w:type="dxa"/>
            <w:vAlign w:val="center"/>
          </w:tcPr>
          <w:p w14:paraId="284F7492">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政府采购</w:t>
            </w:r>
          </w:p>
          <w:p w14:paraId="696F279C">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政策</w:t>
            </w:r>
          </w:p>
        </w:tc>
        <w:tc>
          <w:tcPr>
            <w:tcW w:w="6253" w:type="dxa"/>
            <w:vAlign w:val="center"/>
          </w:tcPr>
          <w:p w14:paraId="619D3B8A">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专门面向中小企业采购的项目或者采购包，不再执行价格评审优惠的扶持政策；</w:t>
            </w:r>
          </w:p>
        </w:tc>
      </w:tr>
      <w:tr w14:paraId="4895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70BC88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1463" w:type="dxa"/>
            <w:vAlign w:val="center"/>
          </w:tcPr>
          <w:p w14:paraId="4DE2D366">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资格要求</w:t>
            </w:r>
          </w:p>
        </w:tc>
        <w:tc>
          <w:tcPr>
            <w:tcW w:w="6253" w:type="dxa"/>
            <w:vAlign w:val="center"/>
          </w:tcPr>
          <w:p w14:paraId="6966ED63">
            <w:pPr>
              <w:spacing w:beforeAutospacing="0" w:afterAutospacing="0" w:line="240" w:lineRule="auto"/>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1.满足《中华人民共和国政府采购法》第二十二条规定；</w:t>
            </w:r>
          </w:p>
          <w:p w14:paraId="0498C6D3">
            <w:pPr>
              <w:spacing w:beforeAutospacing="0" w:afterAutospacing="0"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2.落实政府采购政策需满足的资格要求：</w:t>
            </w:r>
            <w:r>
              <w:rPr>
                <w:rFonts w:hint="eastAsia" w:ascii="仿宋" w:hAnsi="仿宋" w:eastAsia="仿宋" w:cs="仿宋"/>
                <w:color w:val="000000"/>
                <w:sz w:val="24"/>
                <w:szCs w:val="24"/>
                <w:highlight w:val="none"/>
                <w:lang w:val="en-US" w:eastAsia="zh-CN"/>
              </w:rPr>
              <w:t>本项目专门面向中小企业；</w:t>
            </w:r>
            <w:r>
              <w:rPr>
                <w:rFonts w:hint="eastAsia" w:ascii="仿宋" w:hAnsi="仿宋" w:eastAsia="仿宋" w:cs="仿宋"/>
                <w:color w:val="000000"/>
                <w:kern w:val="0"/>
                <w:sz w:val="24"/>
                <w:szCs w:val="24"/>
                <w:lang w:val="en-US" w:eastAsia="zh-CN" w:bidi="ar-SA"/>
              </w:rPr>
              <w:t>（根据要求提交《中小企业声明函》）</w:t>
            </w:r>
          </w:p>
          <w:p w14:paraId="77FA4D4D">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项目的特定资格要求：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p>
        </w:tc>
      </w:tr>
      <w:tr w14:paraId="31D25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61BBFD3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1463" w:type="dxa"/>
            <w:vAlign w:val="center"/>
          </w:tcPr>
          <w:p w14:paraId="35B5C786">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投标保证金</w:t>
            </w:r>
          </w:p>
        </w:tc>
        <w:tc>
          <w:tcPr>
            <w:tcW w:w="6253" w:type="dxa"/>
            <w:vAlign w:val="center"/>
          </w:tcPr>
          <w:p w14:paraId="3B58BD78">
            <w:pPr>
              <w:spacing w:beforeAutospacing="0" w:afterAutospacing="0" w:line="240" w:lineRule="auto"/>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 xml:space="preserve">  </w:t>
            </w:r>
            <w:r>
              <w:rPr>
                <w:rFonts w:hint="eastAsia" w:ascii="仿宋" w:hAnsi="仿宋" w:eastAsia="仿宋" w:cs="仿宋"/>
                <w:kern w:val="0"/>
                <w:sz w:val="24"/>
                <w:szCs w:val="24"/>
                <w:highlight w:val="none"/>
                <w:lang w:val="en-US" w:eastAsia="zh-CN" w:bidi="ar"/>
              </w:rPr>
              <w:t>小写：</w:t>
            </w:r>
            <w:r>
              <w:rPr>
                <w:rFonts w:hint="eastAsia" w:ascii="仿宋" w:hAnsi="仿宋" w:eastAsia="仿宋" w:cs="仿宋"/>
                <w:i w:val="0"/>
                <w:caps w:val="0"/>
                <w:color w:val="000000"/>
                <w:spacing w:val="0"/>
                <w:sz w:val="24"/>
                <w:szCs w:val="24"/>
                <w:highlight w:val="none"/>
                <w:lang w:val="en-US" w:eastAsia="zh-CN"/>
              </w:rPr>
              <w:t>3900.00</w:t>
            </w:r>
            <w:r>
              <w:rPr>
                <w:rFonts w:hint="eastAsia" w:ascii="仿宋" w:hAnsi="仿宋" w:eastAsia="仿宋" w:cs="仿宋"/>
                <w:kern w:val="0"/>
                <w:sz w:val="24"/>
                <w:szCs w:val="24"/>
                <w:highlight w:val="none"/>
                <w:lang w:bidi="ar"/>
              </w:rPr>
              <w:t>元（</w:t>
            </w:r>
            <w:r>
              <w:rPr>
                <w:rFonts w:hint="eastAsia" w:ascii="仿宋" w:hAnsi="仿宋" w:eastAsia="仿宋" w:cs="仿宋"/>
                <w:kern w:val="0"/>
                <w:sz w:val="24"/>
                <w:szCs w:val="24"/>
                <w:highlight w:val="none"/>
                <w:lang w:val="en-US" w:eastAsia="zh-CN" w:bidi="ar"/>
              </w:rPr>
              <w:t xml:space="preserve"> 大写：叁仟玖佰元整</w:t>
            </w:r>
            <w:r>
              <w:rPr>
                <w:rFonts w:hint="eastAsia" w:ascii="仿宋" w:hAnsi="仿宋" w:eastAsia="仿宋" w:cs="仿宋"/>
                <w:kern w:val="0"/>
                <w:sz w:val="24"/>
                <w:szCs w:val="24"/>
                <w:highlight w:val="none"/>
                <w:lang w:bidi="ar"/>
              </w:rPr>
              <w:t>）</w:t>
            </w:r>
          </w:p>
          <w:p w14:paraId="77D9B894">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lang w:val="en-US" w:eastAsia="zh-CN" w:bidi="ar"/>
              </w:rPr>
              <w:t>一、</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缴纳：</w:t>
            </w:r>
          </w:p>
          <w:p w14:paraId="6CC4AE3D">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1.投标保证金的形式:网银转账、保函、支票、汇票、本票；</w:t>
            </w:r>
          </w:p>
          <w:p w14:paraId="04D98DCE">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bidi="ar"/>
              </w:rPr>
              <w:t>缴纳</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时需备注项目名称；</w:t>
            </w:r>
          </w:p>
          <w:p w14:paraId="2E7DA262">
            <w:p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val="en-US" w:eastAsia="zh-CN" w:bidi="ar"/>
              </w:rPr>
              <w:t>递交截止时间</w:t>
            </w:r>
            <w:r>
              <w:rPr>
                <w:rFonts w:hint="eastAsia" w:ascii="仿宋" w:hAnsi="仿宋" w:eastAsia="仿宋" w:cs="仿宋"/>
                <w:kern w:val="0"/>
                <w:sz w:val="24"/>
                <w:szCs w:val="24"/>
                <w:highlight w:val="none"/>
                <w:lang w:eastAsia="zh-CN" w:bidi="ar"/>
              </w:rPr>
              <w:t>：</w:t>
            </w:r>
            <w:r>
              <w:rPr>
                <w:rFonts w:hint="eastAsia" w:ascii="仿宋" w:hAnsi="仿宋" w:eastAsia="仿宋" w:cs="仿宋"/>
                <w:sz w:val="24"/>
                <w:szCs w:val="24"/>
                <w:highlight w:val="none"/>
                <w:lang w:eastAsia="zh-CN"/>
              </w:rPr>
              <w:t>2025年07月25日16时 00 分</w:t>
            </w:r>
            <w:r>
              <w:rPr>
                <w:rFonts w:hint="eastAsia" w:ascii="仿宋" w:hAnsi="仿宋" w:eastAsia="仿宋" w:cs="仿宋"/>
                <w:kern w:val="0"/>
                <w:sz w:val="24"/>
                <w:szCs w:val="24"/>
                <w:highlight w:val="none"/>
                <w:lang w:val="en-US" w:eastAsia="zh-CN" w:bidi="ar"/>
              </w:rPr>
              <w:t>（北京时间）</w:t>
            </w:r>
          </w:p>
          <w:p w14:paraId="7C50F28B">
            <w:pPr>
              <w:spacing w:line="24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4.财务部咨询电话：1</w:t>
            </w:r>
            <w:r>
              <w:rPr>
                <w:rFonts w:hint="eastAsia" w:ascii="仿宋" w:hAnsi="仿宋" w:eastAsia="仿宋" w:cs="仿宋"/>
                <w:sz w:val="24"/>
                <w:szCs w:val="24"/>
                <w:highlight w:val="none"/>
                <w:lang w:val="en-US" w:eastAsia="zh-CN"/>
              </w:rPr>
              <w:t>5199002822</w:t>
            </w:r>
          </w:p>
          <w:p w14:paraId="1DE9F164">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eastAsia="zh-CN" w:bidi="ar"/>
              </w:rPr>
              <w:t>投标保证金</w:t>
            </w:r>
            <w:r>
              <w:rPr>
                <w:rFonts w:hint="eastAsia" w:ascii="仿宋" w:hAnsi="仿宋" w:eastAsia="仿宋" w:cs="仿宋"/>
                <w:b/>
                <w:bCs/>
                <w:kern w:val="0"/>
                <w:sz w:val="24"/>
                <w:szCs w:val="24"/>
                <w:highlight w:val="none"/>
                <w:lang w:bidi="ar"/>
              </w:rPr>
              <w:t>缴纳账户：</w:t>
            </w:r>
          </w:p>
          <w:p w14:paraId="0BAE98B3">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单位名称：</w:t>
            </w:r>
            <w:r>
              <w:rPr>
                <w:rFonts w:hint="eastAsia" w:ascii="仿宋" w:hAnsi="仿宋" w:eastAsia="仿宋" w:cs="仿宋"/>
                <w:b/>
                <w:bCs/>
                <w:kern w:val="0"/>
                <w:sz w:val="24"/>
                <w:szCs w:val="24"/>
                <w:highlight w:val="none"/>
                <w:lang w:eastAsia="zh-CN" w:bidi="ar"/>
              </w:rPr>
              <w:t>新疆凯智工程管理咨询有限责任公司</w:t>
            </w:r>
          </w:p>
          <w:p w14:paraId="7A84C763">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账号：0801 2200 0000 9220</w:t>
            </w:r>
          </w:p>
          <w:p w14:paraId="3A0798DE">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开户行名称：新疆银行股份有限公司</w:t>
            </w:r>
          </w:p>
          <w:p w14:paraId="680AEC29">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行号：313881088887</w:t>
            </w:r>
          </w:p>
          <w:p w14:paraId="0DBB7E42">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二、</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退还：</w:t>
            </w:r>
          </w:p>
          <w:p w14:paraId="6272B881">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bidi="ar"/>
              </w:rPr>
              <w:t>未</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将在</w:t>
            </w:r>
            <w:r>
              <w:rPr>
                <w:rFonts w:hint="eastAsia" w:ascii="仿宋" w:hAnsi="仿宋" w:eastAsia="仿宋" w:cs="仿宋"/>
                <w:kern w:val="0"/>
                <w:sz w:val="24"/>
                <w:szCs w:val="24"/>
                <w:highlight w:val="none"/>
                <w:lang w:eastAsia="zh-CN" w:bidi="ar"/>
              </w:rPr>
              <w:t>成交</w:t>
            </w:r>
            <w:r>
              <w:rPr>
                <w:rFonts w:hint="eastAsia" w:ascii="仿宋" w:hAnsi="仿宋" w:eastAsia="仿宋" w:cs="仿宋"/>
                <w:kern w:val="0"/>
                <w:sz w:val="24"/>
                <w:szCs w:val="24"/>
                <w:highlight w:val="none"/>
                <w:lang w:bidi="ar"/>
              </w:rPr>
              <w:t>通知书发出后5个工作日内退还。</w:t>
            </w:r>
          </w:p>
          <w:p w14:paraId="79018860">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将在</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人签订采购合同</w:t>
            </w:r>
            <w:r>
              <w:rPr>
                <w:rFonts w:hint="eastAsia" w:ascii="仿宋" w:hAnsi="仿宋" w:eastAsia="仿宋" w:cs="仿宋"/>
                <w:kern w:val="0"/>
                <w:sz w:val="24"/>
                <w:szCs w:val="24"/>
                <w:highlight w:val="none"/>
                <w:lang w:eastAsia="zh-CN" w:bidi="ar"/>
              </w:rPr>
              <w:t>，并将采购合同递交至采购代理后</w:t>
            </w:r>
            <w:r>
              <w:rPr>
                <w:rFonts w:hint="eastAsia" w:ascii="仿宋" w:hAnsi="仿宋" w:eastAsia="仿宋" w:cs="仿宋"/>
                <w:kern w:val="0"/>
                <w:sz w:val="24"/>
                <w:szCs w:val="24"/>
                <w:highlight w:val="none"/>
                <w:lang w:bidi="ar"/>
              </w:rPr>
              <w:t>5个工作日内，无息退还。</w:t>
            </w:r>
          </w:p>
          <w:p w14:paraId="1CBCE0CA">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bidi="ar"/>
              </w:rPr>
              <w:t>有下列情形之一的，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不予退还：</w:t>
            </w:r>
          </w:p>
          <w:p w14:paraId="6B562291">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在提交</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截止时间后撤回</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的；</w:t>
            </w:r>
          </w:p>
          <w:p w14:paraId="3F1A8376">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在</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中提供虚假材料的；</w:t>
            </w:r>
          </w:p>
          <w:p w14:paraId="2F6E47B5">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（3）除因不可抗力或</w:t>
            </w:r>
            <w:r>
              <w:rPr>
                <w:rFonts w:hint="eastAsia" w:ascii="仿宋" w:hAnsi="仿宋" w:eastAsia="仿宋" w:cs="仿宋"/>
                <w:kern w:val="0"/>
                <w:sz w:val="24"/>
                <w:szCs w:val="24"/>
                <w:highlight w:val="none"/>
                <w:lang w:eastAsia="zh-CN" w:bidi="ar"/>
              </w:rPr>
              <w:t>采购文件</w:t>
            </w:r>
            <w:r>
              <w:rPr>
                <w:rFonts w:hint="eastAsia" w:ascii="仿宋" w:hAnsi="仿宋" w:eastAsia="仿宋" w:cs="仿宋"/>
                <w:kern w:val="0"/>
                <w:sz w:val="24"/>
                <w:szCs w:val="24"/>
                <w:highlight w:val="none"/>
                <w:lang w:bidi="ar"/>
              </w:rPr>
              <w:t>认可的情形以外，</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不与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人签订合同的；</w:t>
            </w:r>
          </w:p>
          <w:p w14:paraId="2BE60A06">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人、其他</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或者</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代理机构恶意串通的；</w:t>
            </w:r>
          </w:p>
          <w:p w14:paraId="3ABD9F50">
            <w:pPr>
              <w:spacing w:beforeAutospacing="0" w:afterAutospacing="0" w:line="240" w:lineRule="auto"/>
              <w:ind w:firstLine="480"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val="en-US" w:eastAsia="zh-CN" w:bidi="ar"/>
              </w:rPr>
              <w:t>磋商</w:t>
            </w:r>
            <w:r>
              <w:rPr>
                <w:rFonts w:hint="eastAsia" w:ascii="仿宋" w:hAnsi="仿宋" w:eastAsia="仿宋" w:cs="仿宋"/>
                <w:kern w:val="0"/>
                <w:sz w:val="24"/>
                <w:szCs w:val="24"/>
                <w:highlight w:val="none"/>
                <w:lang w:eastAsia="zh-CN" w:bidi="ar"/>
              </w:rPr>
              <w:t>文件</w:t>
            </w:r>
            <w:r>
              <w:rPr>
                <w:rFonts w:hint="eastAsia" w:ascii="仿宋" w:hAnsi="仿宋" w:eastAsia="仿宋" w:cs="仿宋"/>
                <w:kern w:val="0"/>
                <w:sz w:val="24"/>
                <w:szCs w:val="24"/>
                <w:highlight w:val="none"/>
                <w:lang w:bidi="ar"/>
              </w:rPr>
              <w:t>规定的其他情形；</w:t>
            </w:r>
          </w:p>
          <w:p w14:paraId="775C93A0">
            <w:pPr>
              <w:spacing w:beforeAutospacing="0" w:afterAutospacing="0" w:line="240" w:lineRule="auto"/>
              <w:ind w:left="420" w:hanging="480" w:hanging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bidi="ar"/>
              </w:rPr>
              <w:t xml:space="preserve"> </w:t>
            </w:r>
            <w:r>
              <w:rPr>
                <w:rFonts w:hint="eastAsia" w:ascii="仿宋" w:hAnsi="仿宋" w:eastAsia="仿宋" w:cs="仿宋"/>
                <w:kern w:val="0"/>
                <w:sz w:val="24"/>
                <w:szCs w:val="24"/>
                <w:highlight w:val="none"/>
                <w:lang w:val="en-US" w:eastAsia="zh-CN" w:bidi="ar"/>
              </w:rPr>
              <w:t xml:space="preserve">   </w:t>
            </w:r>
            <w:r>
              <w:rPr>
                <w:rFonts w:hint="eastAsia" w:ascii="仿宋" w:hAnsi="仿宋" w:eastAsia="仿宋" w:cs="仿宋"/>
                <w:kern w:val="0"/>
                <w:sz w:val="24"/>
                <w:szCs w:val="24"/>
                <w:highlight w:val="none"/>
                <w:lang w:bidi="ar"/>
              </w:rPr>
              <w:t>（6）符合法律、法规规定的其他情形的。</w:t>
            </w:r>
            <w:r>
              <w:rPr>
                <w:rFonts w:hint="eastAsia" w:ascii="仿宋" w:hAnsi="仿宋" w:eastAsia="仿宋" w:cs="仿宋"/>
                <w:kern w:val="0"/>
                <w:sz w:val="24"/>
                <w:szCs w:val="24"/>
                <w:highlight w:val="none"/>
                <w:lang w:val="en-US" w:eastAsia="zh-CN" w:bidi="ar"/>
              </w:rPr>
              <w:t xml:space="preserve"> </w:t>
            </w:r>
          </w:p>
          <w:p w14:paraId="601BCD1E">
            <w:pPr>
              <w:spacing w:beforeAutospacing="0" w:afterAutospacing="0" w:line="240" w:lineRule="auto"/>
              <w:ind w:left="476" w:leftChars="140" w:firstLine="0" w:firstLineChars="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三、加盖公章的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缴纳凭证复印件需装订在</w:t>
            </w:r>
          </w:p>
          <w:p w14:paraId="2DCB9088">
            <w:pPr>
              <w:spacing w:beforeAutospacing="0" w:afterAutospacing="0" w:line="240" w:lineRule="auto"/>
              <w:ind w:left="420" w:hanging="480" w:hanging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中</w:t>
            </w:r>
            <w:r>
              <w:rPr>
                <w:rFonts w:hint="eastAsia" w:ascii="仿宋" w:hAnsi="仿宋" w:eastAsia="仿宋" w:cs="仿宋"/>
                <w:kern w:val="0"/>
                <w:sz w:val="24"/>
                <w:szCs w:val="24"/>
                <w:highlight w:val="none"/>
                <w:lang w:eastAsia="zh-CN" w:bidi="ar"/>
              </w:rPr>
              <w:t>相应位置</w:t>
            </w:r>
            <w:r>
              <w:rPr>
                <w:rFonts w:hint="eastAsia" w:ascii="仿宋" w:hAnsi="仿宋" w:eastAsia="仿宋" w:cs="仿宋"/>
                <w:kern w:val="0"/>
                <w:sz w:val="24"/>
                <w:szCs w:val="24"/>
                <w:highlight w:val="none"/>
                <w:lang w:bidi="ar"/>
              </w:rPr>
              <w:t>。</w:t>
            </w:r>
          </w:p>
          <w:p w14:paraId="4EF5772E">
            <w:pPr>
              <w:pStyle w:val="60"/>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注：供应商未按照采购文件要求缴纳投标保证金的，其投标将被拒绝。</w:t>
            </w:r>
          </w:p>
          <w:p w14:paraId="69448A2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kern w:val="0"/>
                <w:sz w:val="24"/>
                <w:szCs w:val="24"/>
                <w:highlight w:val="none"/>
                <w:lang w:bidi="ar"/>
              </w:rPr>
            </w:pPr>
            <w:r>
              <w:rPr>
                <w:rFonts w:hint="eastAsia" w:ascii="仿宋" w:hAnsi="仿宋" w:eastAsia="仿宋" w:cs="仿宋"/>
                <w:b/>
                <w:bCs/>
                <w:kern w:val="0"/>
                <w:sz w:val="24"/>
                <w:szCs w:val="24"/>
                <w:highlight w:val="none"/>
                <w:lang w:bidi="ar"/>
              </w:rPr>
              <w:t>特别提示：投标保证金以电汇、网银转账方式缴纳的，必须通过</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的基本账户转出，转出账户名称必须与</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名称一致</w:t>
            </w:r>
            <w:r>
              <w:rPr>
                <w:rFonts w:hint="eastAsia" w:ascii="仿宋" w:hAnsi="仿宋" w:eastAsia="仿宋" w:cs="仿宋"/>
                <w:b/>
                <w:bCs/>
                <w:kern w:val="0"/>
                <w:sz w:val="24"/>
                <w:szCs w:val="24"/>
                <w:highlight w:val="none"/>
                <w:lang w:eastAsia="zh-CN" w:bidi="ar"/>
              </w:rPr>
              <w:t>，</w:t>
            </w:r>
            <w:r>
              <w:rPr>
                <w:rFonts w:hint="eastAsia" w:ascii="仿宋" w:hAnsi="仿宋" w:eastAsia="仿宋" w:cs="仿宋"/>
                <w:b/>
                <w:bCs/>
                <w:kern w:val="0"/>
                <w:sz w:val="24"/>
                <w:szCs w:val="24"/>
                <w:highlight w:val="none"/>
                <w:lang w:bidi="ar"/>
              </w:rPr>
              <w:t>且在投标文件递交截止时间前确保到达代理公司账户，</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应充分考虑在途时间。基本开户许可证或者基本存款账户信息、电汇、网银缴纳凭证须附入投标文件中，未按照采购文件要求提交保证金的，其投标文件将被拒绝；</w:t>
            </w:r>
          </w:p>
          <w:p w14:paraId="20FC6246">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highlight w:val="none"/>
                <w:lang w:bidi="ar"/>
              </w:rPr>
            </w:pPr>
            <w:r>
              <w:rPr>
                <w:rFonts w:hint="eastAsia" w:ascii="仿宋" w:hAnsi="仿宋" w:eastAsia="仿宋" w:cs="仿宋"/>
                <w:b/>
                <w:bCs/>
                <w:kern w:val="0"/>
                <w:sz w:val="24"/>
                <w:szCs w:val="24"/>
                <w:highlight w:val="none"/>
                <w:lang w:bidi="ar"/>
              </w:rPr>
              <w:t>如</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保证金的形式为银行保函，银行保函有效期不小于投标有效期 90 天，须将有效期内的银行保函扫描件加盖单位公章附入投标文件中，如银行保函的有效期少于投标有效期90天的，其银行保函无效且投标文件作废标处理。</w:t>
            </w:r>
          </w:p>
          <w:p w14:paraId="47FC44A0">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bidi="ar"/>
              </w:rPr>
              <w:t>如</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保证金的形式为</w:t>
            </w:r>
            <w:r>
              <w:rPr>
                <w:rFonts w:hint="eastAsia" w:ascii="仿宋" w:hAnsi="仿宋" w:eastAsia="仿宋" w:cs="仿宋"/>
                <w:b/>
                <w:bCs/>
                <w:kern w:val="0"/>
                <w:sz w:val="24"/>
                <w:szCs w:val="24"/>
                <w:highlight w:val="none"/>
                <w:lang w:val="en-US" w:eastAsia="zh-CN" w:bidi="ar"/>
              </w:rPr>
              <w:t>支票、汇票、本票，需将有效的票据原件在开标前现场送达或者邮寄至招标代理机构。逾期送达的将视为未收到保证金，</w:t>
            </w:r>
            <w:r>
              <w:rPr>
                <w:rFonts w:hint="eastAsia" w:ascii="仿宋" w:hAnsi="仿宋" w:eastAsia="仿宋" w:cs="仿宋"/>
                <w:b/>
                <w:bCs/>
                <w:kern w:val="0"/>
                <w:sz w:val="24"/>
                <w:szCs w:val="24"/>
                <w:highlight w:val="none"/>
                <w:lang w:bidi="ar"/>
              </w:rPr>
              <w:t>其投标文件作废标处理</w:t>
            </w:r>
            <w:r>
              <w:rPr>
                <w:rFonts w:hint="eastAsia" w:ascii="仿宋" w:hAnsi="仿宋" w:eastAsia="仿宋" w:cs="仿宋"/>
                <w:b/>
                <w:bCs/>
                <w:kern w:val="0"/>
                <w:sz w:val="24"/>
                <w:szCs w:val="24"/>
                <w:highlight w:val="none"/>
                <w:lang w:eastAsia="zh-CN" w:bidi="ar"/>
              </w:rPr>
              <w:t>。</w:t>
            </w:r>
          </w:p>
        </w:tc>
      </w:tr>
      <w:tr w14:paraId="3AE0C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83812A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1463" w:type="dxa"/>
            <w:vAlign w:val="center"/>
          </w:tcPr>
          <w:p w14:paraId="31C45F76">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是否接受联合体投标</w:t>
            </w:r>
          </w:p>
        </w:tc>
        <w:tc>
          <w:tcPr>
            <w:tcW w:w="6253" w:type="dxa"/>
            <w:vAlign w:val="center"/>
          </w:tcPr>
          <w:p w14:paraId="641616EC">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FE"/>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接受</w:t>
            </w:r>
          </w:p>
        </w:tc>
      </w:tr>
      <w:tr w14:paraId="1119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C54D144">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1463" w:type="dxa"/>
            <w:vAlign w:val="center"/>
          </w:tcPr>
          <w:p w14:paraId="747090E4">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分包</w:t>
            </w:r>
          </w:p>
        </w:tc>
        <w:tc>
          <w:tcPr>
            <w:tcW w:w="6253" w:type="dxa"/>
            <w:vAlign w:val="center"/>
          </w:tcPr>
          <w:p w14:paraId="538945ED">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FE"/>
            </w:r>
            <w:r>
              <w:rPr>
                <w:rFonts w:hint="eastAsia" w:ascii="仿宋" w:hAnsi="仿宋" w:eastAsia="仿宋" w:cs="仿宋"/>
                <w:color w:val="000000"/>
                <w:sz w:val="24"/>
                <w:szCs w:val="24"/>
                <w:highlight w:val="none"/>
              </w:rPr>
              <w:t>不允许/</w:t>
            </w: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允许</w:t>
            </w:r>
          </w:p>
        </w:tc>
      </w:tr>
      <w:tr w14:paraId="3C2E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909F68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1463" w:type="dxa"/>
            <w:vAlign w:val="center"/>
          </w:tcPr>
          <w:p w14:paraId="266E2A5F">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响应文件递交截止时间及开标时间</w:t>
            </w:r>
          </w:p>
        </w:tc>
        <w:tc>
          <w:tcPr>
            <w:tcW w:w="6253" w:type="dxa"/>
            <w:vAlign w:val="center"/>
          </w:tcPr>
          <w:p w14:paraId="30595F3F">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采用不见面开标：</w:t>
            </w:r>
          </w:p>
          <w:p w14:paraId="51A1ED3A">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开标时间：</w:t>
            </w:r>
            <w:r>
              <w:rPr>
                <w:rFonts w:hint="eastAsia" w:ascii="仿宋" w:hAnsi="仿宋" w:eastAsia="仿宋" w:cs="仿宋"/>
                <w:sz w:val="24"/>
                <w:szCs w:val="24"/>
                <w:highlight w:val="none"/>
                <w:lang w:eastAsia="zh-CN"/>
              </w:rPr>
              <w:t>2025年07月25日16时 00 分</w:t>
            </w:r>
            <w:r>
              <w:rPr>
                <w:rFonts w:hint="eastAsia" w:ascii="仿宋" w:hAnsi="仿宋" w:eastAsia="仿宋" w:cs="仿宋"/>
                <w:kern w:val="2"/>
                <w:sz w:val="24"/>
                <w:szCs w:val="24"/>
                <w:highlight w:val="none"/>
                <w:lang w:val="en-US" w:eastAsia="zh-CN" w:bidi="ar-SA"/>
              </w:rPr>
              <w:t>(北京时间)</w:t>
            </w:r>
          </w:p>
          <w:p w14:paraId="52C60930">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开标地点：新疆政府采购网</w:t>
            </w:r>
          </w:p>
          <w:p w14:paraId="3A107AFD">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(http://www.ccgp-xinjiang.gov.cn) 政采云线上平台。</w:t>
            </w:r>
          </w:p>
          <w:p w14:paraId="1EBB9528">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不见面开标默认解密时长：30 分钟</w:t>
            </w:r>
          </w:p>
          <w:p w14:paraId="6E6C6451">
            <w:pPr>
              <w:spacing w:beforeAutospacing="0" w:afterAutospacing="0"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注：如因供应商自身原因导致在规定时间内无法正常解密的 (如：浏览器故障、未安装相关驱动、网络故障、加密 CA与解密CA不一致等) ，采购中心/代理机构不予异常处理，视为供应商自动弃标。</w:t>
            </w:r>
          </w:p>
        </w:tc>
      </w:tr>
      <w:tr w14:paraId="7ECE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1344C8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1463" w:type="dxa"/>
            <w:vAlign w:val="center"/>
          </w:tcPr>
          <w:p w14:paraId="095EDF58">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w:t>
            </w:r>
          </w:p>
        </w:tc>
        <w:tc>
          <w:tcPr>
            <w:tcW w:w="6253" w:type="dxa"/>
            <w:vAlign w:val="center"/>
          </w:tcPr>
          <w:p w14:paraId="48968D59">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1、本项目实行电子招投标，供应商须登录政采云平台https://www.zcygov.cn/申请获取采购文件，并通过政采云电子投标客户端制作投标响应文件，同时自行承担与投标有关的一切费用。</w:t>
            </w:r>
          </w:p>
          <w:p w14:paraId="2A9662AA">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2、各供应商应在开标前应确保成为政府采购网正式注册入库供应商，并完成CA数字证书申领（符合国密标准）。因未注册入库、未办理CA数字证书等原因造成无法投标或投标失败等后果由供应商自行承担。</w:t>
            </w:r>
          </w:p>
          <w:p w14:paraId="3ED2FA68">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国办函〔2019〕41号文促进数字证书（CA）跨平台、跨部门、跨区域互认要求，政府采购云平台目前已支持包括新疆CA、翔晟CA及汇信CA等多家CA的办理及使用。投标人可通过政府采购网-办理指南—投标人—CA证书办理操作指南-进入CA办理界面，按需选择办理任意一家CA厂商的数字证书。CA证书办理操作指南链接：</w:t>
            </w:r>
            <w:r>
              <w:rPr>
                <w:rFonts w:hint="eastAsia" w:ascii="仿宋" w:hAnsi="仿宋" w:eastAsia="仿宋" w:cs="仿宋"/>
                <w:color w:val="000000"/>
                <w:sz w:val="24"/>
                <w:szCs w:val="24"/>
                <w:highlight w:val="none"/>
                <w:lang w:val="en-US" w:eastAsia="zh-CN"/>
              </w:rPr>
              <w:fldChar w:fldCharType="begin"/>
            </w:r>
            <w:r>
              <w:rPr>
                <w:rFonts w:hint="eastAsia" w:ascii="仿宋" w:hAnsi="仿宋" w:eastAsia="仿宋" w:cs="仿宋"/>
                <w:color w:val="000000"/>
                <w:sz w:val="24"/>
                <w:szCs w:val="24"/>
                <w:highlight w:val="none"/>
                <w:lang w:val="en-US" w:eastAsia="zh-CN"/>
              </w:rPr>
              <w:instrText xml:space="preserve"> HYPERLINK "http://u3v.cn/5F3afc。" </w:instrText>
            </w:r>
            <w:r>
              <w:rPr>
                <w:rFonts w:hint="eastAsia" w:ascii="仿宋" w:hAnsi="仿宋" w:eastAsia="仿宋" w:cs="仿宋"/>
                <w:color w:val="000000"/>
                <w:sz w:val="24"/>
                <w:szCs w:val="24"/>
                <w:highlight w:val="none"/>
                <w:lang w:val="en-US" w:eastAsia="zh-CN"/>
              </w:rPr>
              <w:fldChar w:fldCharType="separate"/>
            </w:r>
            <w:r>
              <w:rPr>
                <w:rFonts w:hint="eastAsia" w:ascii="仿宋" w:hAnsi="仿宋" w:eastAsia="仿宋" w:cs="仿宋"/>
                <w:color w:val="000000"/>
                <w:sz w:val="24"/>
                <w:szCs w:val="24"/>
                <w:highlight w:val="none"/>
                <w:lang w:val="en-US" w:eastAsia="zh-CN"/>
              </w:rPr>
              <w:t>http://u3v.cn/5F3afc。</w:t>
            </w:r>
            <w:r>
              <w:rPr>
                <w:rFonts w:hint="eastAsia" w:ascii="仿宋" w:hAnsi="仿宋" w:eastAsia="仿宋" w:cs="仿宋"/>
                <w:color w:val="000000"/>
                <w:sz w:val="24"/>
                <w:szCs w:val="24"/>
                <w:highlight w:val="none"/>
                <w:lang w:val="en-US" w:eastAsia="zh-CN"/>
              </w:rPr>
              <w:fldChar w:fldCharType="end"/>
            </w:r>
          </w:p>
          <w:p w14:paraId="24764845">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4、供应商应当在磋商截止时间前,将生成的“电子加密响应文件”上传递交至“政府采购云平台”,磋商截止时间以后上传递交的响应文件将被“政府采购云平台”拒收。</w:t>
            </w:r>
          </w:p>
          <w:p w14:paraId="32B5849D">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5、供应商在磋商前须提前配置好电脑浏览器（建议使用 360 浏览器或谷歌浏览器）, 磋商时请使用制作加密电子响应文件的 CA 锁进行解密及报价确认。本项目响应文件解密时间定为30分钟内,如因自身原因导致无法正常解密,后果由供应商自行承担。</w:t>
            </w:r>
          </w:p>
          <w:p w14:paraId="2257EF64">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6、供应商登录政采云平台，在磋商时间后 30 分钟内用“项目采购-开标评标”功能进行解密响应文件。若供应商在规定时间内（未按时解密的，视为无效磋商。解密与加密响应文件须使用同一个CA。中小企业划分标准依据《工业和信息化部、国家统计局、国家发展和改革委员会、财政部关于印发中小企业划型标准规定的通知》（工信部联企业〔2011〕300号）规定。</w:t>
            </w:r>
            <w:r>
              <w:rPr>
                <w:rFonts w:hint="eastAsia" w:ascii="仿宋" w:hAnsi="仿宋" w:eastAsia="仿宋" w:cs="仿宋"/>
                <w:b/>
                <w:bCs/>
                <w:color w:val="000000"/>
                <w:sz w:val="24"/>
                <w:szCs w:val="24"/>
                <w:highlight w:val="none"/>
                <w:lang w:val="en-US" w:eastAsia="zh-CN"/>
              </w:rPr>
              <w:t>本项目采购标的对应的中小企业划分标准所属行业为建筑业。</w:t>
            </w:r>
          </w:p>
        </w:tc>
      </w:tr>
      <w:tr w14:paraId="22CE0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9ECE91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1463" w:type="dxa"/>
            <w:vAlign w:val="center"/>
          </w:tcPr>
          <w:p w14:paraId="5407DD10">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投标报价</w:t>
            </w:r>
          </w:p>
        </w:tc>
        <w:tc>
          <w:tcPr>
            <w:tcW w:w="6253" w:type="dxa"/>
            <w:vAlign w:val="center"/>
          </w:tcPr>
          <w:p w14:paraId="6E51200A">
            <w:pPr>
              <w:spacing w:beforeAutospacing="0" w:afterAutospacing="0" w:line="24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的报价明显低于其他通过符合性审查</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的报价，有可能影响质量或者不能诚信履约的，</w:t>
            </w:r>
            <w:r>
              <w:rPr>
                <w:rFonts w:hint="eastAsia" w:ascii="仿宋" w:hAnsi="仿宋" w:eastAsia="仿宋" w:cs="仿宋"/>
                <w:color w:val="000000"/>
                <w:sz w:val="24"/>
                <w:szCs w:val="24"/>
                <w:highlight w:val="none"/>
                <w:lang w:val="en-US" w:eastAsia="zh-CN"/>
              </w:rPr>
              <w:t>供应商应</w:t>
            </w:r>
            <w:r>
              <w:rPr>
                <w:rFonts w:hint="eastAsia" w:ascii="仿宋" w:hAnsi="仿宋" w:eastAsia="仿宋" w:cs="仿宋"/>
                <w:color w:val="000000"/>
                <w:sz w:val="24"/>
                <w:szCs w:val="24"/>
                <w:highlight w:val="none"/>
              </w:rPr>
              <w:t>在评标现场合理的时间内提供书面说明，必要时提交相关证明材料；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不能证明其报价合理性的，</w:t>
            </w:r>
            <w:r>
              <w:rPr>
                <w:rFonts w:hint="eastAsia" w:ascii="仿宋" w:hAnsi="仿宋" w:eastAsia="仿宋" w:cs="仿宋"/>
                <w:color w:val="000000"/>
                <w:sz w:val="24"/>
                <w:szCs w:val="24"/>
                <w:highlight w:val="none"/>
                <w:lang w:eastAsia="zh-CN"/>
              </w:rPr>
              <w:t>自行承担相关责任</w:t>
            </w:r>
            <w:r>
              <w:rPr>
                <w:rFonts w:hint="eastAsia" w:ascii="仿宋" w:hAnsi="仿宋" w:eastAsia="仿宋" w:cs="仿宋"/>
                <w:color w:val="000000"/>
                <w:sz w:val="24"/>
                <w:szCs w:val="24"/>
                <w:highlight w:val="none"/>
              </w:rPr>
              <w:t>。</w:t>
            </w:r>
          </w:p>
        </w:tc>
      </w:tr>
      <w:tr w14:paraId="45C76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E01517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1463" w:type="dxa"/>
            <w:vAlign w:val="center"/>
          </w:tcPr>
          <w:p w14:paraId="65B8C589">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踏勘现场</w:t>
            </w:r>
          </w:p>
        </w:tc>
        <w:tc>
          <w:tcPr>
            <w:tcW w:w="6253" w:type="dxa"/>
            <w:vAlign w:val="center"/>
          </w:tcPr>
          <w:p w14:paraId="1D56152D">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不组织，</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自行踏勘，无论</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对现场考察与否，都将被视为熟悉履行合同有关的一切情况。</w:t>
            </w:r>
          </w:p>
        </w:tc>
      </w:tr>
      <w:tr w14:paraId="1CA1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5B81F10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1463" w:type="dxa"/>
            <w:vAlign w:val="center"/>
          </w:tcPr>
          <w:p w14:paraId="635D035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投标答疑会</w:t>
            </w:r>
          </w:p>
        </w:tc>
        <w:tc>
          <w:tcPr>
            <w:tcW w:w="6253" w:type="dxa"/>
            <w:vAlign w:val="center"/>
          </w:tcPr>
          <w:p w14:paraId="7C6034A6">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不召开</w:t>
            </w:r>
          </w:p>
        </w:tc>
      </w:tr>
      <w:tr w14:paraId="436CC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663" w:type="dxa"/>
            <w:vAlign w:val="center"/>
          </w:tcPr>
          <w:p w14:paraId="6A71191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1463" w:type="dxa"/>
            <w:vAlign w:val="center"/>
          </w:tcPr>
          <w:p w14:paraId="29549FC9">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提出问题或要求</w:t>
            </w:r>
          </w:p>
          <w:p w14:paraId="515DBE9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澄清</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的截止时间</w:t>
            </w:r>
          </w:p>
        </w:tc>
        <w:tc>
          <w:tcPr>
            <w:tcW w:w="6253" w:type="dxa"/>
            <w:vAlign w:val="center"/>
          </w:tcPr>
          <w:p w14:paraId="3876E79F">
            <w:pPr>
              <w:spacing w:beforeAutospacing="0" w:afterAutospacing="0" w:line="24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应当在知道或应当知道（即收到采购文件之日或者采购文件公告期限届满之日）其权益受到损害之日起七个工作日内书面提出。</w:t>
            </w:r>
          </w:p>
        </w:tc>
      </w:tr>
      <w:tr w14:paraId="4716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5AFD31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w:t>
            </w:r>
          </w:p>
        </w:tc>
        <w:tc>
          <w:tcPr>
            <w:tcW w:w="1463" w:type="dxa"/>
            <w:vAlign w:val="center"/>
          </w:tcPr>
          <w:p w14:paraId="430A2086">
            <w:pPr>
              <w:spacing w:beforeAutospacing="0" w:afterAutospacing="0" w:line="240" w:lineRule="auto"/>
              <w:jc w:val="center"/>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近年财务状况年份要求</w:t>
            </w:r>
          </w:p>
        </w:tc>
        <w:tc>
          <w:tcPr>
            <w:tcW w:w="6253" w:type="dxa"/>
            <w:vAlign w:val="center"/>
          </w:tcPr>
          <w:p w14:paraId="6CF3A67C">
            <w:pPr>
              <w:pStyle w:val="56"/>
              <w:spacing w:beforeAutospacing="0" w:afterAutospacing="0" w:line="240" w:lineRule="auto"/>
              <w:ind w:left="0" w:firstLine="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2024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度，新成立企业无需提供。</w:t>
            </w:r>
          </w:p>
        </w:tc>
      </w:tr>
      <w:tr w14:paraId="5A32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8B19F1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p>
        </w:tc>
        <w:tc>
          <w:tcPr>
            <w:tcW w:w="1463" w:type="dxa"/>
            <w:vAlign w:val="center"/>
          </w:tcPr>
          <w:p w14:paraId="1EA0E1F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投标有效期</w:t>
            </w:r>
          </w:p>
        </w:tc>
        <w:tc>
          <w:tcPr>
            <w:tcW w:w="6253" w:type="dxa"/>
            <w:vAlign w:val="center"/>
          </w:tcPr>
          <w:p w14:paraId="71367630">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从开标之日起</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0日历天</w:t>
            </w:r>
          </w:p>
        </w:tc>
      </w:tr>
      <w:tr w14:paraId="6091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AE907D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w:t>
            </w:r>
          </w:p>
        </w:tc>
        <w:tc>
          <w:tcPr>
            <w:tcW w:w="1463" w:type="dxa"/>
            <w:vAlign w:val="center"/>
          </w:tcPr>
          <w:p w14:paraId="6B860AA6">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的组建</w:t>
            </w:r>
          </w:p>
        </w:tc>
        <w:tc>
          <w:tcPr>
            <w:tcW w:w="6253" w:type="dxa"/>
            <w:vAlign w:val="center"/>
          </w:tcPr>
          <w:p w14:paraId="5C3C03A0">
            <w:pPr>
              <w:spacing w:beforeAutospacing="0" w:afterAutospacing="0"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政采云服务平台抽取</w:t>
            </w:r>
          </w:p>
          <w:p w14:paraId="162E21B5">
            <w:pPr>
              <w:spacing w:beforeAutospacing="0" w:afterAutospacing="0"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评标委员会构成：</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人</w:t>
            </w:r>
          </w:p>
        </w:tc>
      </w:tr>
      <w:tr w14:paraId="5321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4402A9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w:t>
            </w:r>
          </w:p>
        </w:tc>
        <w:tc>
          <w:tcPr>
            <w:tcW w:w="1463" w:type="dxa"/>
            <w:vAlign w:val="center"/>
          </w:tcPr>
          <w:p w14:paraId="7298B56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评标办法</w:t>
            </w:r>
          </w:p>
        </w:tc>
        <w:tc>
          <w:tcPr>
            <w:tcW w:w="6253" w:type="dxa"/>
            <w:vAlign w:val="center"/>
          </w:tcPr>
          <w:p w14:paraId="0B28052B">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综合评分法</w:t>
            </w:r>
          </w:p>
        </w:tc>
      </w:tr>
      <w:tr w14:paraId="00B3F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BB19B23">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w:t>
            </w:r>
          </w:p>
        </w:tc>
        <w:tc>
          <w:tcPr>
            <w:tcW w:w="1463" w:type="dxa"/>
            <w:vAlign w:val="center"/>
          </w:tcPr>
          <w:p w14:paraId="6586B637">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是否授权</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p>
        </w:tc>
        <w:tc>
          <w:tcPr>
            <w:tcW w:w="6253" w:type="dxa"/>
            <w:vAlign w:val="center"/>
          </w:tcPr>
          <w:p w14:paraId="2210424C">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否，推荐3名</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w:t>
            </w:r>
          </w:p>
        </w:tc>
      </w:tr>
      <w:tr w14:paraId="71807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C279AF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w:t>
            </w:r>
          </w:p>
        </w:tc>
        <w:tc>
          <w:tcPr>
            <w:tcW w:w="1463" w:type="dxa"/>
            <w:vAlign w:val="center"/>
          </w:tcPr>
          <w:p w14:paraId="2210258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w:t>
            </w:r>
          </w:p>
        </w:tc>
        <w:tc>
          <w:tcPr>
            <w:tcW w:w="6253" w:type="dxa"/>
            <w:vAlign w:val="center"/>
          </w:tcPr>
          <w:p w14:paraId="48C5AADC">
            <w:pPr>
              <w:spacing w:beforeAutospacing="0" w:afterAutospacing="0"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p>
        </w:tc>
      </w:tr>
      <w:tr w14:paraId="247C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85DC4A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w:t>
            </w:r>
          </w:p>
        </w:tc>
        <w:tc>
          <w:tcPr>
            <w:tcW w:w="1463" w:type="dxa"/>
            <w:vAlign w:val="center"/>
          </w:tcPr>
          <w:p w14:paraId="422C7E71">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代理服务费</w:t>
            </w:r>
          </w:p>
        </w:tc>
        <w:tc>
          <w:tcPr>
            <w:tcW w:w="6253" w:type="dxa"/>
            <w:vAlign w:val="center"/>
          </w:tcPr>
          <w:p w14:paraId="476FF627">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造价费：3000.00元；代理费：3500.00元</w:t>
            </w:r>
          </w:p>
          <w:p w14:paraId="16CBC357">
            <w:pPr>
              <w:spacing w:beforeAutospacing="0" w:afterAutospacing="0"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由中标人支付。</w:t>
            </w:r>
          </w:p>
        </w:tc>
      </w:tr>
      <w:tr w14:paraId="39DD9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0F3540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w:t>
            </w:r>
          </w:p>
        </w:tc>
        <w:tc>
          <w:tcPr>
            <w:tcW w:w="1463" w:type="dxa"/>
            <w:vAlign w:val="center"/>
          </w:tcPr>
          <w:p w14:paraId="26A76A83">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w:t>
            </w:r>
          </w:p>
        </w:tc>
        <w:tc>
          <w:tcPr>
            <w:tcW w:w="6253" w:type="dxa"/>
            <w:vAlign w:val="center"/>
          </w:tcPr>
          <w:p w14:paraId="5101C7DC">
            <w:pPr>
              <w:spacing w:beforeAutospacing="0" w:afterAutospacing="0"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以最终签订为准。</w:t>
            </w:r>
          </w:p>
        </w:tc>
      </w:tr>
      <w:tr w14:paraId="5711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92089F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w:t>
            </w:r>
          </w:p>
        </w:tc>
        <w:tc>
          <w:tcPr>
            <w:tcW w:w="1463" w:type="dxa"/>
            <w:vAlign w:val="center"/>
          </w:tcPr>
          <w:p w14:paraId="4915B4E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w:t>
            </w:r>
          </w:p>
        </w:tc>
        <w:tc>
          <w:tcPr>
            <w:tcW w:w="6253" w:type="dxa"/>
            <w:vAlign w:val="center"/>
          </w:tcPr>
          <w:p w14:paraId="7D00DC4C">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注意事项：</w:t>
            </w:r>
          </w:p>
          <w:p w14:paraId="1241716C">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后）报价。因供应商自身原因未在系统内及时填报二次报价的，其责任由供应商承担。</w:t>
            </w:r>
          </w:p>
          <w:p w14:paraId="3377F293">
            <w:pPr>
              <w:spacing w:beforeAutospacing="0" w:afterAutospacing="0"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示：开标/磋商时，请供应商随时关注政采云账号内的站内信；注册时留下的注册人的手机短信（系统会推送短信至注册联系人的手机），但此短信仅系友情提示，并不具有任何约束性和必要性，采购代理机构不承担供应商未收到短信而引起的一切后果和法律责任。</w:t>
            </w:r>
          </w:p>
        </w:tc>
      </w:tr>
    </w:tbl>
    <w:p w14:paraId="3D38D47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74720374">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19CEC61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015FCB06">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624CBC8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1C86930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二、总  则</w:t>
      </w:r>
    </w:p>
    <w:p w14:paraId="4419FA3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86" w:name="_Toc217446034"/>
      <w:bookmarkEnd w:id="86"/>
      <w:bookmarkStart w:id="87" w:name="_Toc183682342"/>
      <w:bookmarkEnd w:id="87"/>
      <w:bookmarkStart w:id="88" w:name="_Toc183582205"/>
      <w:bookmarkEnd w:id="88"/>
      <w:r>
        <w:rPr>
          <w:rFonts w:hint="eastAsia" w:ascii="仿宋" w:hAnsi="仿宋" w:eastAsia="仿宋" w:cs="仿宋"/>
          <w:color w:val="000000"/>
          <w:sz w:val="24"/>
          <w:szCs w:val="24"/>
          <w:highlight w:val="none"/>
        </w:rPr>
        <w:t>1. 适用范围</w:t>
      </w:r>
    </w:p>
    <w:p w14:paraId="1F08A74B">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 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仅适用于本次</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项目。</w:t>
      </w:r>
    </w:p>
    <w:p w14:paraId="2110949A">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89" w:name="_Toc183682343"/>
      <w:bookmarkEnd w:id="89"/>
      <w:bookmarkStart w:id="90" w:name="_Toc183582206"/>
      <w:bookmarkEnd w:id="90"/>
      <w:bookmarkStart w:id="91" w:name="_Toc217446035"/>
      <w:bookmarkEnd w:id="91"/>
      <w:r>
        <w:rPr>
          <w:rFonts w:hint="eastAsia" w:ascii="仿宋" w:hAnsi="仿宋" w:eastAsia="仿宋" w:cs="仿宋"/>
          <w:color w:val="000000"/>
          <w:sz w:val="24"/>
          <w:szCs w:val="24"/>
          <w:highlight w:val="none"/>
        </w:rPr>
        <w:t>2. 有关定义</w:t>
      </w:r>
    </w:p>
    <w:p w14:paraId="1A004EDF">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 “采购人”系指依法进行政府采购的国家机关、事业单位、团体组织。本</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采购人是</w:t>
      </w:r>
      <w:r>
        <w:rPr>
          <w:rFonts w:hint="eastAsia" w:ascii="仿宋" w:hAnsi="仿宋" w:eastAsia="仿宋" w:cs="仿宋"/>
          <w:color w:val="000000"/>
          <w:sz w:val="24"/>
          <w:szCs w:val="24"/>
          <w:highlight w:val="none"/>
          <w:lang w:val="en-US" w:eastAsia="zh-CN"/>
        </w:rPr>
        <w:t>乌鲁木齐市第八幼儿园</w:t>
      </w:r>
      <w:r>
        <w:rPr>
          <w:rFonts w:hint="eastAsia" w:ascii="仿宋" w:hAnsi="仿宋" w:eastAsia="仿宋" w:cs="仿宋"/>
          <w:color w:val="000000"/>
          <w:sz w:val="24"/>
          <w:szCs w:val="24"/>
          <w:highlight w:val="none"/>
        </w:rPr>
        <w:t>。</w:t>
      </w:r>
    </w:p>
    <w:p w14:paraId="0C6B9D16">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 “采购代理机构”系指根据采购人的委托依法办理</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事宜的采购机构。本次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 xml:space="preserve">的采购代理机构是 </w:t>
      </w:r>
      <w:r>
        <w:rPr>
          <w:rFonts w:hint="eastAsia" w:ascii="仿宋" w:hAnsi="仿宋" w:eastAsia="仿宋" w:cs="仿宋"/>
          <w:color w:val="000000"/>
          <w:sz w:val="24"/>
          <w:szCs w:val="24"/>
          <w:highlight w:val="none"/>
          <w:lang w:eastAsia="zh-CN"/>
        </w:rPr>
        <w:t>新疆凯智工程管理咨询有限责任公司</w:t>
      </w:r>
      <w:r>
        <w:rPr>
          <w:rFonts w:hint="eastAsia" w:ascii="仿宋" w:hAnsi="仿宋" w:eastAsia="仿宋" w:cs="仿宋"/>
          <w:color w:val="000000"/>
          <w:sz w:val="24"/>
          <w:szCs w:val="24"/>
          <w:highlight w:val="none"/>
        </w:rPr>
        <w:t>。</w:t>
      </w:r>
    </w:p>
    <w:p w14:paraId="4EC56239">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 “采购单位”系指“采购人”和“采购代理机构”的统称。</w:t>
      </w:r>
    </w:p>
    <w:p w14:paraId="1E203019">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”系指购买了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拟参加投标和向采购人提供服务的供应商。</w:t>
      </w:r>
    </w:p>
    <w:p w14:paraId="0F3CDFF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92" w:name="_Toc183582207"/>
      <w:bookmarkEnd w:id="92"/>
      <w:bookmarkStart w:id="93" w:name="_Toc183682344"/>
      <w:bookmarkEnd w:id="93"/>
      <w:bookmarkStart w:id="94" w:name="_Toc217390843"/>
      <w:bookmarkEnd w:id="94"/>
      <w:bookmarkStart w:id="95" w:name="_Toc217446036"/>
      <w:bookmarkEnd w:id="95"/>
      <w:r>
        <w:rPr>
          <w:rFonts w:hint="eastAsia" w:ascii="仿宋" w:hAnsi="仿宋" w:eastAsia="仿宋" w:cs="仿宋"/>
          <w:color w:val="000000"/>
          <w:sz w:val="24"/>
          <w:szCs w:val="24"/>
          <w:highlight w:val="none"/>
        </w:rPr>
        <w:t>3. 合格的</w:t>
      </w:r>
      <w:r>
        <w:rPr>
          <w:rFonts w:hint="eastAsia" w:ascii="仿宋" w:hAnsi="仿宋" w:eastAsia="仿宋" w:cs="仿宋"/>
          <w:color w:val="000000"/>
          <w:sz w:val="24"/>
          <w:szCs w:val="24"/>
          <w:highlight w:val="none"/>
          <w:lang w:eastAsia="zh-CN"/>
        </w:rPr>
        <w:t>供应商</w:t>
      </w:r>
    </w:p>
    <w:p w14:paraId="702CE47D">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合格的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应具备以下条件：</w:t>
      </w:r>
    </w:p>
    <w:p w14:paraId="05865A43">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磋商邀请</w:t>
      </w:r>
      <w:r>
        <w:rPr>
          <w:rFonts w:hint="eastAsia" w:ascii="仿宋" w:hAnsi="仿宋" w:eastAsia="仿宋" w:cs="仿宋"/>
          <w:color w:val="000000"/>
          <w:sz w:val="24"/>
          <w:szCs w:val="24"/>
          <w:highlight w:val="none"/>
        </w:rPr>
        <w:t>”第</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条规定的条件</w:t>
      </w:r>
      <w:r>
        <w:rPr>
          <w:rFonts w:hint="eastAsia" w:ascii="仿宋" w:hAnsi="仿宋" w:eastAsia="仿宋" w:cs="仿宋"/>
          <w:color w:val="000000"/>
          <w:spacing w:val="-4"/>
          <w:sz w:val="24"/>
          <w:szCs w:val="24"/>
          <w:highlight w:val="none"/>
        </w:rPr>
        <w:t>；</w:t>
      </w:r>
    </w:p>
    <w:p w14:paraId="016267D4">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（2）遵守国家有关的法律、法规、规章和其他政策制度；</w:t>
      </w:r>
    </w:p>
    <w:p w14:paraId="73A2C478">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（3）向采购代理机构购买了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并登记。</w:t>
      </w:r>
    </w:p>
    <w:p w14:paraId="054BFBE2">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96" w:name="_Toc217446037"/>
      <w:bookmarkEnd w:id="96"/>
      <w:bookmarkStart w:id="97" w:name="_Toc183582208"/>
      <w:bookmarkEnd w:id="97"/>
      <w:bookmarkStart w:id="98" w:name="_Toc183682345"/>
      <w:bookmarkEnd w:id="98"/>
      <w:r>
        <w:rPr>
          <w:rFonts w:hint="eastAsia" w:ascii="仿宋" w:hAnsi="仿宋" w:eastAsia="仿宋" w:cs="仿宋"/>
          <w:color w:val="000000"/>
          <w:sz w:val="24"/>
          <w:szCs w:val="24"/>
          <w:highlight w:val="none"/>
        </w:rPr>
        <w:t>4. 投标费用</w:t>
      </w:r>
    </w:p>
    <w:p w14:paraId="435B330A">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参加投标的有关费用由</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自行承担。</w:t>
      </w:r>
    </w:p>
    <w:p w14:paraId="38AF3275">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bookmarkStart w:id="99" w:name="_Toc77400779"/>
      <w:bookmarkEnd w:id="99"/>
      <w:bookmarkStart w:id="100" w:name="_Toc89075875"/>
      <w:bookmarkEnd w:id="100"/>
      <w:bookmarkStart w:id="101" w:name="_Toc183582209"/>
      <w:bookmarkEnd w:id="101"/>
      <w:bookmarkStart w:id="102" w:name="_Toc183682346"/>
      <w:bookmarkEnd w:id="102"/>
      <w:bookmarkStart w:id="103" w:name="_Toc217446038"/>
      <w:bookmarkEnd w:id="103"/>
      <w:r>
        <w:rPr>
          <w:rFonts w:hint="eastAsia" w:ascii="仿宋" w:hAnsi="仿宋" w:eastAsia="仿宋" w:cs="仿宋"/>
          <w:bCs w:val="0"/>
          <w:color w:val="000000"/>
          <w:sz w:val="24"/>
          <w:szCs w:val="24"/>
          <w:highlight w:val="none"/>
        </w:rPr>
        <w:t>三、</w:t>
      </w:r>
      <w:r>
        <w:rPr>
          <w:rFonts w:hint="eastAsia" w:ascii="仿宋" w:hAnsi="仿宋" w:eastAsia="仿宋" w:cs="仿宋"/>
          <w:bCs w:val="0"/>
          <w:color w:val="000000"/>
          <w:sz w:val="24"/>
          <w:szCs w:val="24"/>
          <w:highlight w:val="none"/>
          <w:lang w:eastAsia="zh-CN"/>
        </w:rPr>
        <w:t>磋商文件</w:t>
      </w:r>
    </w:p>
    <w:p w14:paraId="66570A51">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04" w:name="_Toc183582210"/>
      <w:bookmarkEnd w:id="104"/>
      <w:bookmarkStart w:id="105" w:name="_Toc183682347"/>
      <w:bookmarkEnd w:id="105"/>
      <w:bookmarkStart w:id="106" w:name="_Toc217446039"/>
      <w:bookmarkEnd w:id="106"/>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的构成</w:t>
      </w:r>
    </w:p>
    <w:p w14:paraId="5F99CA32">
      <w:pPr>
        <w:pageBreakBefore w:val="0"/>
        <w:widowControl w:val="0"/>
        <w:tabs>
          <w:tab w:val="left" w:pos="720"/>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是供应商准备</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和参加投标的依据，同时也是评标的重要依据，具有准法律文件性质。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用以阐明</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项目所需的资质、技术、服务及报价等要求、</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程序、有关规定和注意事项以及合同主要条款等。本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包括以下内容：</w:t>
      </w:r>
    </w:p>
    <w:p w14:paraId="3EF857F8">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）磋商邀请</w:t>
      </w:r>
      <w:r>
        <w:rPr>
          <w:rFonts w:hint="eastAsia" w:ascii="仿宋" w:hAnsi="仿宋" w:eastAsia="仿宋" w:cs="仿宋"/>
          <w:color w:val="000000"/>
          <w:sz w:val="24"/>
          <w:szCs w:val="24"/>
          <w:highlight w:val="none"/>
        </w:rPr>
        <w:tab/>
      </w:r>
    </w:p>
    <w:p w14:paraId="6FEE96A5">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w:t>
      </w:r>
      <w:r>
        <w:rPr>
          <w:rFonts w:hint="eastAsia" w:ascii="仿宋" w:hAnsi="仿宋" w:eastAsia="仿宋" w:cs="仿宋"/>
          <w:color w:val="000000"/>
          <w:sz w:val="24"/>
          <w:szCs w:val="24"/>
          <w:highlight w:val="none"/>
        </w:rPr>
        <w:tab/>
      </w:r>
    </w:p>
    <w:p w14:paraId="27B9778B">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格式</w:t>
      </w:r>
      <w:r>
        <w:rPr>
          <w:rFonts w:hint="eastAsia" w:ascii="仿宋" w:hAnsi="仿宋" w:eastAsia="仿宋" w:cs="仿宋"/>
          <w:color w:val="000000"/>
          <w:sz w:val="24"/>
          <w:szCs w:val="24"/>
          <w:highlight w:val="none"/>
        </w:rPr>
        <w:tab/>
      </w:r>
    </w:p>
    <w:p w14:paraId="35221E3F">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的资格要求</w:t>
      </w:r>
      <w:r>
        <w:rPr>
          <w:rFonts w:hint="eastAsia" w:ascii="仿宋" w:hAnsi="仿宋" w:eastAsia="仿宋" w:cs="仿宋"/>
          <w:color w:val="000000"/>
          <w:sz w:val="24"/>
          <w:szCs w:val="24"/>
          <w:highlight w:val="none"/>
        </w:rPr>
        <w:tab/>
      </w:r>
    </w:p>
    <w:p w14:paraId="6E3836A8">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采购项目采购需求</w:t>
      </w:r>
      <w:r>
        <w:rPr>
          <w:rFonts w:hint="eastAsia" w:ascii="仿宋" w:hAnsi="仿宋" w:eastAsia="仿宋" w:cs="仿宋"/>
          <w:color w:val="000000"/>
          <w:sz w:val="24"/>
          <w:szCs w:val="24"/>
          <w:highlight w:val="none"/>
        </w:rPr>
        <w:tab/>
      </w:r>
    </w:p>
    <w:p w14:paraId="4BF8D300">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评标办法</w:t>
      </w:r>
      <w:r>
        <w:rPr>
          <w:rFonts w:hint="eastAsia" w:ascii="仿宋" w:hAnsi="仿宋" w:eastAsia="仿宋" w:cs="仿宋"/>
          <w:color w:val="000000"/>
          <w:sz w:val="24"/>
          <w:szCs w:val="24"/>
          <w:highlight w:val="none"/>
        </w:rPr>
        <w:tab/>
      </w:r>
    </w:p>
    <w:p w14:paraId="7D8E4BBC">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合同主要条款</w:t>
      </w:r>
      <w:r>
        <w:rPr>
          <w:rFonts w:hint="eastAsia" w:ascii="仿宋" w:hAnsi="仿宋" w:eastAsia="仿宋" w:cs="仿宋"/>
          <w:color w:val="000000"/>
          <w:sz w:val="24"/>
          <w:szCs w:val="24"/>
          <w:highlight w:val="none"/>
        </w:rPr>
        <w:tab/>
      </w:r>
    </w:p>
    <w:p w14:paraId="77029319">
      <w:pPr>
        <w:pageBreakBefore w:val="0"/>
        <w:widowControl w:val="0"/>
        <w:tabs>
          <w:tab w:val="left" w:pos="7665"/>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应认真阅读和充分理解</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中所有的事项、格式条款和规范要求。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没有对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全面做出实质性响应是</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的风险。没有按照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要求作出实质性响应的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将被拒绝。</w:t>
      </w:r>
    </w:p>
    <w:p w14:paraId="0C56864B">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07" w:name="_Toc217446040"/>
      <w:bookmarkEnd w:id="107"/>
      <w:bookmarkStart w:id="108" w:name="_Toc183682348"/>
      <w:bookmarkEnd w:id="108"/>
      <w:bookmarkStart w:id="109" w:name="_Toc183582211"/>
      <w:bookmarkEnd w:id="109"/>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的澄清和修改</w:t>
      </w:r>
    </w:p>
    <w:p w14:paraId="16DB8C11">
      <w:pPr>
        <w:pageBreakBefore w:val="0"/>
        <w:widowControl w:val="0"/>
        <w:tabs>
          <w:tab w:val="left" w:pos="720"/>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.1 在投标截止时间前，采购单位无论出于何种原因，可以对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进行澄清或者修改。</w:t>
      </w:r>
    </w:p>
    <w:p w14:paraId="5603B8B2">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.2 采购单位对已发出的</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进行澄清或者修改，将在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递交</w:t>
      </w:r>
      <w:r>
        <w:rPr>
          <w:rFonts w:hint="eastAsia" w:ascii="仿宋" w:hAnsi="仿宋" w:eastAsia="仿宋" w:cs="仿宋"/>
          <w:color w:val="000000"/>
          <w:sz w:val="24"/>
          <w:szCs w:val="24"/>
          <w:highlight w:val="none"/>
        </w:rPr>
        <w:t>截止时间五日前进行，并以书面</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或公告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形式将澄清或者修改的内容通知所有</w:t>
      </w:r>
      <w:r>
        <w:rPr>
          <w:rFonts w:hint="eastAsia" w:ascii="仿宋" w:hAnsi="仿宋" w:eastAsia="仿宋" w:cs="仿宋"/>
          <w:color w:val="000000"/>
          <w:sz w:val="24"/>
          <w:szCs w:val="24"/>
          <w:highlight w:val="none"/>
          <w:lang w:val="en-US" w:eastAsia="zh-CN"/>
        </w:rPr>
        <w:t>获取</w:t>
      </w:r>
      <w:r>
        <w:rPr>
          <w:rFonts w:hint="eastAsia" w:ascii="仿宋" w:hAnsi="仿宋" w:eastAsia="仿宋" w:cs="仿宋"/>
          <w:color w:val="000000"/>
          <w:sz w:val="24"/>
          <w:szCs w:val="24"/>
          <w:highlight w:val="none"/>
        </w:rPr>
        <w:t>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的供应商。该澄清或者修改的内容为</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的组成部分。</w:t>
      </w:r>
    </w:p>
    <w:p w14:paraId="66F67087">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供应商对磋商文件质疑或</w:t>
      </w:r>
      <w:r>
        <w:rPr>
          <w:rFonts w:hint="eastAsia" w:ascii="仿宋" w:hAnsi="仿宋" w:eastAsia="仿宋" w:cs="仿宋"/>
          <w:color w:val="000000"/>
          <w:sz w:val="24"/>
          <w:szCs w:val="24"/>
          <w:highlight w:val="none"/>
        </w:rPr>
        <w:t>要求对</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文件进行澄清的，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应当在知道或应当知道（即收到</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文件之日或者</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文件公告期限届满之日）其权益受到损害之日起七个工作日内书面提出。</w:t>
      </w:r>
    </w:p>
    <w:p w14:paraId="3ED2A7B4">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.4 在投标截止时间前，采购单位可以视采购具体情况，延长投标截止时间和开标时间。</w:t>
      </w:r>
    </w:p>
    <w:p w14:paraId="3DCA978F">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10" w:name="_Toc208848971"/>
      <w:bookmarkEnd w:id="110"/>
      <w:bookmarkStart w:id="111" w:name="_Toc217446041"/>
      <w:bookmarkEnd w:id="111"/>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答疑会和现场考察</w:t>
      </w:r>
    </w:p>
    <w:p w14:paraId="3C4AC4F5">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.1 根据采购项目和具体情况，采购单位认为有必要，可以组织召开标前答疑会或组织</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对项目现场进行考察。答疑会或进行现场考察的时间，采购单位将以书面形式通知所有购买了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的供应商。</w:t>
      </w:r>
    </w:p>
    <w:p w14:paraId="0B29F402">
      <w:pPr>
        <w:pageBreakBefore w:val="0"/>
        <w:widowControl w:val="0"/>
        <w:kinsoku/>
        <w:wordWrap/>
        <w:overflowPunct/>
        <w:topLinePunct w:val="0"/>
        <w:autoSpaceDE/>
        <w:autoSpaceDN/>
        <w:bidi w:val="0"/>
        <w:snapToGrid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 供应商考察现场所发生的一切费用由供应商自己承担。</w:t>
      </w:r>
    </w:p>
    <w:p w14:paraId="61B9419D">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bookmarkStart w:id="112" w:name="_Toc183682351"/>
      <w:bookmarkEnd w:id="112"/>
      <w:bookmarkStart w:id="113" w:name="_Toc89075876"/>
      <w:bookmarkEnd w:id="113"/>
      <w:bookmarkStart w:id="114" w:name="_Toc217446042"/>
      <w:bookmarkEnd w:id="114"/>
      <w:bookmarkStart w:id="115" w:name="_Toc77400780"/>
      <w:bookmarkEnd w:id="115"/>
      <w:bookmarkStart w:id="116" w:name="_Toc183582214"/>
      <w:bookmarkEnd w:id="116"/>
      <w:r>
        <w:rPr>
          <w:rFonts w:hint="eastAsia" w:ascii="仿宋" w:hAnsi="仿宋" w:eastAsia="仿宋" w:cs="仿宋"/>
          <w:bCs w:val="0"/>
          <w:color w:val="000000"/>
          <w:sz w:val="24"/>
          <w:szCs w:val="24"/>
          <w:highlight w:val="none"/>
        </w:rPr>
        <w:t>四、</w:t>
      </w:r>
      <w:r>
        <w:rPr>
          <w:rFonts w:hint="eastAsia" w:ascii="仿宋" w:hAnsi="仿宋" w:eastAsia="仿宋" w:cs="仿宋"/>
          <w:bCs w:val="0"/>
          <w:color w:val="000000"/>
          <w:sz w:val="24"/>
          <w:szCs w:val="24"/>
          <w:highlight w:val="none"/>
          <w:lang w:eastAsia="zh-CN"/>
        </w:rPr>
        <w:t>响应文件</w:t>
      </w:r>
    </w:p>
    <w:p w14:paraId="1FF3466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17" w:name="_Toc217446043"/>
      <w:bookmarkEnd w:id="117"/>
      <w:bookmarkStart w:id="118" w:name="_Toc183682352"/>
      <w:bookmarkEnd w:id="118"/>
      <w:bookmarkStart w:id="119" w:name="_Toc183582215"/>
      <w:bookmarkEnd w:id="119"/>
      <w:r>
        <w:rPr>
          <w:rFonts w:hint="eastAsia" w:ascii="仿宋" w:hAnsi="仿宋" w:eastAsia="仿宋" w:cs="仿宋"/>
          <w:bCs w:val="0"/>
          <w:color w:val="000000"/>
          <w:sz w:val="24"/>
          <w:szCs w:val="24"/>
          <w:highlight w:val="none"/>
          <w:lang w:val="en-US" w:eastAsia="zh-CN"/>
        </w:rPr>
        <w:t>8</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的语言</w:t>
      </w:r>
    </w:p>
    <w:p w14:paraId="2B864FB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提交的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以及</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与采购单位就有关投标的所有来往书面文件均须使用中文。</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中如附有外文资料，必须逐一对应翻译成中文并加盖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公章后附在相关外文资料后面，否则，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将作为无效投标处理。</w:t>
      </w:r>
    </w:p>
    <w:p w14:paraId="412321A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翻译的中文资料与外文资料如果出现差异和矛盾时，以中文为准。但不能故意错误翻译，否则，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将作为无效投标处理。</w:t>
      </w:r>
    </w:p>
    <w:p w14:paraId="191B6212">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0" w:name="_Toc183582216"/>
      <w:bookmarkEnd w:id="120"/>
      <w:bookmarkStart w:id="121" w:name="_Toc183682353"/>
      <w:bookmarkEnd w:id="121"/>
      <w:bookmarkStart w:id="122" w:name="_Toc217446044"/>
      <w:bookmarkEnd w:id="122"/>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．计量单位</w:t>
      </w:r>
    </w:p>
    <w:p w14:paraId="264A3610">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除技术规格及要求中另有规定外，本采购项下的投标均采用国家法定的计量单位。</w:t>
      </w:r>
    </w:p>
    <w:p w14:paraId="5C53142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3" w:name="_Toc217446045"/>
      <w:bookmarkEnd w:id="123"/>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 投标货币</w:t>
      </w:r>
    </w:p>
    <w:p w14:paraId="45B2B1C4">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项目的投标均以人民币报价。</w:t>
      </w:r>
    </w:p>
    <w:p w14:paraId="24DF1DF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4" w:name="_Toc217446046"/>
      <w:bookmarkEnd w:id="124"/>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 联合体投标</w:t>
      </w:r>
    </w:p>
    <w:p w14:paraId="54A188D2">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详见供应商须知前附表。</w:t>
      </w:r>
    </w:p>
    <w:p w14:paraId="1766B72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25" w:name="_Toc217446047"/>
      <w:bookmarkEnd w:id="125"/>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2</w:t>
      </w:r>
      <w:r>
        <w:rPr>
          <w:rFonts w:hint="eastAsia" w:ascii="仿宋" w:hAnsi="仿宋" w:eastAsia="仿宋" w:cs="仿宋"/>
          <w:bCs w:val="0"/>
          <w:color w:val="000000"/>
          <w:sz w:val="24"/>
          <w:szCs w:val="24"/>
          <w:highlight w:val="none"/>
        </w:rPr>
        <w:t>. 知识产权</w:t>
      </w:r>
    </w:p>
    <w:p w14:paraId="33A89319">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承担所有相关责任。</w:t>
      </w:r>
    </w:p>
    <w:p w14:paraId="7C65C551">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.2 采购人享有本项目实施过程中产生的知识成果及知识产权。</w:t>
      </w:r>
    </w:p>
    <w:p w14:paraId="5DFA8F7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如欲在项目实施过程中采用自有知识成果，需在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中声明，并提供相关知识产权证明文件。使用该知识成果后，</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需提供开发接口和开发手册等技术文档，并承诺提供无限期技术支持，采购人享有永久使用权。</w:t>
      </w:r>
    </w:p>
    <w:p w14:paraId="38A4BEA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.4 如采用</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 xml:space="preserve">所不拥有的知识产权，则在投标报价中必须包括合法获取该知识产权的相关费用。 </w:t>
      </w:r>
    </w:p>
    <w:p w14:paraId="439C81A8">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6" w:name="_Toc183682354"/>
      <w:bookmarkEnd w:id="126"/>
      <w:bookmarkStart w:id="127" w:name="_Toc183582217"/>
      <w:bookmarkEnd w:id="127"/>
      <w:bookmarkStart w:id="128" w:name="_Toc217446048"/>
      <w:bookmarkEnd w:id="128"/>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的组成</w:t>
      </w:r>
    </w:p>
    <w:p w14:paraId="289C9929">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Chars="0" w:firstLine="480" w:firstLineChars="200"/>
        <w:rPr>
          <w:rFonts w:hint="eastAsia" w:ascii="仿宋" w:hAnsi="仿宋" w:eastAsia="仿宋" w:cs="仿宋"/>
          <w:color w:val="000000"/>
          <w:sz w:val="24"/>
          <w:szCs w:val="24"/>
          <w:highlight w:val="none"/>
        </w:rPr>
      </w:pPr>
      <w:bookmarkStart w:id="129" w:name="_Toc183682355"/>
      <w:bookmarkStart w:id="130" w:name="_Toc217446049"/>
      <w:bookmarkStart w:id="131" w:name="_Toc183582218"/>
      <w:r>
        <w:rPr>
          <w:rFonts w:hint="eastAsia" w:ascii="仿宋" w:hAnsi="仿宋" w:eastAsia="仿宋" w:cs="仿宋"/>
          <w:color w:val="000000"/>
          <w:sz w:val="24"/>
          <w:szCs w:val="24"/>
          <w:highlight w:val="none"/>
          <w:lang w:val="en-US" w:eastAsia="zh-CN"/>
        </w:rPr>
        <w:t>13.1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的规定和要求编制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磋商文件允许分包的，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拟在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后将</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项目的非主体、非关键性工作交由他人完成的，应当在响应文件中载明。供应商编写的响应文件应包括下列部分：</w:t>
      </w:r>
    </w:p>
    <w:bookmarkEnd w:id="129"/>
    <w:bookmarkEnd w:id="130"/>
    <w:bookmarkEnd w:id="131"/>
    <w:p w14:paraId="08BDC67A">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（1）投标函；</w:t>
      </w:r>
    </w:p>
    <w:p w14:paraId="1044D70D">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（2）身份证明书及授权书</w:t>
      </w:r>
    </w:p>
    <w:p w14:paraId="01A937F5">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（3）开标一览表</w:t>
      </w:r>
    </w:p>
    <w:p w14:paraId="603C9D6B">
      <w:pPr>
        <w:tabs>
          <w:tab w:val="left" w:pos="7665"/>
        </w:tabs>
        <w:spacing w:beforeAutospacing="0" w:afterAutospacing="0"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（4）工程量清单</w:t>
      </w:r>
    </w:p>
    <w:p w14:paraId="5314F664">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（5）供应商基本情况表</w:t>
      </w:r>
    </w:p>
    <w:p w14:paraId="5A11B9F6">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（6）拟委任的主要人员汇总表</w:t>
      </w:r>
    </w:p>
    <w:p w14:paraId="55CAD2AC">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（7）供应商类似项目业绩一览表</w:t>
      </w:r>
    </w:p>
    <w:p w14:paraId="5406253B">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（8）供应商资格证明文件及供应商认为需要提供的其他文件和资料</w:t>
      </w:r>
    </w:p>
    <w:p w14:paraId="7E11F2AB">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（9）技术部分</w:t>
      </w:r>
    </w:p>
    <w:p w14:paraId="06F831B3">
      <w:pPr>
        <w:pStyle w:val="36"/>
        <w:pageBreakBefore w:val="0"/>
        <w:widowControl w:val="0"/>
        <w:tabs>
          <w:tab w:val="left" w:pos="3480"/>
        </w:tabs>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格式</w:t>
      </w:r>
      <w:r>
        <w:rPr>
          <w:rFonts w:hint="eastAsia" w:ascii="仿宋" w:hAnsi="仿宋" w:eastAsia="仿宋" w:cs="仿宋"/>
          <w:color w:val="000000"/>
          <w:sz w:val="24"/>
          <w:szCs w:val="24"/>
          <w:highlight w:val="none"/>
        </w:rPr>
        <w:tab/>
      </w:r>
    </w:p>
    <w:p w14:paraId="44F457DD">
      <w:pPr>
        <w:tabs>
          <w:tab w:val="left" w:pos="7665"/>
        </w:tabs>
        <w:spacing w:beforeAutospacing="0" w:afterAutospacing="0" w:line="360" w:lineRule="auto"/>
        <w:ind w:firstLine="480" w:firstLineChars="200"/>
        <w:rPr>
          <w:rFonts w:hint="eastAsia" w:ascii="仿宋" w:hAnsi="仿宋" w:eastAsia="仿宋" w:cs="仿宋"/>
          <w:sz w:val="24"/>
          <w:highlight w:val="none"/>
        </w:rPr>
      </w:pPr>
      <w:bookmarkStart w:id="132" w:name="_Toc183682360"/>
      <w:bookmarkStart w:id="133" w:name="_Toc183582223"/>
      <w:bookmarkStart w:id="134" w:name="_Toc217446050"/>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.1 供应商应严格按照磋商文件第三章中提供的“响应文件格式”填写相关内容。除明确允许供应商可以自行编写的外，供应商不得以“响应文件格式”规定之外的方式填写相关内容。</w:t>
      </w:r>
    </w:p>
    <w:p w14:paraId="6526B267">
      <w:pPr>
        <w:tabs>
          <w:tab w:val="left" w:pos="7665"/>
        </w:tabs>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.2 对于没有格式要求的响应文件由供应商自行编写。</w:t>
      </w:r>
    </w:p>
    <w:p w14:paraId="6D5AA9E2">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14.3供应商提供的响应文件应当使用竞争性磋商文件所提供的响应文件格式（表格可按照同样格式扩展），并保证所提供的资料的真实性。未提供格式的，供应商可自行编制。</w:t>
      </w:r>
    </w:p>
    <w:p w14:paraId="53008766">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14.4</w:t>
      </w:r>
      <w:r>
        <w:rPr>
          <w:rFonts w:hint="eastAsia" w:ascii="仿宋" w:hAnsi="仿宋" w:eastAsia="仿宋" w:cs="仿宋"/>
          <w:sz w:val="24"/>
          <w:highlight w:val="none"/>
        </w:rPr>
        <w:t>本</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规定的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编制中所需提交的证明材料</w:t>
      </w:r>
      <w:r>
        <w:rPr>
          <w:rFonts w:hint="eastAsia" w:ascii="仿宋" w:hAnsi="仿宋" w:eastAsia="仿宋" w:cs="仿宋"/>
          <w:sz w:val="24"/>
          <w:highlight w:val="none"/>
          <w:lang w:val="en-US" w:eastAsia="zh-CN"/>
        </w:rPr>
        <w:t>须加盖供应商电子公章</w:t>
      </w:r>
      <w:r>
        <w:rPr>
          <w:rFonts w:hint="eastAsia" w:ascii="仿宋" w:hAnsi="仿宋" w:eastAsia="仿宋" w:cs="仿宋"/>
          <w:sz w:val="24"/>
          <w:highlight w:val="none"/>
        </w:rPr>
        <w:t>，且内容须清晰</w:t>
      </w:r>
      <w:r>
        <w:rPr>
          <w:rFonts w:hint="eastAsia" w:ascii="仿宋" w:hAnsi="仿宋" w:eastAsia="仿宋" w:cs="仿宋"/>
          <w:sz w:val="24"/>
          <w:highlight w:val="none"/>
          <w:lang w:eastAsia="zh-CN"/>
        </w:rPr>
        <w:t>可辨</w:t>
      </w:r>
      <w:r>
        <w:rPr>
          <w:rFonts w:hint="eastAsia" w:ascii="仿宋" w:hAnsi="仿宋" w:eastAsia="仿宋" w:cs="仿宋"/>
          <w:sz w:val="24"/>
          <w:highlight w:val="none"/>
        </w:rPr>
        <w:t>。</w:t>
      </w:r>
    </w:p>
    <w:p w14:paraId="030D7F62">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14.5</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严禁涂改或行间插字和增删。除非这些修改是根据采购人的指示进行的，或者是供应商造成的必须修改的错误，必要的修改处必须有供应商法人代表或其授权代表人签字。</w:t>
      </w:r>
    </w:p>
    <w:p w14:paraId="58F8F5D1">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14.6</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中分标段的，</w:t>
      </w:r>
      <w:r>
        <w:rPr>
          <w:rFonts w:hint="eastAsia" w:ascii="仿宋" w:hAnsi="仿宋" w:eastAsia="仿宋" w:cs="仿宋"/>
          <w:sz w:val="24"/>
          <w:highlight w:val="none"/>
          <w:lang w:val="zh-CN"/>
        </w:rPr>
        <w:t>供应商须针对本单位所投标段分别编制响应文件并单独提交。</w:t>
      </w:r>
      <w:r>
        <w:rPr>
          <w:rFonts w:hint="eastAsia" w:ascii="仿宋" w:hAnsi="仿宋" w:eastAsia="仿宋" w:cs="仿宋"/>
          <w:sz w:val="24"/>
          <w:highlight w:val="none"/>
        </w:rPr>
        <w:t>供应商应当按照</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的要求编制</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应当对</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提出的要求和条件作出明确响应。</w:t>
      </w:r>
    </w:p>
    <w:p w14:paraId="4C15A51F">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14.7</w:t>
      </w:r>
      <w:r>
        <w:rPr>
          <w:rFonts w:hint="eastAsia" w:ascii="仿宋" w:hAnsi="仿宋" w:eastAsia="仿宋" w:cs="仿宋"/>
          <w:sz w:val="24"/>
          <w:highlight w:val="none"/>
        </w:rPr>
        <w:t>电子</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制作时，按照</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中明确的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目录和格式进行编制，保证目录清晰、内容完整。</w:t>
      </w:r>
      <w:r>
        <w:rPr>
          <w:rFonts w:hint="eastAsia" w:ascii="仿宋" w:hAnsi="仿宋" w:eastAsia="仿宋" w:cs="仿宋"/>
          <w:sz w:val="24"/>
          <w:highlight w:val="none"/>
          <w:lang w:val="en-US" w:eastAsia="zh-CN"/>
        </w:rPr>
        <w:t>操作方法详见本须知前附表第24项。</w:t>
      </w:r>
      <w:r>
        <w:rPr>
          <w:rFonts w:hint="eastAsia" w:ascii="仿宋" w:hAnsi="仿宋" w:eastAsia="仿宋" w:cs="仿宋"/>
          <w:sz w:val="24"/>
          <w:highlight w:val="none"/>
        </w:rPr>
        <w:t xml:space="preserve">  </w:t>
      </w:r>
    </w:p>
    <w:p w14:paraId="2E55C770">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14.8</w:t>
      </w:r>
      <w:r>
        <w:rPr>
          <w:rFonts w:hint="eastAsia" w:ascii="仿宋" w:hAnsi="仿宋" w:eastAsia="仿宋" w:cs="仿宋"/>
          <w:sz w:val="24"/>
          <w:highlight w:val="none"/>
        </w:rPr>
        <w:t>电子</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须使用</w:t>
      </w:r>
      <w:r>
        <w:rPr>
          <w:rFonts w:hint="eastAsia" w:ascii="仿宋" w:hAnsi="仿宋" w:eastAsia="仿宋" w:cs="仿宋"/>
          <w:sz w:val="24"/>
          <w:highlight w:val="none"/>
          <w:lang w:eastAsia="zh-CN"/>
        </w:rPr>
        <w:t>供应商</w:t>
      </w:r>
      <w:r>
        <w:rPr>
          <w:rFonts w:hint="eastAsia" w:ascii="仿宋" w:hAnsi="仿宋" w:eastAsia="仿宋" w:cs="仿宋"/>
          <w:sz w:val="24"/>
          <w:highlight w:val="none"/>
          <w:lang w:val="en-US" w:eastAsia="zh-CN"/>
        </w:rPr>
        <w:t>电子公章</w:t>
      </w:r>
      <w:r>
        <w:rPr>
          <w:rFonts w:hint="eastAsia" w:ascii="仿宋" w:hAnsi="仿宋" w:eastAsia="仿宋" w:cs="仿宋"/>
          <w:sz w:val="24"/>
          <w:highlight w:val="none"/>
        </w:rPr>
        <w:t>以及法定代表人的电子签</w:t>
      </w:r>
      <w:r>
        <w:rPr>
          <w:rFonts w:hint="eastAsia" w:ascii="仿宋" w:hAnsi="仿宋" w:eastAsia="仿宋" w:cs="仿宋"/>
          <w:sz w:val="24"/>
          <w:highlight w:val="none"/>
          <w:lang w:val="en-US" w:eastAsia="zh-CN"/>
        </w:rPr>
        <w:t>名（或手写签名的扫描件）</w:t>
      </w:r>
      <w:r>
        <w:rPr>
          <w:rFonts w:hint="eastAsia" w:ascii="仿宋" w:hAnsi="仿宋" w:eastAsia="仿宋" w:cs="仿宋"/>
          <w:sz w:val="24"/>
          <w:highlight w:val="none"/>
        </w:rPr>
        <w:t>。</w:t>
      </w:r>
      <w:r>
        <w:rPr>
          <w:rFonts w:hint="eastAsia" w:ascii="仿宋" w:hAnsi="仿宋" w:eastAsia="仿宋" w:cs="仿宋"/>
          <w:b/>
          <w:bCs/>
          <w:sz w:val="24"/>
          <w:highlight w:val="none"/>
        </w:rPr>
        <w:t>若无电子签章</w:t>
      </w:r>
      <w:r>
        <w:rPr>
          <w:rFonts w:hint="eastAsia" w:ascii="仿宋" w:hAnsi="仿宋" w:eastAsia="仿宋" w:cs="仿宋"/>
          <w:b/>
          <w:bCs/>
          <w:sz w:val="24"/>
          <w:highlight w:val="none"/>
          <w:lang w:val="en-US" w:eastAsia="zh-CN"/>
        </w:rPr>
        <w:t>/签名</w:t>
      </w:r>
      <w:r>
        <w:rPr>
          <w:rFonts w:hint="eastAsia" w:ascii="仿宋" w:hAnsi="仿宋" w:eastAsia="仿宋" w:cs="仿宋"/>
          <w:b/>
          <w:bCs/>
          <w:sz w:val="24"/>
          <w:highlight w:val="none"/>
        </w:rPr>
        <w:t>，则视为</w:t>
      </w:r>
      <w:r>
        <w:rPr>
          <w:rFonts w:hint="eastAsia" w:ascii="仿宋" w:hAnsi="仿宋" w:eastAsia="仿宋" w:cs="仿宋"/>
          <w:b/>
          <w:bCs/>
          <w:sz w:val="24"/>
          <w:highlight w:val="none"/>
          <w:lang w:eastAsia="zh-CN"/>
        </w:rPr>
        <w:t>无效响应</w:t>
      </w:r>
      <w:r>
        <w:rPr>
          <w:rFonts w:hint="eastAsia" w:ascii="仿宋" w:hAnsi="仿宋" w:eastAsia="仿宋" w:cs="仿宋"/>
          <w:b/>
          <w:bCs/>
          <w:sz w:val="24"/>
          <w:highlight w:val="none"/>
        </w:rPr>
        <w:t>。</w:t>
      </w:r>
    </w:p>
    <w:bookmarkEnd w:id="132"/>
    <w:bookmarkEnd w:id="133"/>
    <w:bookmarkEnd w:id="134"/>
    <w:p w14:paraId="79AC6C5A">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5</w:t>
      </w:r>
      <w:r>
        <w:rPr>
          <w:rFonts w:hint="eastAsia" w:ascii="仿宋" w:hAnsi="仿宋" w:eastAsia="仿宋" w:cs="仿宋"/>
          <w:bCs w:val="0"/>
          <w:color w:val="000000"/>
          <w:sz w:val="24"/>
          <w:szCs w:val="24"/>
          <w:highlight w:val="none"/>
        </w:rPr>
        <w:t>．投标保证金</w:t>
      </w:r>
    </w:p>
    <w:p w14:paraId="083EFEA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投标时，必须以人民币提交</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规定数额的投标保证金，并作为其投标的一部分。</w:t>
      </w:r>
    </w:p>
    <w:p w14:paraId="14AE79F5">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.2未按</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要求在规定时间前交纳规定数额投标保证金的投标将被拒绝。</w:t>
      </w:r>
    </w:p>
    <w:p w14:paraId="6CABB05A">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所交纳的投标保证金不计利息。</w:t>
      </w:r>
    </w:p>
    <w:p w14:paraId="075AE9E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.4未</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人的投标保证金，将在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通知书发出后五个工作日内全额退还。</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人的投标保证金，在合同签订生效并按规定交纳了履约保证金后五个工作日内全额退还。</w:t>
      </w:r>
    </w:p>
    <w:p w14:paraId="583428DD">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.5发生下列情形之一的，采购代理机构将不予退还</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交纳的投标保证金：</w:t>
      </w:r>
    </w:p>
    <w:p w14:paraId="376E6A8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规定的投标截止时间内撤回投标；</w:t>
      </w:r>
    </w:p>
    <w:p w14:paraId="68A4DF74">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（2）在采购人确定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人以前放弃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候选资格的；</w:t>
      </w:r>
    </w:p>
    <w:p w14:paraId="2105099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人的原因未能按照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的规定与采购人签订合同；</w:t>
      </w:r>
    </w:p>
    <w:p w14:paraId="33F7728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人的原因未能按照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的规定交纳履约保证金；</w:t>
      </w:r>
    </w:p>
    <w:p w14:paraId="148DA2B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（5）投标有效期内，</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在政府采购活动中有违法、违规、违纪行为</w:t>
      </w:r>
      <w:r>
        <w:rPr>
          <w:rFonts w:hint="eastAsia" w:ascii="仿宋" w:hAnsi="仿宋" w:eastAsia="仿宋" w:cs="仿宋"/>
          <w:color w:val="000000"/>
          <w:sz w:val="24"/>
          <w:szCs w:val="24"/>
          <w:highlight w:val="none"/>
          <w:lang w:eastAsia="zh-CN"/>
        </w:rPr>
        <w:t>。</w:t>
      </w:r>
    </w:p>
    <w:p w14:paraId="1A64B177">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35" w:name="_Toc183682361"/>
      <w:bookmarkEnd w:id="135"/>
      <w:bookmarkStart w:id="136" w:name="_Toc217446051"/>
      <w:bookmarkEnd w:id="136"/>
      <w:bookmarkStart w:id="137" w:name="_Toc183582224"/>
      <w:bookmarkEnd w:id="137"/>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6</w:t>
      </w:r>
      <w:r>
        <w:rPr>
          <w:rFonts w:hint="eastAsia" w:ascii="仿宋" w:hAnsi="仿宋" w:eastAsia="仿宋" w:cs="仿宋"/>
          <w:bCs w:val="0"/>
          <w:color w:val="000000"/>
          <w:sz w:val="24"/>
          <w:szCs w:val="24"/>
          <w:highlight w:val="none"/>
        </w:rPr>
        <w:t>．投标有效期</w:t>
      </w:r>
    </w:p>
    <w:p w14:paraId="5F89F622">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.1 投标有效期</w:t>
      </w:r>
      <w:r>
        <w:rPr>
          <w:rFonts w:hint="eastAsia" w:ascii="仿宋" w:hAnsi="仿宋" w:eastAsia="仿宋" w:cs="仿宋"/>
          <w:color w:val="000000"/>
          <w:sz w:val="24"/>
          <w:szCs w:val="24"/>
          <w:highlight w:val="none"/>
          <w:lang w:val="en-US" w:eastAsia="zh-CN"/>
        </w:rPr>
        <w:t>详见供应商须知前附表</w:t>
      </w:r>
      <w:r>
        <w:rPr>
          <w:rFonts w:hint="eastAsia" w:ascii="仿宋" w:hAnsi="仿宋" w:eastAsia="仿宋" w:cs="仿宋"/>
          <w:color w:val="000000"/>
          <w:sz w:val="24"/>
          <w:szCs w:val="24"/>
          <w:highlight w:val="none"/>
        </w:rPr>
        <w:t>。投标有效期短于此规定期限的投标，将被拒绝。</w:t>
      </w:r>
    </w:p>
    <w:p w14:paraId="7B63E1FE">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.2 特殊情况下，采购人可于投标有效期满之前要求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同意延长有效期，要求与答复均应为书面形式。</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可以拒绝上述要求，其投标保证金</w:t>
      </w:r>
      <w:r>
        <w:rPr>
          <w:rFonts w:hint="eastAsia" w:ascii="仿宋" w:hAnsi="仿宋" w:eastAsia="仿宋" w:cs="仿宋"/>
          <w:color w:val="000000"/>
          <w:spacing w:val="8"/>
          <w:sz w:val="24"/>
          <w:szCs w:val="24"/>
          <w:highlight w:val="none"/>
        </w:rPr>
        <w:t>不被没收。</w:t>
      </w:r>
      <w:r>
        <w:rPr>
          <w:rFonts w:hint="eastAsia" w:ascii="仿宋" w:hAnsi="仿宋" w:eastAsia="仿宋" w:cs="仿宋"/>
          <w:color w:val="000000"/>
          <w:sz w:val="24"/>
          <w:szCs w:val="24"/>
          <w:highlight w:val="none"/>
        </w:rPr>
        <w:t>拒绝延长投标有效期的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不得再参与该项目后续采购活动。同意延长投标有效期的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不能修改其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，关于投标保证金的有关规定在延长的投标有效期内继续有效。</w:t>
      </w:r>
    </w:p>
    <w:p w14:paraId="4A6706D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38" w:name="_Toc183582225"/>
      <w:bookmarkEnd w:id="138"/>
      <w:bookmarkStart w:id="139" w:name="_Toc217446052"/>
      <w:bookmarkEnd w:id="139"/>
      <w:bookmarkStart w:id="140" w:name="_Toc183682362"/>
      <w:bookmarkEnd w:id="140"/>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7</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的印制和签署</w:t>
      </w:r>
    </w:p>
    <w:p w14:paraId="3507ACC2">
      <w:pPr>
        <w:pStyle w:val="36"/>
        <w:spacing w:before="0" w:after="0" w:line="360" w:lineRule="auto"/>
        <w:ind w:firstLine="512" w:firstLineChars="200"/>
        <w:rPr>
          <w:rFonts w:hint="eastAsia" w:ascii="仿宋" w:hAnsi="仿宋" w:eastAsia="仿宋" w:cs="仿宋"/>
          <w:b w:val="0"/>
          <w:bCs w:val="0"/>
          <w:color w:val="000000"/>
          <w:spacing w:val="8"/>
          <w:sz w:val="24"/>
          <w:szCs w:val="24"/>
          <w:highlight w:val="none"/>
          <w:lang w:val="en-US" w:eastAsia="zh-CN" w:bidi="ar-SA"/>
        </w:rPr>
      </w:pPr>
      <w:r>
        <w:rPr>
          <w:rFonts w:hint="eastAsia" w:ascii="仿宋" w:hAnsi="仿宋" w:eastAsia="仿宋" w:cs="仿宋"/>
          <w:b w:val="0"/>
          <w:bCs w:val="0"/>
          <w:color w:val="000000"/>
          <w:spacing w:val="8"/>
          <w:sz w:val="24"/>
          <w:szCs w:val="24"/>
          <w:highlight w:val="none"/>
          <w:lang w:val="en-US" w:eastAsia="zh-CN" w:bidi="ar-SA"/>
        </w:rPr>
        <w:t>本项目采用不见面开标。</w:t>
      </w:r>
    </w:p>
    <w:p w14:paraId="6195C25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8</w:t>
      </w:r>
      <w:r>
        <w:rPr>
          <w:rFonts w:hint="eastAsia" w:ascii="仿宋" w:hAnsi="仿宋" w:eastAsia="仿宋" w:cs="仿宋"/>
          <w:bCs w:val="0"/>
          <w:color w:val="000000"/>
          <w:sz w:val="24"/>
          <w:szCs w:val="24"/>
          <w:highlight w:val="none"/>
        </w:rPr>
        <w:t xml:space="preserve">. </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的密封和标注</w:t>
      </w:r>
    </w:p>
    <w:p w14:paraId="3791E23F">
      <w:pPr>
        <w:tabs>
          <w:tab w:val="left" w:pos="1080"/>
        </w:tabs>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供应商应在磋商文件规定的磋商截止时间前，将响应文件按供应商须知第15条规定加密上传，磋商截止时间以后上传递交的响应文件将被“政府采购云平台”拒收。</w:t>
      </w:r>
    </w:p>
    <w:p w14:paraId="7AD39E1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lang w:val="en-US" w:eastAsia="zh-CN"/>
        </w:rPr>
        <w:t>19</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的递交</w:t>
      </w:r>
    </w:p>
    <w:p w14:paraId="123857BC">
      <w:pPr>
        <w:tabs>
          <w:tab w:val="left" w:pos="1080"/>
        </w:tabs>
        <w:spacing w:beforeAutospacing="0" w:afterAutospacing="0" w:line="360" w:lineRule="auto"/>
        <w:ind w:firstLine="480" w:firstLineChars="200"/>
        <w:rPr>
          <w:rFonts w:hint="eastAsia" w:ascii="仿宋" w:hAnsi="仿宋" w:eastAsia="仿宋" w:cs="仿宋"/>
          <w:sz w:val="24"/>
          <w:highlight w:val="none"/>
        </w:rPr>
      </w:pPr>
      <w:bookmarkStart w:id="141" w:name="_Toc183682365"/>
      <w:bookmarkStart w:id="142" w:name="_Toc183582228"/>
      <w:bookmarkStart w:id="143" w:name="_Toc217446055"/>
      <w:r>
        <w:rPr>
          <w:rFonts w:hint="eastAsia" w:ascii="仿宋" w:hAnsi="仿宋" w:eastAsia="仿宋" w:cs="仿宋"/>
          <w:sz w:val="24"/>
          <w:highlight w:val="none"/>
          <w:lang w:val="en-US" w:eastAsia="zh-CN"/>
        </w:rPr>
        <w:t>19</w:t>
      </w:r>
      <w:r>
        <w:rPr>
          <w:rFonts w:hint="eastAsia" w:ascii="仿宋" w:hAnsi="仿宋" w:eastAsia="仿宋" w:cs="仿宋"/>
          <w:sz w:val="24"/>
          <w:highlight w:val="none"/>
        </w:rPr>
        <w:t>.1 在</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文件要求提交投标文件的截止时间之后提交的投标文件，为无效投标文件，采购代理机构将拒绝接收。</w:t>
      </w:r>
    </w:p>
    <w:p w14:paraId="20F19F95">
      <w:pPr>
        <w:tabs>
          <w:tab w:val="left" w:pos="1080"/>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19.2项目采用不见面开标。只需将加密电子投标文件在投标截止时间前通过 新疆政府采购网-政采云平台上传完成。上传时必须得到电脑“上传成功”的确认回复后方为上传成功。逾期上传的或者未上传到平台的投标文件，采购人不予受理。</w:t>
      </w:r>
    </w:p>
    <w:bookmarkEnd w:id="141"/>
    <w:bookmarkEnd w:id="142"/>
    <w:bookmarkEnd w:id="143"/>
    <w:p w14:paraId="66A9D8B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0</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的修改和撤回</w:t>
      </w:r>
    </w:p>
    <w:p w14:paraId="35F02766">
      <w:pPr>
        <w:spacing w:beforeAutospacing="0" w:afterAutospacing="0" w:line="360" w:lineRule="auto"/>
        <w:ind w:firstLine="480" w:firstLineChars="200"/>
        <w:rPr>
          <w:rFonts w:hint="eastAsia" w:ascii="仿宋" w:hAnsi="仿宋" w:eastAsia="仿宋" w:cs="仿宋"/>
          <w:sz w:val="24"/>
          <w:highlight w:val="none"/>
        </w:rPr>
      </w:pPr>
      <w:bookmarkStart w:id="144" w:name="_Toc77400782"/>
      <w:bookmarkStart w:id="145" w:name="_Toc217446056"/>
      <w:bookmarkStart w:id="146" w:name="_Toc183582231"/>
      <w:bookmarkStart w:id="147" w:name="_Toc183682368"/>
      <w:bookmarkStart w:id="148" w:name="_Toc89075878"/>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.1 供应商在供应商须知前附表规定的响应文件递交截止时间之前，可在政采云平台上随时撤回已上传的电子响应文件，将修改好的电子响应文件在响应文件递交截止时间前重新上传到政采云平台的</w:t>
      </w:r>
      <w:r>
        <w:rPr>
          <w:rFonts w:hint="eastAsia" w:ascii="仿宋" w:hAnsi="仿宋" w:eastAsia="仿宋" w:cs="仿宋"/>
          <w:sz w:val="24"/>
          <w:highlight w:val="none"/>
          <w:lang w:eastAsia="zh-CN"/>
        </w:rPr>
        <w:t>指定</w:t>
      </w:r>
      <w:r>
        <w:rPr>
          <w:rFonts w:hint="eastAsia" w:ascii="仿宋" w:hAnsi="仿宋" w:eastAsia="仿宋" w:cs="仿宋"/>
          <w:sz w:val="24"/>
          <w:highlight w:val="none"/>
        </w:rPr>
        <w:t>位置。</w:t>
      </w:r>
    </w:p>
    <w:p w14:paraId="2B878E3B">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.2 在投标截止时间之后，供应商不得对其递交的响应文件做任何修改或撤回投标。</w:t>
      </w:r>
    </w:p>
    <w:p w14:paraId="41640CB0">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.3 响应文件中如果出现计算上或累加上的算术错误，可按以下原则进行修改：</w:t>
      </w:r>
    </w:p>
    <w:p w14:paraId="038BDCD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（1）用数字表示的金额和用文字表示的金额不一致，应以文字表示的金额为准。</w:t>
      </w:r>
    </w:p>
    <w:p w14:paraId="250EDE92">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（2）单价和数量的乘积与总价不一致时，以单价为准，并修正总价。</w:t>
      </w:r>
    </w:p>
    <w:p w14:paraId="1DF40259">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（3）单价金额小数点有明显错误的，以总价为准，修正单价。</w:t>
      </w:r>
    </w:p>
    <w:p w14:paraId="0812DC4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按上述修正错误的方法调整的投标报价应对供应商具有约束力。如果供应商不接受修正后的价格，其投标将被拒绝。</w:t>
      </w:r>
    </w:p>
    <w:bookmarkEnd w:id="144"/>
    <w:bookmarkEnd w:id="145"/>
    <w:bookmarkEnd w:id="146"/>
    <w:bookmarkEnd w:id="147"/>
    <w:bookmarkEnd w:id="148"/>
    <w:p w14:paraId="3AEB1186">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五、开标和</w:t>
      </w:r>
      <w:r>
        <w:rPr>
          <w:rFonts w:hint="eastAsia" w:ascii="仿宋" w:hAnsi="仿宋" w:eastAsia="仿宋" w:cs="仿宋"/>
          <w:color w:val="000000"/>
          <w:sz w:val="24"/>
          <w:szCs w:val="24"/>
          <w:highlight w:val="none"/>
          <w:lang w:eastAsia="zh-CN"/>
        </w:rPr>
        <w:t>成交</w:t>
      </w:r>
    </w:p>
    <w:p w14:paraId="369B305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49" w:name="_Toc183582232"/>
      <w:bookmarkEnd w:id="149"/>
      <w:bookmarkStart w:id="150" w:name="_Toc217446057"/>
      <w:bookmarkEnd w:id="150"/>
      <w:bookmarkStart w:id="151" w:name="_Toc183682369"/>
      <w:bookmarkEnd w:id="151"/>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1</w:t>
      </w:r>
      <w:r>
        <w:rPr>
          <w:rFonts w:hint="eastAsia" w:ascii="仿宋" w:hAnsi="仿宋" w:eastAsia="仿宋" w:cs="仿宋"/>
          <w:bCs w:val="0"/>
          <w:color w:val="000000"/>
          <w:sz w:val="24"/>
          <w:szCs w:val="24"/>
          <w:highlight w:val="none"/>
        </w:rPr>
        <w:t>．开标</w:t>
      </w:r>
    </w:p>
    <w:p w14:paraId="1B513796">
      <w:pPr>
        <w:spacing w:beforeAutospacing="0" w:afterAutospacing="0" w:line="360" w:lineRule="auto"/>
        <w:ind w:firstLine="480" w:firstLineChars="200"/>
        <w:rPr>
          <w:rFonts w:hint="eastAsia" w:ascii="仿宋" w:hAnsi="仿宋" w:eastAsia="仿宋" w:cs="仿宋"/>
          <w:sz w:val="24"/>
          <w:highlight w:val="none"/>
        </w:rPr>
      </w:pPr>
      <w:bookmarkStart w:id="152" w:name="_Toc217446058"/>
      <w:bookmarkEnd w:id="152"/>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.1 采购代理机构在磋商文件规定的时间和地点组织公开开标，邀请所有参与投标供应商参加开标。</w:t>
      </w:r>
    </w:p>
    <w:p w14:paraId="3008EDD4">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.2 开标时，采购代理机构可以邀请有关监督管理部门对开标进行现场监督，也可以（非必须）申请公证机构对整个开标程序进行现场公证。</w:t>
      </w:r>
    </w:p>
    <w:p w14:paraId="27F02683">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.3 采购人在规定的投标截止时间 (开标时间) 和供应商须知前附表规定的地点开标。供应商的法定代表人或其委托代理人无需到达开标现场，仅需在任意地点 通过新疆政府采购网 (政采云) ，使用 CA 密钥完成远程解密、提疑澄清、开标</w:t>
      </w:r>
      <w:r>
        <w:rPr>
          <w:rFonts w:hint="eastAsia" w:ascii="仿宋" w:hAnsi="仿宋" w:eastAsia="仿宋" w:cs="仿宋"/>
          <w:sz w:val="24"/>
          <w:highlight w:val="none"/>
          <w:lang w:eastAsia="zh-CN"/>
        </w:rPr>
        <w:t>、</w:t>
      </w:r>
      <w:r>
        <w:rPr>
          <w:rFonts w:hint="eastAsia" w:ascii="仿宋" w:hAnsi="仿宋" w:eastAsia="仿宋" w:cs="仿宋"/>
          <w:sz w:val="24"/>
          <w:highlight w:val="none"/>
        </w:rPr>
        <w:t>结果公布等交互环节。</w:t>
      </w:r>
    </w:p>
    <w:p w14:paraId="6A468E2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2ACF2C9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.4 对不同文字文本响应文件的解释发生异议的，以中文文本为准。</w:t>
      </w:r>
    </w:p>
    <w:p w14:paraId="46C4B66E">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2</w:t>
      </w:r>
      <w:r>
        <w:rPr>
          <w:rFonts w:hint="eastAsia" w:ascii="仿宋" w:hAnsi="仿宋" w:eastAsia="仿宋" w:cs="仿宋"/>
          <w:bCs w:val="0"/>
          <w:color w:val="000000"/>
          <w:sz w:val="24"/>
          <w:szCs w:val="24"/>
          <w:highlight w:val="none"/>
        </w:rPr>
        <w:t>. 开标程序</w:t>
      </w:r>
    </w:p>
    <w:p w14:paraId="64388C93">
      <w:pPr>
        <w:spacing w:beforeAutospacing="0" w:afterAutospacing="0" w:line="360" w:lineRule="auto"/>
        <w:ind w:firstLine="480" w:firstLineChars="200"/>
        <w:rPr>
          <w:rFonts w:hint="eastAsia" w:ascii="仿宋" w:hAnsi="仿宋" w:eastAsia="仿宋" w:cs="仿宋"/>
          <w:sz w:val="24"/>
          <w:highlight w:val="none"/>
        </w:rPr>
      </w:pPr>
      <w:bookmarkStart w:id="153" w:name="_Toc183582238"/>
      <w:bookmarkStart w:id="154" w:name="_Toc217446063"/>
      <w:bookmarkStart w:id="155" w:name="_Toc183682375"/>
      <w:r>
        <w:rPr>
          <w:rFonts w:hint="eastAsia" w:ascii="仿宋" w:hAnsi="仿宋" w:eastAsia="仿宋" w:cs="仿宋"/>
          <w:sz w:val="24"/>
          <w:highlight w:val="none"/>
        </w:rPr>
        <w:t>开标会主持人按照磋商文件规定的开标时间宣布开标，按照规定要求主持开标会。开标将按以下程序进行：</w:t>
      </w:r>
    </w:p>
    <w:p w14:paraId="0A8D7801">
      <w:pPr>
        <w:spacing w:beforeAutospacing="0" w:afterAutospacing="0"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22.1采购人在规定的响应文件递交截止时间（开标/磋商时间）和供应商须知前附表规定的地点进行不见面远程开标/磋商。供应商的法定代表人或其委托代理人无需到达开标/磋商现场，仅需在任意地点登录政采云平台https://www.zcygov.cn/进入“政采云远程开标大厅”参加开标/磋商会议，并使用CA密钥完成远程解密、提疑澄清、开标/磋商唱标、二次报价、结果公布等交互环节。</w:t>
      </w:r>
    </w:p>
    <w:p w14:paraId="6FB1A097">
      <w:pPr>
        <w:pStyle w:val="36"/>
        <w:spacing w:before="0" w:beforeAutospacing="0" w:after="0" w:afterAutospacing="0"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22.2开标/磋商时，各供应商应在规定的解密时间（30分钟）内对本单位加密的电子响应文件进行解密，如在规定的解密时间内仍有供应商未解密，采购代理机构将采取“异常处理”，开启该单位的备份标书。采购代理机构工作人员在监督人员或公证人员监督下开启响应文件。</w:t>
      </w:r>
    </w:p>
    <w:bookmarkEnd w:id="153"/>
    <w:bookmarkEnd w:id="154"/>
    <w:bookmarkEnd w:id="155"/>
    <w:p w14:paraId="2A47D63F">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3</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成交</w:t>
      </w:r>
      <w:r>
        <w:rPr>
          <w:rFonts w:hint="eastAsia" w:ascii="仿宋" w:hAnsi="仿宋" w:eastAsia="仿宋" w:cs="仿宋"/>
          <w:bCs w:val="0"/>
          <w:color w:val="000000"/>
          <w:sz w:val="24"/>
          <w:szCs w:val="24"/>
          <w:highlight w:val="none"/>
        </w:rPr>
        <w:t>通知书</w:t>
      </w:r>
    </w:p>
    <w:p w14:paraId="1CB391A7">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bookmarkStart w:id="156" w:name="_Toc217446064"/>
      <w:bookmarkEnd w:id="156"/>
      <w:bookmarkStart w:id="157" w:name="_Toc183582240"/>
      <w:bookmarkStart w:id="158" w:name="_Toc183682377"/>
      <w:r>
        <w:rPr>
          <w:rFonts w:hint="eastAsia" w:ascii="仿宋" w:hAnsi="仿宋" w:eastAsia="仿宋" w:cs="仿宋"/>
          <w:b w:val="0"/>
          <w:bCs w:val="0"/>
          <w:kern w:val="2"/>
          <w:sz w:val="24"/>
          <w:szCs w:val="24"/>
          <w:highlight w:val="none"/>
          <w:lang w:val="en-US" w:eastAsia="zh-CN" w:bidi="ar-SA"/>
        </w:rPr>
        <w:t>23.1 成交通知书为签订政府采购合同的依据，是合同的有效组成部分。</w:t>
      </w:r>
    </w:p>
    <w:p w14:paraId="7D9CFFA8">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23.2 成交通知书对采购人和成交人均具有法律效力。成交通知书发出后，采购人改变成交结果，或者成交人无正当理由放弃成交的，应当承担相应的法律责任。</w:t>
      </w:r>
    </w:p>
    <w:p w14:paraId="6A9A6599">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23．3成交人的响应文件本应作为无效投标处理或者有政府采购法律法规规章制度规定的成交无效情形的，采购代理机构在取得有权主体的认定以后，应当宣布发出的成交通知书无效，并收回发出的成交通知书（成交人也应当缴回），依法重新确定成交人或者重新开展采购活动。</w:t>
      </w:r>
    </w:p>
    <w:p w14:paraId="7FF9CCCE">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六、签订及履行合同和验收</w:t>
      </w:r>
    </w:p>
    <w:p w14:paraId="238B408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59" w:name="_Toc217446065"/>
      <w:bookmarkEnd w:id="159"/>
      <w:r>
        <w:rPr>
          <w:rFonts w:hint="eastAsia" w:ascii="仿宋" w:hAnsi="仿宋" w:eastAsia="仿宋" w:cs="仿宋"/>
          <w:color w:val="000000"/>
          <w:sz w:val="24"/>
          <w:szCs w:val="24"/>
          <w:highlight w:val="none"/>
          <w:lang w:val="en-US" w:eastAsia="zh-CN"/>
        </w:rPr>
        <w:t>24</w:t>
      </w:r>
      <w:r>
        <w:rPr>
          <w:rFonts w:hint="eastAsia" w:ascii="仿宋" w:hAnsi="仿宋" w:eastAsia="仿宋" w:cs="仿宋"/>
          <w:color w:val="000000"/>
          <w:sz w:val="24"/>
          <w:szCs w:val="24"/>
          <w:highlight w:val="none"/>
        </w:rPr>
        <w:t>.</w:t>
      </w:r>
      <w:r>
        <w:rPr>
          <w:rFonts w:hint="eastAsia" w:ascii="仿宋" w:hAnsi="仿宋" w:eastAsia="仿宋" w:cs="仿宋"/>
          <w:b w:val="0"/>
          <w:color w:val="000000"/>
          <w:sz w:val="24"/>
          <w:szCs w:val="24"/>
          <w:highlight w:val="none"/>
        </w:rPr>
        <w:t xml:space="preserve"> 签订合同</w:t>
      </w:r>
    </w:p>
    <w:p w14:paraId="3CCFF12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人在收到</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人发出的《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通知书》后，应在</w:t>
      </w:r>
      <w:r>
        <w:rPr>
          <w:rFonts w:hint="eastAsia" w:ascii="仿宋" w:hAnsi="仿宋" w:eastAsia="仿宋" w:cs="仿宋"/>
          <w:color w:val="000000"/>
          <w:sz w:val="24"/>
          <w:szCs w:val="24"/>
          <w:highlight w:val="none"/>
          <w:lang w:val="en-US" w:eastAsia="zh-CN"/>
        </w:rPr>
        <w:t>法律法规</w:t>
      </w:r>
      <w:r>
        <w:rPr>
          <w:rFonts w:hint="eastAsia" w:ascii="仿宋" w:hAnsi="仿宋" w:eastAsia="仿宋" w:cs="仿宋"/>
          <w:color w:val="000000"/>
          <w:sz w:val="24"/>
          <w:szCs w:val="24"/>
          <w:highlight w:val="none"/>
        </w:rPr>
        <w:t>规定的时间内与采购人签订采购合同。由于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人的原因逾期未与采购人签订采购合同的，将视为放弃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，取消其</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资格并将按相关规定进行处理。</w:t>
      </w:r>
    </w:p>
    <w:p w14:paraId="2A9673A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.2 采购人不得向</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人提出任何不合理的要求，作为签订合同的条件，不得与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人私下订立背离合同实质性内容的任何协议，所签订的合同不得对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和</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作实质性修改。</w:t>
      </w:r>
    </w:p>
    <w:p w14:paraId="36F31920">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人因不可抗力原因不能履行采购合同或放弃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的，采购人可以与排在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人之后第一位的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候选人签订采购合同，以此类推。</w:t>
      </w:r>
    </w:p>
    <w:p w14:paraId="36B86A4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人在合同签订之后三个工作日内，将签订的合同（一份）送采购代理机构。</w:t>
      </w:r>
    </w:p>
    <w:p w14:paraId="09F15444">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0" w:name="_Toc217446066"/>
      <w:bookmarkEnd w:id="160"/>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合同分包</w:t>
      </w:r>
    </w:p>
    <w:p w14:paraId="4D449BF7">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val="en-US" w:eastAsia="zh-CN"/>
        </w:rPr>
        <w:t>若本项目允许分包的，</w:t>
      </w:r>
      <w:r>
        <w:rPr>
          <w:rFonts w:hint="eastAsia" w:ascii="仿宋" w:hAnsi="仿宋" w:eastAsia="仿宋" w:cs="仿宋"/>
          <w:color w:val="000000"/>
          <w:sz w:val="24"/>
          <w:szCs w:val="24"/>
          <w:highlight w:val="none"/>
        </w:rPr>
        <w:t>经采购人同意，</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人可以依法采取分包方式履行合同。这种要求应当在合同签订之前征得采购人同意，并且分包供应商履行的分包项目的品牌、规格型号及技术要求等，必须与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的一致。</w:t>
      </w:r>
    </w:p>
    <w:p w14:paraId="639AB9B2">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 采购合同实行分包履行的，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人就采购项目和分包项目向采购人负责，分包供应商就分包项目承担责任。</w:t>
      </w:r>
    </w:p>
    <w:p w14:paraId="7B458DB3">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1" w:name="_Toc217446067"/>
      <w:bookmarkEnd w:id="161"/>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采购人增加合同标的权利</w:t>
      </w:r>
    </w:p>
    <w:p w14:paraId="1404BCBA">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采购合同履行过程中，采购人需要追加与合同标的相同的货物或者服务的，在不改变合同其他条款的前提下，可以与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供应商协商签订补充合同，但所有补充合同的采购金额不得超过原合同采购金额的百分之十。</w:t>
      </w:r>
    </w:p>
    <w:p w14:paraId="1A5023A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2" w:name="_Toc217446068"/>
      <w:bookmarkEnd w:id="162"/>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履约保证金</w:t>
      </w:r>
    </w:p>
    <w:p w14:paraId="75E8906B">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人应在合同签订之前交纳</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规定数额的履约保证金。</w:t>
      </w:r>
    </w:p>
    <w:p w14:paraId="2FEE519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 如果</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人在规定的合同签订时间内，没有按照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的规定交纳履约保证金，且又无正当理由的，将视为放弃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，其交纳的投标保证金将不与退还。</w:t>
      </w:r>
    </w:p>
    <w:p w14:paraId="1EFA153F">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3" w:name="_Toc217446069"/>
      <w:bookmarkEnd w:id="163"/>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b w:val="0"/>
          <w:color w:val="000000"/>
          <w:sz w:val="24"/>
          <w:szCs w:val="24"/>
          <w:highlight w:val="none"/>
        </w:rPr>
        <w:t xml:space="preserve"> 履行合同</w:t>
      </w:r>
    </w:p>
    <w:p w14:paraId="188EA80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人与采购人签订合同后，合同双方应严格执行合同条款，履行合同规定的义务，保证合同的顺利完成。</w:t>
      </w:r>
    </w:p>
    <w:p w14:paraId="3EF7600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在合同履行过程中，如发生合同纠纷，合同双方应按照《合同法》的有关规定进行处理。</w:t>
      </w:r>
    </w:p>
    <w:p w14:paraId="5991B035">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4" w:name="_Toc217446070"/>
      <w:bookmarkEnd w:id="164"/>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验收</w:t>
      </w:r>
    </w:p>
    <w:p w14:paraId="4BF83F39">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bookmarkStart w:id="165" w:name="_Toc217446071"/>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人与采购人应严格按照国家财政部《关于进一步加强政府采购需求和履约验收管理的指导意见》（</w:t>
      </w:r>
      <w:r>
        <w:rPr>
          <w:rFonts w:hint="eastAsia" w:ascii="仿宋" w:hAnsi="仿宋" w:eastAsia="仿宋" w:cs="仿宋"/>
          <w:color w:val="000000"/>
          <w:sz w:val="24"/>
          <w:szCs w:val="24"/>
          <w:highlight w:val="none"/>
          <w:shd w:val="clear" w:color="auto" w:fill="FFFFFF"/>
        </w:rPr>
        <w:t>财库〔2016〕205号</w:t>
      </w:r>
      <w:r>
        <w:rPr>
          <w:rFonts w:hint="eastAsia" w:ascii="仿宋" w:hAnsi="仿宋" w:eastAsia="仿宋" w:cs="仿宋"/>
          <w:color w:val="000000"/>
          <w:sz w:val="24"/>
          <w:szCs w:val="24"/>
          <w:highlight w:val="none"/>
        </w:rPr>
        <w:t>）的要求进行验收。</w:t>
      </w:r>
    </w:p>
    <w:bookmarkEnd w:id="157"/>
    <w:bookmarkEnd w:id="158"/>
    <w:bookmarkEnd w:id="165"/>
    <w:p w14:paraId="50000365">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rPr>
      </w:pPr>
      <w:bookmarkStart w:id="166" w:name="_Toc217446074"/>
      <w:bookmarkEnd w:id="166"/>
      <w:bookmarkStart w:id="167" w:name="_Toc183682380"/>
      <w:bookmarkStart w:id="168" w:name="_Toc183582243"/>
      <w:r>
        <w:rPr>
          <w:rFonts w:hint="eastAsia" w:ascii="仿宋" w:hAnsi="仿宋" w:eastAsia="仿宋" w:cs="仿宋"/>
          <w:color w:val="000000"/>
          <w:sz w:val="24"/>
          <w:szCs w:val="24"/>
          <w:highlight w:val="none"/>
        </w:rPr>
        <w:t>七、投标纪律要求</w:t>
      </w:r>
    </w:p>
    <w:p w14:paraId="181D13AD">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9" w:name="_Toc217446075"/>
      <w:bookmarkEnd w:id="169"/>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0</w:t>
      </w:r>
      <w:r>
        <w:rPr>
          <w:rFonts w:hint="eastAsia" w:ascii="仿宋" w:hAnsi="仿宋" w:eastAsia="仿宋" w:cs="仿宋"/>
          <w:color w:val="000000"/>
          <w:sz w:val="24"/>
          <w:szCs w:val="24"/>
          <w:highlight w:val="none"/>
        </w:rPr>
        <w:t xml:space="preserve">. </w:t>
      </w:r>
      <w:r>
        <w:rPr>
          <w:rFonts w:hint="eastAsia" w:ascii="仿宋" w:hAnsi="仿宋" w:eastAsia="仿宋" w:cs="仿宋"/>
          <w:bCs w:val="0"/>
          <w:color w:val="000000"/>
          <w:sz w:val="24"/>
          <w:szCs w:val="24"/>
          <w:highlight w:val="none"/>
          <w:lang w:eastAsia="zh-CN"/>
        </w:rPr>
        <w:t>供应商</w:t>
      </w:r>
      <w:r>
        <w:rPr>
          <w:rFonts w:hint="eastAsia" w:ascii="仿宋" w:hAnsi="仿宋" w:eastAsia="仿宋" w:cs="仿宋"/>
          <w:bCs w:val="0"/>
          <w:color w:val="000000"/>
          <w:sz w:val="24"/>
          <w:szCs w:val="24"/>
          <w:highlight w:val="none"/>
        </w:rPr>
        <w:t>不得具有的情形</w:t>
      </w:r>
    </w:p>
    <w:p w14:paraId="770BE7FD">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参加投标不得有下列情形：</w:t>
      </w:r>
    </w:p>
    <w:p w14:paraId="41DACA9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（1）提供虚假材料谋取</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w:t>
      </w:r>
    </w:p>
    <w:p w14:paraId="1EE6AF3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（2）采取不正当手段诋毁、排挤其他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w:t>
      </w:r>
    </w:p>
    <w:p w14:paraId="53B646EB">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（3）与采购单位、其他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恶意串通；</w:t>
      </w:r>
    </w:p>
    <w:p w14:paraId="00ADAF86">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（4）向采购单位、</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成员行贿或者提供其他不正当利益；</w:t>
      </w:r>
    </w:p>
    <w:p w14:paraId="3C48A242">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（5）在</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过程中与采购单位进行协商谈判；</w:t>
      </w:r>
    </w:p>
    <w:p w14:paraId="370ED24D">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（6）拒绝有关部门的监督检查或者向监督检查部门提供虚假情况。</w:t>
      </w:r>
    </w:p>
    <w:p w14:paraId="7117B11E">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有上述情形之一的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，属于不合格</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，其投标或</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资格将被取消。</w:t>
      </w:r>
    </w:p>
    <w:p w14:paraId="4B66CB87">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lang w:val="en-US" w:eastAsia="zh-CN"/>
        </w:rPr>
      </w:pPr>
      <w:bookmarkStart w:id="170" w:name="_Toc217446078"/>
      <w:bookmarkEnd w:id="170"/>
      <w:bookmarkStart w:id="171" w:name="_Toc217446079"/>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、质疑和投诉</w:t>
      </w:r>
    </w:p>
    <w:bookmarkEnd w:id="167"/>
    <w:bookmarkEnd w:id="168"/>
    <w:bookmarkEnd w:id="171"/>
    <w:p w14:paraId="100513F2">
      <w:pPr>
        <w:pStyle w:val="19"/>
        <w:spacing w:after="0"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1</w:t>
      </w:r>
      <w:r>
        <w:rPr>
          <w:rFonts w:hint="eastAsia" w:ascii="仿宋" w:hAnsi="仿宋" w:eastAsia="仿宋" w:cs="仿宋"/>
          <w:color w:val="000000"/>
          <w:sz w:val="24"/>
        </w:rPr>
        <w:t>．质疑、投诉的接收和处理严格按照《</w:t>
      </w:r>
      <w:r>
        <w:rPr>
          <w:rFonts w:hint="eastAsia" w:ascii="仿宋" w:hAnsi="仿宋" w:eastAsia="仿宋" w:cs="仿宋"/>
          <w:color w:val="000000"/>
          <w:sz w:val="24"/>
          <w:lang w:eastAsia="zh-CN"/>
        </w:rPr>
        <w:t>中华人民共和国</w:t>
      </w:r>
      <w:r>
        <w:rPr>
          <w:rFonts w:hint="eastAsia" w:ascii="仿宋" w:hAnsi="仿宋" w:eastAsia="仿宋" w:cs="仿宋"/>
          <w:color w:val="000000"/>
          <w:sz w:val="24"/>
        </w:rPr>
        <w:t>政府采购法</w:t>
      </w:r>
      <w:r>
        <w:rPr>
          <w:rFonts w:hint="eastAsia" w:ascii="仿宋" w:hAnsi="仿宋" w:eastAsia="仿宋" w:cs="仿宋"/>
          <w:color w:val="000000"/>
          <w:sz w:val="24"/>
          <w:lang w:eastAsia="zh-CN"/>
        </w:rPr>
        <w:t>》《</w:t>
      </w:r>
      <w:r>
        <w:rPr>
          <w:rFonts w:hint="eastAsia" w:ascii="仿宋" w:hAnsi="仿宋" w:eastAsia="仿宋" w:cs="仿宋"/>
          <w:color w:val="000000"/>
          <w:sz w:val="24"/>
        </w:rPr>
        <w:t>政府采购质疑和投诉办法</w:t>
      </w:r>
      <w:r>
        <w:rPr>
          <w:rFonts w:hint="eastAsia" w:ascii="仿宋" w:hAnsi="仿宋" w:eastAsia="仿宋" w:cs="仿宋"/>
          <w:color w:val="000000"/>
          <w:sz w:val="24"/>
          <w:lang w:eastAsia="zh-CN"/>
        </w:rPr>
        <w:t>》《</w:t>
      </w:r>
      <w:r>
        <w:rPr>
          <w:rFonts w:hint="eastAsia" w:ascii="仿宋" w:hAnsi="仿宋" w:eastAsia="仿宋" w:cs="仿宋"/>
          <w:color w:val="000000"/>
          <w:sz w:val="24"/>
        </w:rPr>
        <w:t>财政部关于加强政府采购供应商投诉受理审查工作的通知》的规定办理。</w:t>
      </w:r>
    </w:p>
    <w:p w14:paraId="35A25DFB">
      <w:pPr>
        <w:pStyle w:val="51"/>
        <w:pageBreakBefore w:val="0"/>
        <w:widowControl w:val="0"/>
        <w:kinsoku/>
        <w:wordWrap/>
        <w:overflowPunct/>
        <w:topLinePunct w:val="0"/>
        <w:autoSpaceDE/>
        <w:autoSpaceDN/>
        <w:bidi w:val="0"/>
        <w:spacing w:beforeAutospacing="0" w:after="0" w:afterAutospacing="0" w:line="360" w:lineRule="auto"/>
        <w:ind w:left="0" w:leftChars="0" w:firstLine="480" w:firstLineChars="200"/>
        <w:rPr>
          <w:rFonts w:hint="eastAsia" w:ascii="仿宋" w:hAnsi="仿宋" w:eastAsia="仿宋" w:cs="仿宋"/>
          <w:bCs/>
          <w:color w:val="000000"/>
          <w:sz w:val="18"/>
          <w:szCs w:val="18"/>
          <w:shd w:val="clear" w:color="auto" w:fill="FFFFFF"/>
        </w:rPr>
      </w:pPr>
      <w:r>
        <w:rPr>
          <w:rFonts w:hint="eastAsia" w:ascii="仿宋" w:hAnsi="仿宋" w:eastAsia="仿宋" w:cs="仿宋"/>
          <w:bCs/>
          <w:color w:val="000000"/>
          <w:sz w:val="24"/>
        </w:rPr>
        <w:t>3</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rPr>
        <w:t>.1供应商认为采购文件、采购过程和成交、成交结果使自己的权益受到损害的，可以在知道或者应知其权益受到损害之日起七个工作日内，以书面形式向采购人提出质疑。针对同一采购环节的质疑应一次性提出，提出质疑的供应商应当是参与所质疑项目</w:t>
      </w:r>
      <w:r>
        <w:rPr>
          <w:rFonts w:hint="eastAsia" w:ascii="仿宋" w:hAnsi="仿宋" w:eastAsia="仿宋" w:cs="仿宋"/>
          <w:bCs/>
          <w:color w:val="000000"/>
          <w:sz w:val="24"/>
          <w:lang w:eastAsia="zh-CN"/>
        </w:rPr>
        <w:t>采购</w:t>
      </w:r>
      <w:r>
        <w:rPr>
          <w:rFonts w:hint="eastAsia" w:ascii="仿宋" w:hAnsi="仿宋" w:eastAsia="仿宋" w:cs="仿宋"/>
          <w:bCs/>
          <w:color w:val="000000"/>
          <w:sz w:val="24"/>
        </w:rPr>
        <w:t>活动的供应商。</w:t>
      </w:r>
    </w:p>
    <w:p w14:paraId="6B38D4D9">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31.2潜在供应商已依法获取其可质疑的采购文件的，可以对该文件提出质疑。对采购文件提出质疑的，应当在获取采购文件或者采购文件公告期限届满之日起7个工作日内提出。</w:t>
      </w:r>
    </w:p>
    <w:p w14:paraId="61CA54B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20C6DE8">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代理人提出质疑和投诉，应当提交供应商签署的授权委托书。</w:t>
      </w:r>
    </w:p>
    <w:p w14:paraId="7BF2ADE1">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.4供应商提出质疑应当提交质疑函和必要的证明材料。质疑函应当包括下列内容：</w:t>
      </w:r>
    </w:p>
    <w:p w14:paraId="040A826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（一）供应商的姓名或者名称、地址、邮编、联系人及联系电话；</w:t>
      </w:r>
    </w:p>
    <w:p w14:paraId="12B7F022">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（二）质疑项目的名称、编号；</w:t>
      </w:r>
    </w:p>
    <w:p w14:paraId="0652623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（三）具体、明确的质疑事项和与质疑事项相关的请求；</w:t>
      </w:r>
    </w:p>
    <w:p w14:paraId="10B28E65">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（四）事实依据；</w:t>
      </w:r>
    </w:p>
    <w:p w14:paraId="57F500AE">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（五）必要的法律依据；</w:t>
      </w:r>
    </w:p>
    <w:p w14:paraId="36B1EE90">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（六）提出质疑的日期。</w:t>
      </w:r>
    </w:p>
    <w:p w14:paraId="685E5583">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供应商为自然人的，应当由本人签字；供应商为法人或者其他组织的，应当由法定代表人、主要负责人</w:t>
      </w:r>
      <w:r>
        <w:rPr>
          <w:rFonts w:hint="eastAsia" w:ascii="仿宋" w:hAnsi="仿宋" w:eastAsia="仿宋" w:cs="仿宋"/>
          <w:bCs/>
          <w:color w:val="000000"/>
          <w:sz w:val="24"/>
          <w:lang w:eastAsia="zh-CN"/>
        </w:rPr>
        <w:t>或者</w:t>
      </w:r>
      <w:r>
        <w:rPr>
          <w:rFonts w:hint="eastAsia" w:ascii="仿宋" w:hAnsi="仿宋" w:eastAsia="仿宋" w:cs="仿宋"/>
          <w:bCs/>
          <w:color w:val="000000"/>
          <w:sz w:val="24"/>
        </w:rPr>
        <w:t>被授权人签字或盖章，并加盖公章。</w:t>
      </w:r>
    </w:p>
    <w:p w14:paraId="5F5AB15C">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接收质疑函的方式：书面形式</w:t>
      </w:r>
    </w:p>
    <w:p w14:paraId="6076AED0">
      <w:pPr>
        <w:pStyle w:val="12"/>
        <w:spacing w:line="500" w:lineRule="exact"/>
        <w:ind w:firstLine="480"/>
        <w:rPr>
          <w:rFonts w:hint="eastAsia" w:ascii="仿宋" w:hAnsi="仿宋" w:eastAsia="仿宋" w:cs="仿宋"/>
          <w:bCs/>
          <w:color w:val="000000"/>
          <w:sz w:val="24"/>
        </w:rPr>
      </w:pPr>
      <w:r>
        <w:rPr>
          <w:rFonts w:hint="eastAsia" w:ascii="仿宋" w:hAnsi="仿宋" w:eastAsia="仿宋" w:cs="仿宋"/>
          <w:bCs/>
          <w:color w:val="000000"/>
          <w:sz w:val="24"/>
        </w:rPr>
        <w:t>联系部门：新疆凯智工程管理咨询有限责任公司</w:t>
      </w:r>
    </w:p>
    <w:p w14:paraId="5E205D4D">
      <w:pPr>
        <w:pStyle w:val="12"/>
        <w:spacing w:line="500" w:lineRule="exact"/>
        <w:ind w:firstLine="480"/>
        <w:rPr>
          <w:rFonts w:hint="eastAsia" w:ascii="仿宋" w:hAnsi="仿宋" w:eastAsia="仿宋" w:cs="仿宋"/>
          <w:bCs/>
          <w:color w:val="000000"/>
          <w:sz w:val="24"/>
          <w:lang w:eastAsia="zh-CN"/>
        </w:rPr>
      </w:pPr>
      <w:r>
        <w:rPr>
          <w:rFonts w:hint="eastAsia" w:ascii="仿宋" w:hAnsi="仿宋" w:eastAsia="仿宋" w:cs="仿宋"/>
          <w:bCs/>
          <w:color w:val="000000"/>
          <w:sz w:val="24"/>
        </w:rPr>
        <w:t xml:space="preserve">联系人： </w:t>
      </w:r>
      <w:r>
        <w:rPr>
          <w:rFonts w:hint="eastAsia" w:ascii="仿宋" w:hAnsi="仿宋" w:eastAsia="仿宋" w:cs="仿宋"/>
          <w:bCs/>
          <w:color w:val="000000"/>
          <w:sz w:val="24"/>
          <w:lang w:eastAsia="zh-CN"/>
        </w:rPr>
        <w:t>张媛媛</w:t>
      </w:r>
    </w:p>
    <w:p w14:paraId="0A8E024B">
      <w:pPr>
        <w:pStyle w:val="12"/>
        <w:spacing w:line="500" w:lineRule="exact"/>
        <w:ind w:firstLine="480"/>
        <w:rPr>
          <w:rFonts w:hint="eastAsia" w:ascii="仿宋" w:hAnsi="仿宋" w:eastAsia="仿宋" w:cs="仿宋"/>
          <w:bCs/>
          <w:color w:val="000000"/>
          <w:sz w:val="24"/>
          <w:lang w:val="en-US" w:eastAsia="zh-CN"/>
        </w:rPr>
      </w:pPr>
      <w:r>
        <w:rPr>
          <w:rFonts w:hint="eastAsia" w:ascii="仿宋" w:hAnsi="仿宋" w:eastAsia="仿宋" w:cs="仿宋"/>
          <w:bCs/>
          <w:color w:val="000000"/>
          <w:sz w:val="24"/>
        </w:rPr>
        <w:t>联系电话：</w:t>
      </w:r>
      <w:r>
        <w:rPr>
          <w:rFonts w:hint="eastAsia" w:ascii="仿宋" w:hAnsi="仿宋" w:eastAsia="仿宋" w:cs="仿宋"/>
          <w:bCs/>
          <w:color w:val="000000"/>
          <w:sz w:val="24"/>
          <w:lang w:val="en-US" w:eastAsia="zh-CN"/>
        </w:rPr>
        <w:t>15199002822</w:t>
      </w:r>
    </w:p>
    <w:p w14:paraId="22373D67">
      <w:pPr>
        <w:pStyle w:val="12"/>
        <w:spacing w:line="500" w:lineRule="exact"/>
        <w:ind w:firstLine="480"/>
        <w:rPr>
          <w:rFonts w:hint="eastAsia" w:ascii="仿宋" w:hAnsi="仿宋" w:eastAsia="仿宋" w:cs="仿宋"/>
          <w:bCs/>
          <w:color w:val="000000"/>
          <w:sz w:val="24"/>
        </w:rPr>
      </w:pPr>
      <w:r>
        <w:rPr>
          <w:rFonts w:hint="eastAsia" w:ascii="仿宋" w:hAnsi="仿宋" w:eastAsia="仿宋" w:cs="仿宋"/>
          <w:bCs/>
          <w:color w:val="000000"/>
          <w:sz w:val="24"/>
        </w:rPr>
        <w:t>通讯地址：</w:t>
      </w:r>
      <w:r>
        <w:rPr>
          <w:rFonts w:hint="eastAsia" w:ascii="仿宋" w:hAnsi="仿宋" w:eastAsia="仿宋" w:cs="仿宋"/>
          <w:color w:val="000000"/>
          <w:sz w:val="24"/>
          <w:lang w:eastAsia="zh-CN"/>
        </w:rPr>
        <w:t>乌鲁木齐市米东区府前中路159号东凯集团二楼</w:t>
      </w:r>
      <w:r>
        <w:rPr>
          <w:rFonts w:hint="eastAsia" w:ascii="仿宋" w:hAnsi="仿宋" w:eastAsia="仿宋" w:cs="仿宋"/>
          <w:bCs/>
          <w:color w:val="000000"/>
          <w:sz w:val="24"/>
        </w:rPr>
        <w:t xml:space="preserve"> </w:t>
      </w:r>
    </w:p>
    <w:p w14:paraId="4CF1553E">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.5质疑供应商对采购人、采购代理机构的答复不满意，或者采购人、采购代理机构未在规定时间内作出答复的，可以在答复期满后15个工作日内向本办法第六条规定的财政部门提起投诉。</w:t>
      </w:r>
    </w:p>
    <w:p w14:paraId="6CE8E6DA">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.6投诉人投诉时，应当提交投诉书和必要的证明材料，并按照被投诉采购人、采购代理机构（以下简称被投诉人）和与投诉事项有关的供应商数量提供投诉书的副本。投诉书应当包括下列内容：</w:t>
      </w:r>
    </w:p>
    <w:p w14:paraId="38DCC20A">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（一）投诉人和被投诉人的姓名或者名称、通讯地址、邮编、联系人及联系电话；</w:t>
      </w:r>
    </w:p>
    <w:p w14:paraId="4B6FED58">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（二）质疑和质疑答复情况说明及相关证明材料；</w:t>
      </w:r>
    </w:p>
    <w:p w14:paraId="02A1C2F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（三）具体、明确的投诉事项和与投诉事项相关的投诉请求；</w:t>
      </w:r>
    </w:p>
    <w:p w14:paraId="6E8C3A2E">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（四）事实依据；</w:t>
      </w:r>
    </w:p>
    <w:p w14:paraId="10A86636">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（五）法律依据；</w:t>
      </w:r>
    </w:p>
    <w:p w14:paraId="4990E8C7">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（六）提起投诉的日期。</w:t>
      </w:r>
    </w:p>
    <w:p w14:paraId="2C2EA7F0">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投诉人为自然人的，应当由本人签字；投诉人为法人或者其他组织的，应当由法定代表人、主要负责人，或者其授权代表签字或者盖章，并加盖公章。</w:t>
      </w:r>
    </w:p>
    <w:p w14:paraId="3F0781C2">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.7投诉人应当根据《政府采购质疑和投诉办法》第七条第二款规定的信息内容，并按照其规定的方式提起投诉。</w:t>
      </w:r>
    </w:p>
    <w:p w14:paraId="6185AD6E">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投诉人提起投诉应当符合下列条件：</w:t>
      </w:r>
    </w:p>
    <w:p w14:paraId="787C0F0F">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（一）提起投诉前已依法进行质疑；</w:t>
      </w:r>
    </w:p>
    <w:p w14:paraId="7F786765">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（二）投诉书内容符合本办法的规定；</w:t>
      </w:r>
    </w:p>
    <w:p w14:paraId="264BEA4A">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（三）在投诉有效期限内提起投诉；</w:t>
      </w:r>
    </w:p>
    <w:p w14:paraId="4EF1DE18">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（四）同一投诉事项未经财政部门投诉处理；</w:t>
      </w:r>
    </w:p>
    <w:p w14:paraId="5158DBA1">
      <w:pPr>
        <w:pStyle w:val="19"/>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（五）财政部规定的其他条件。</w:t>
      </w:r>
    </w:p>
    <w:p w14:paraId="3682D21E">
      <w:pPr>
        <w:spacing w:line="500" w:lineRule="exact"/>
        <w:jc w:val="center"/>
        <w:rPr>
          <w:rFonts w:hint="eastAsia" w:ascii="仿宋" w:hAnsi="仿宋" w:eastAsia="仿宋" w:cs="仿宋"/>
          <w:bCs/>
          <w:color w:val="000000"/>
          <w:sz w:val="24"/>
        </w:rPr>
      </w:pPr>
      <w:r>
        <w:rPr>
          <w:rFonts w:hint="eastAsia" w:ascii="仿宋" w:hAnsi="仿宋" w:eastAsia="仿宋" w:cs="仿宋"/>
          <w:bCs/>
          <w:color w:val="000000"/>
          <w:sz w:val="24"/>
        </w:rPr>
        <w:t>质疑函范本</w:t>
      </w:r>
    </w:p>
    <w:p w14:paraId="34F46E51">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基本信息</w:t>
      </w:r>
    </w:p>
    <w:p w14:paraId="19E24344">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w:t>
      </w:r>
      <w:r>
        <w:rPr>
          <w:rFonts w:hint="eastAsia" w:ascii="仿宋" w:hAnsi="仿宋" w:eastAsia="仿宋" w:cs="仿宋"/>
          <w:bCs/>
          <w:color w:val="000000"/>
          <w:sz w:val="24"/>
          <w:u w:val="dotted"/>
        </w:rPr>
        <w:t xml:space="preserve">                                        </w:t>
      </w:r>
    </w:p>
    <w:p w14:paraId="442727D9">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地址：</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邮编：</w:t>
      </w:r>
      <w:r>
        <w:rPr>
          <w:rFonts w:hint="eastAsia" w:ascii="仿宋" w:hAnsi="仿宋" w:eastAsia="仿宋" w:cs="仿宋"/>
          <w:bCs/>
          <w:color w:val="000000"/>
          <w:sz w:val="24"/>
          <w:u w:val="dotted"/>
        </w:rPr>
        <w:t xml:space="preserve">                                                   </w:t>
      </w:r>
    </w:p>
    <w:p w14:paraId="4B8E09E1">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联系人：</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联系电话：</w:t>
      </w:r>
      <w:r>
        <w:rPr>
          <w:rFonts w:hint="eastAsia" w:ascii="仿宋" w:hAnsi="仿宋" w:eastAsia="仿宋" w:cs="仿宋"/>
          <w:bCs/>
          <w:color w:val="000000"/>
          <w:sz w:val="24"/>
          <w:u w:val="dotted"/>
        </w:rPr>
        <w:t xml:space="preserve">                              </w:t>
      </w:r>
    </w:p>
    <w:p w14:paraId="3BF06748">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被授权人：</w:t>
      </w:r>
      <w:r>
        <w:rPr>
          <w:rFonts w:hint="eastAsia" w:ascii="仿宋" w:hAnsi="仿宋" w:eastAsia="仿宋" w:cs="仿宋"/>
          <w:bCs/>
          <w:color w:val="000000"/>
          <w:sz w:val="24"/>
          <w:u w:val="dotted"/>
        </w:rPr>
        <w:t xml:space="preserve">                                          </w:t>
      </w:r>
    </w:p>
    <w:p w14:paraId="06CBAEB4">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联系电话：</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 xml:space="preserve"> </w:t>
      </w:r>
    </w:p>
    <w:p w14:paraId="7FCEF4BA">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地址： </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邮编：</w:t>
      </w:r>
      <w:r>
        <w:rPr>
          <w:rFonts w:hint="eastAsia" w:ascii="仿宋" w:hAnsi="仿宋" w:eastAsia="仿宋" w:cs="仿宋"/>
          <w:bCs/>
          <w:color w:val="000000"/>
          <w:sz w:val="24"/>
          <w:u w:val="dotted"/>
        </w:rPr>
        <w:t xml:space="preserve">                                                </w:t>
      </w:r>
    </w:p>
    <w:p w14:paraId="5B2AAE5A">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二、质疑项目基本情况</w:t>
      </w:r>
    </w:p>
    <w:p w14:paraId="5C1D2A87">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质疑项目的名称：</w:t>
      </w:r>
      <w:r>
        <w:rPr>
          <w:rFonts w:hint="eastAsia" w:ascii="仿宋" w:hAnsi="仿宋" w:eastAsia="仿宋" w:cs="仿宋"/>
          <w:bCs/>
          <w:color w:val="000000"/>
          <w:sz w:val="24"/>
          <w:u w:val="dotted"/>
        </w:rPr>
        <w:t xml:space="preserve">                                      </w:t>
      </w:r>
    </w:p>
    <w:p w14:paraId="7FBB61DE">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质疑项目的编号：</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包号：</w:t>
      </w:r>
      <w:r>
        <w:rPr>
          <w:rFonts w:hint="eastAsia" w:ascii="仿宋" w:hAnsi="仿宋" w:eastAsia="仿宋" w:cs="仿宋"/>
          <w:bCs/>
          <w:color w:val="000000"/>
          <w:sz w:val="24"/>
          <w:u w:val="dotted"/>
        </w:rPr>
        <w:t xml:space="preserve">                 </w:t>
      </w:r>
    </w:p>
    <w:p w14:paraId="0122263E">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采购人名称：</w:t>
      </w:r>
      <w:r>
        <w:rPr>
          <w:rFonts w:hint="eastAsia" w:ascii="仿宋" w:hAnsi="仿宋" w:eastAsia="仿宋" w:cs="仿宋"/>
          <w:bCs/>
          <w:color w:val="000000"/>
          <w:sz w:val="24"/>
          <w:u w:val="dotted"/>
        </w:rPr>
        <w:t xml:space="preserve">                                         </w:t>
      </w:r>
    </w:p>
    <w:p w14:paraId="2ADAF179">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采购文件获取日期：</w:t>
      </w:r>
      <w:r>
        <w:rPr>
          <w:rFonts w:hint="eastAsia" w:ascii="仿宋" w:hAnsi="仿宋" w:eastAsia="仿宋" w:cs="仿宋"/>
          <w:bCs/>
          <w:color w:val="000000"/>
          <w:sz w:val="24"/>
          <w:u w:val="dotted"/>
        </w:rPr>
        <w:t xml:space="preserve">                                           </w:t>
      </w:r>
    </w:p>
    <w:p w14:paraId="66AF0288">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三、质疑事项具体内容</w:t>
      </w:r>
    </w:p>
    <w:p w14:paraId="364ECECE">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质疑事项1：</w:t>
      </w:r>
      <w:r>
        <w:rPr>
          <w:rFonts w:hint="eastAsia" w:ascii="仿宋" w:hAnsi="仿宋" w:eastAsia="仿宋" w:cs="仿宋"/>
          <w:bCs/>
          <w:color w:val="000000"/>
          <w:sz w:val="24"/>
          <w:u w:val="dotted"/>
        </w:rPr>
        <w:t xml:space="preserve">                                         </w:t>
      </w:r>
    </w:p>
    <w:p w14:paraId="2189FD01">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事实依据：</w:t>
      </w:r>
      <w:r>
        <w:rPr>
          <w:rFonts w:hint="eastAsia" w:ascii="仿宋" w:hAnsi="仿宋" w:eastAsia="仿宋" w:cs="仿宋"/>
          <w:bCs/>
          <w:color w:val="000000"/>
          <w:sz w:val="24"/>
          <w:u w:val="dotted"/>
        </w:rPr>
        <w:t xml:space="preserve">                                          </w:t>
      </w:r>
    </w:p>
    <w:p w14:paraId="31C0A08F">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u w:val="dotted"/>
        </w:rPr>
        <w:t xml:space="preserve">                                                       </w:t>
      </w:r>
    </w:p>
    <w:p w14:paraId="3FE249B7">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法律依据：</w:t>
      </w:r>
      <w:r>
        <w:rPr>
          <w:rFonts w:hint="eastAsia" w:ascii="仿宋" w:hAnsi="仿宋" w:eastAsia="仿宋" w:cs="仿宋"/>
          <w:bCs/>
          <w:color w:val="000000"/>
          <w:sz w:val="24"/>
          <w:u w:val="dotted"/>
        </w:rPr>
        <w:t xml:space="preserve">                                          </w:t>
      </w:r>
    </w:p>
    <w:p w14:paraId="5DB84F53">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u w:val="dotted"/>
        </w:rPr>
        <w:t xml:space="preserve">                                                     </w:t>
      </w:r>
    </w:p>
    <w:p w14:paraId="56864521">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质疑事项2</w:t>
      </w:r>
    </w:p>
    <w:p w14:paraId="098E9C7B">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w:t>
      </w:r>
    </w:p>
    <w:p w14:paraId="2A4018B0">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四、与质疑事项相关的质疑请求</w:t>
      </w:r>
    </w:p>
    <w:p w14:paraId="30B14550">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请求：</w:t>
      </w:r>
      <w:r>
        <w:rPr>
          <w:rFonts w:hint="eastAsia" w:ascii="仿宋" w:hAnsi="仿宋" w:eastAsia="仿宋" w:cs="仿宋"/>
          <w:bCs/>
          <w:color w:val="000000"/>
          <w:sz w:val="24"/>
          <w:u w:val="dotted"/>
        </w:rPr>
        <w:t xml:space="preserve">                                               </w:t>
      </w:r>
    </w:p>
    <w:p w14:paraId="681D2DB3">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签字(签章)：                   公章：                      </w:t>
      </w:r>
    </w:p>
    <w:p w14:paraId="5D9AF327">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日期：    </w:t>
      </w:r>
    </w:p>
    <w:p w14:paraId="33751C2F">
      <w:pPr>
        <w:adjustRightInd w:val="0"/>
        <w:snapToGrid w:val="0"/>
        <w:spacing w:line="500" w:lineRule="exact"/>
        <w:ind w:firstLine="480" w:firstLineChars="200"/>
        <w:rPr>
          <w:rFonts w:hint="eastAsia" w:ascii="仿宋" w:hAnsi="仿宋" w:eastAsia="仿宋" w:cs="仿宋"/>
          <w:bCs/>
          <w:color w:val="000000"/>
          <w:sz w:val="24"/>
        </w:rPr>
      </w:pPr>
    </w:p>
    <w:p w14:paraId="575A9958">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质疑函制作说明：</w:t>
      </w:r>
    </w:p>
    <w:p w14:paraId="01944E10">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1.</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提出质疑时，应提交质疑函和必要的证明材料。</w:t>
      </w:r>
    </w:p>
    <w:p w14:paraId="007D1DE7">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若委托代理人进行质疑的，质疑函应按要求列明“被授权人”的有关内容，并在附件中提交由质疑</w:t>
      </w:r>
      <w:r>
        <w:rPr>
          <w:rFonts w:hint="eastAsia" w:ascii="仿宋" w:hAnsi="仿宋" w:eastAsia="仿宋" w:cs="仿宋"/>
          <w:bCs/>
          <w:color w:val="000000"/>
          <w:kern w:val="0"/>
          <w:sz w:val="24"/>
        </w:rPr>
        <w:t>供应商签署的授权委托书。授权委托书应载明代理人的姓名或者名称、代理事项、具体权限、期限和相关事项。</w:t>
      </w:r>
    </w:p>
    <w:p w14:paraId="49F0B165">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3.质疑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若对项目的某一分包进行质疑，质疑函中应列明具体分包号。</w:t>
      </w:r>
    </w:p>
    <w:p w14:paraId="0F2096FD">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4.质疑函的质疑事项应具体、明确，并有必要的事实依据和法律依据。</w:t>
      </w:r>
    </w:p>
    <w:p w14:paraId="3F0FE252">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5.质疑函的质疑请求应与质疑事项相关。</w:t>
      </w:r>
    </w:p>
    <w:p w14:paraId="6FACB184">
      <w:pPr>
        <w:pStyle w:val="19"/>
        <w:spacing w:after="0"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bCs/>
          <w:color w:val="000000"/>
          <w:sz w:val="24"/>
        </w:rPr>
        <w:t>6.质疑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为自然人的，质疑函应由本人签字；质疑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为法人或者其他组织的，质疑函应由法定代表人、主要负责人或者其被授权人签字或者盖章，并加盖公章。</w:t>
      </w:r>
    </w:p>
    <w:p w14:paraId="363CF6DA">
      <w:pPr>
        <w:pStyle w:val="51"/>
        <w:pageBreakBefore w:val="0"/>
        <w:widowControl w:val="0"/>
        <w:kinsoku/>
        <w:wordWrap/>
        <w:overflowPunct/>
        <w:topLinePunct w:val="0"/>
        <w:autoSpaceDE/>
        <w:autoSpaceDN/>
        <w:bidi w:val="0"/>
        <w:spacing w:beforeAutospacing="0" w:after="0" w:afterAutospacing="0" w:line="360" w:lineRule="auto"/>
        <w:ind w:left="0" w:leftChars="0" w:firstLine="480" w:firstLineChars="200"/>
        <w:rPr>
          <w:rFonts w:hint="eastAsia" w:ascii="仿宋" w:hAnsi="仿宋" w:eastAsia="仿宋" w:cs="仿宋"/>
          <w:color w:val="000000"/>
          <w:sz w:val="24"/>
          <w:szCs w:val="24"/>
          <w:highlight w:val="none"/>
        </w:rPr>
      </w:pPr>
    </w:p>
    <w:p w14:paraId="0B35B503">
      <w:pPr>
        <w:pStyle w:val="34"/>
        <w:keepNext/>
        <w:keepLines/>
        <w:pageBreakBefore w:val="0"/>
        <w:widowControl w:val="0"/>
        <w:kinsoku/>
        <w:wordWrap/>
        <w:overflowPunct/>
        <w:topLinePunct w:val="0"/>
        <w:autoSpaceDE/>
        <w:autoSpaceDN/>
        <w:bidi w:val="0"/>
        <w:snapToGrid/>
        <w:spacing w:beforeAutospacing="0" w:after="340" w:afterAutospacing="0" w:line="400" w:lineRule="exact"/>
        <w:jc w:val="center"/>
        <w:rPr>
          <w:rFonts w:hint="eastAsia" w:ascii="仿宋" w:hAnsi="仿宋" w:eastAsia="仿宋" w:cs="仿宋"/>
          <w:color w:val="000000"/>
          <w:sz w:val="24"/>
          <w:szCs w:val="24"/>
          <w:highlight w:val="none"/>
        </w:rPr>
      </w:pPr>
      <w:bookmarkStart w:id="172" w:name="_Toc5850_WPSOffice_Level1"/>
      <w:bookmarkEnd w:id="172"/>
      <w:bookmarkStart w:id="173" w:name="_Toc12593"/>
      <w:bookmarkEnd w:id="173"/>
      <w:bookmarkStart w:id="174" w:name="_Toc10244"/>
      <w:bookmarkEnd w:id="174"/>
      <w:r>
        <w:rPr>
          <w:rFonts w:hint="eastAsia" w:ascii="仿宋" w:hAnsi="仿宋" w:eastAsia="仿宋" w:cs="仿宋"/>
          <w:color w:val="000000"/>
          <w:sz w:val="24"/>
          <w:szCs w:val="24"/>
          <w:highlight w:val="none"/>
        </w:rPr>
        <w:br w:type="page"/>
      </w:r>
      <w:bookmarkStart w:id="175" w:name="_Toc3261"/>
      <w:r>
        <w:rPr>
          <w:rFonts w:hint="eastAsia" w:ascii="仿宋" w:hAnsi="仿宋" w:eastAsia="仿宋" w:cs="仿宋"/>
          <w:highlight w:val="none"/>
        </w:rPr>
        <w:t xml:space="preserve">第三章 </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响应文件</w:t>
      </w:r>
      <w:r>
        <w:rPr>
          <w:rFonts w:hint="eastAsia" w:ascii="仿宋" w:hAnsi="仿宋" w:eastAsia="仿宋" w:cs="仿宋"/>
          <w:highlight w:val="none"/>
        </w:rPr>
        <w:t>格式</w:t>
      </w:r>
      <w:bookmarkEnd w:id="175"/>
    </w:p>
    <w:p w14:paraId="03C45D0F">
      <w:pPr>
        <w:pStyle w:val="35"/>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color w:val="000000"/>
          <w:sz w:val="28"/>
          <w:szCs w:val="28"/>
          <w:highlight w:val="none"/>
        </w:rPr>
      </w:pPr>
      <w:bookmarkStart w:id="176" w:name="_Toc217446082"/>
      <w:bookmarkEnd w:id="176"/>
      <w:r>
        <w:rPr>
          <w:rFonts w:hint="eastAsia" w:ascii="仿宋" w:hAnsi="仿宋" w:eastAsia="仿宋" w:cs="仿宋"/>
          <w:color w:val="000000"/>
          <w:sz w:val="28"/>
          <w:szCs w:val="28"/>
          <w:highlight w:val="none"/>
        </w:rPr>
        <w:t>一、投 标 函</w:t>
      </w:r>
    </w:p>
    <w:p w14:paraId="52A04A35">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__________________（采购代理机构名称）：</w:t>
      </w:r>
    </w:p>
    <w:p w14:paraId="73DEC67B">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我方全面研究了 “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项目名称、采购</w:t>
      </w:r>
      <w:r>
        <w:rPr>
          <w:rFonts w:hint="eastAsia" w:ascii="仿宋" w:hAnsi="仿宋" w:eastAsia="仿宋" w:cs="仿宋"/>
          <w:bCs/>
          <w:color w:val="000000"/>
          <w:sz w:val="24"/>
          <w:szCs w:val="24"/>
          <w:highlight w:val="none"/>
        </w:rPr>
        <w:t>编号）”项目</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，决定参加贵单位组织的本项目投标。我方授权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（姓名、职务）代表我方</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（投标单位的名称）全权处理本项目投标的有关事宜。</w:t>
      </w:r>
    </w:p>
    <w:p w14:paraId="2213050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1、我方自愿按照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规定的各项要求向采购人提供所需服务</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投标有效期</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val="en-US" w:eastAsia="zh-CN"/>
        </w:rPr>
        <w:t>日历天</w:t>
      </w:r>
      <w:r>
        <w:rPr>
          <w:rFonts w:hint="eastAsia" w:ascii="仿宋" w:hAnsi="仿宋" w:eastAsia="仿宋" w:cs="仿宋"/>
          <w:bCs/>
          <w:color w:val="000000"/>
          <w:sz w:val="24"/>
          <w:szCs w:val="24"/>
          <w:highlight w:val="none"/>
        </w:rPr>
        <w:t>。</w:t>
      </w:r>
    </w:p>
    <w:p w14:paraId="3CC1E9D3">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2、一旦我方</w:t>
      </w:r>
      <w:r>
        <w:rPr>
          <w:rFonts w:hint="eastAsia" w:ascii="仿宋" w:hAnsi="仿宋" w:eastAsia="仿宋" w:cs="仿宋"/>
          <w:bCs/>
          <w:color w:val="000000"/>
          <w:sz w:val="24"/>
          <w:szCs w:val="24"/>
          <w:highlight w:val="none"/>
          <w:lang w:eastAsia="zh-CN"/>
        </w:rPr>
        <w:t>成交</w:t>
      </w:r>
      <w:r>
        <w:rPr>
          <w:rFonts w:hint="eastAsia" w:ascii="仿宋" w:hAnsi="仿宋" w:eastAsia="仿宋" w:cs="仿宋"/>
          <w:bCs/>
          <w:color w:val="000000"/>
          <w:sz w:val="24"/>
          <w:szCs w:val="24"/>
          <w:highlight w:val="none"/>
        </w:rPr>
        <w:t>，我方将严格履行合同规定的责任和义务，保证于合同签字生效后完成应尽义务，并交付采购人验收、使用。</w:t>
      </w:r>
    </w:p>
    <w:p w14:paraId="6FA1E4E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3、我方同意按照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的要求，向贵单位交纳人民币</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元（大写：</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）的投标保证金。并承诺：下列任何情况发生时，我方将不要求退还投标保证金：</w:t>
      </w:r>
    </w:p>
    <w:p w14:paraId="710C4744">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（1）如果我方在投标有效期内撤回投标；</w:t>
      </w:r>
    </w:p>
    <w:p w14:paraId="7100E9E9">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（2）我方提供了虚假响应</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的</w:t>
      </w:r>
      <w:r>
        <w:rPr>
          <w:rFonts w:hint="eastAsia" w:ascii="仿宋" w:hAnsi="仿宋" w:eastAsia="仿宋" w:cs="仿宋"/>
          <w:bCs/>
          <w:color w:val="000000"/>
          <w:sz w:val="24"/>
          <w:szCs w:val="24"/>
          <w:highlight w:val="none"/>
          <w:lang w:eastAsia="zh-CN"/>
        </w:rPr>
        <w:t>响应文件</w:t>
      </w:r>
      <w:r>
        <w:rPr>
          <w:rFonts w:hint="eastAsia" w:ascii="仿宋" w:hAnsi="仿宋" w:eastAsia="仿宋" w:cs="仿宋"/>
          <w:bCs/>
          <w:color w:val="000000"/>
          <w:sz w:val="24"/>
          <w:szCs w:val="24"/>
          <w:highlight w:val="none"/>
        </w:rPr>
        <w:t>；</w:t>
      </w:r>
    </w:p>
    <w:p w14:paraId="3C73A081">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（3）在投标过程中有违规违纪行为；</w:t>
      </w:r>
    </w:p>
    <w:p w14:paraId="570EC416">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（4）我方在投标有效期内收到</w:t>
      </w:r>
      <w:r>
        <w:rPr>
          <w:rFonts w:hint="eastAsia" w:ascii="仿宋" w:hAnsi="仿宋" w:eastAsia="仿宋" w:cs="仿宋"/>
          <w:bCs/>
          <w:color w:val="000000"/>
          <w:sz w:val="24"/>
          <w:szCs w:val="24"/>
          <w:highlight w:val="none"/>
          <w:lang w:eastAsia="zh-CN"/>
        </w:rPr>
        <w:t>成交</w:t>
      </w:r>
      <w:r>
        <w:rPr>
          <w:rFonts w:hint="eastAsia" w:ascii="仿宋" w:hAnsi="仿宋" w:eastAsia="仿宋" w:cs="仿宋"/>
          <w:bCs/>
          <w:color w:val="000000"/>
          <w:sz w:val="24"/>
          <w:szCs w:val="24"/>
          <w:highlight w:val="none"/>
        </w:rPr>
        <w:t>通知书后，由于我方原因未能按照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要求提交履约保证金或与采购人签订并履行合同。</w:t>
      </w:r>
    </w:p>
    <w:p w14:paraId="670B559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4、我方为本项目提交的</w:t>
      </w:r>
      <w:r>
        <w:rPr>
          <w:rFonts w:hint="eastAsia" w:ascii="仿宋" w:hAnsi="仿宋" w:eastAsia="仿宋" w:cs="仿宋"/>
          <w:bCs/>
          <w:color w:val="000000"/>
          <w:sz w:val="24"/>
          <w:szCs w:val="24"/>
          <w:highlight w:val="none"/>
          <w:lang w:eastAsia="zh-CN"/>
        </w:rPr>
        <w:t>响应文件</w:t>
      </w:r>
      <w:r>
        <w:rPr>
          <w:rFonts w:hint="eastAsia" w:ascii="仿宋" w:hAnsi="仿宋" w:eastAsia="仿宋" w:cs="仿宋"/>
          <w:bCs/>
          <w:color w:val="000000"/>
          <w:sz w:val="24"/>
          <w:szCs w:val="24"/>
          <w:highlight w:val="none"/>
          <w:lang w:val="en-US" w:eastAsia="zh-CN"/>
        </w:rPr>
        <w:t>满足磋商文件供应商须知前附表要求</w:t>
      </w:r>
      <w:r>
        <w:rPr>
          <w:rFonts w:hint="eastAsia" w:ascii="仿宋" w:hAnsi="仿宋" w:eastAsia="仿宋" w:cs="仿宋"/>
          <w:bCs/>
          <w:color w:val="000000"/>
          <w:sz w:val="24"/>
          <w:szCs w:val="24"/>
          <w:highlight w:val="none"/>
        </w:rPr>
        <w:t>。</w:t>
      </w:r>
    </w:p>
    <w:p w14:paraId="787D1E07">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5、我方愿意提供</w:t>
      </w:r>
      <w:r>
        <w:rPr>
          <w:rFonts w:hint="eastAsia" w:ascii="仿宋" w:hAnsi="仿宋" w:eastAsia="仿宋" w:cs="仿宋"/>
          <w:bCs/>
          <w:color w:val="000000"/>
          <w:sz w:val="24"/>
          <w:szCs w:val="24"/>
          <w:highlight w:val="none"/>
          <w:lang w:val="en-US" w:eastAsia="zh-CN"/>
        </w:rPr>
        <w:t>采购人</w:t>
      </w:r>
      <w:r>
        <w:rPr>
          <w:rFonts w:hint="eastAsia" w:ascii="仿宋" w:hAnsi="仿宋" w:eastAsia="仿宋" w:cs="仿宋"/>
          <w:bCs/>
          <w:color w:val="000000"/>
          <w:sz w:val="24"/>
          <w:szCs w:val="24"/>
          <w:highlight w:val="none"/>
        </w:rPr>
        <w:t>可能另外要求的，与投标有关的文件资料，并保证我方已提供和将要提供的文件资料是真实、准确的。</w:t>
      </w:r>
    </w:p>
    <w:p w14:paraId="1366823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6、我方完全理解采购人不一定将合同授予最低报价的</w:t>
      </w: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的行为。</w:t>
      </w:r>
    </w:p>
    <w:p w14:paraId="446C2BEC">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（盖章）</w:t>
      </w:r>
    </w:p>
    <w:p w14:paraId="1222682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法定代表人或授权代表（签字或盖章）：</w:t>
      </w:r>
    </w:p>
    <w:p w14:paraId="2AB4A714">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通讯地址：</w:t>
      </w:r>
    </w:p>
    <w:p w14:paraId="1390BE7D">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14:paraId="3B15359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    期：</w:t>
      </w:r>
      <w:r>
        <w:rPr>
          <w:rFonts w:hint="eastAsia" w:ascii="仿宋" w:hAnsi="仿宋" w:eastAsia="仿宋" w:cs="仿宋"/>
          <w:color w:val="000000"/>
          <w:sz w:val="24"/>
          <w:szCs w:val="24"/>
          <w:highlight w:val="none"/>
        </w:rPr>
        <w:t xml:space="preserve">     年     月    日</w:t>
      </w:r>
    </w:p>
    <w:p w14:paraId="3E5DAC07">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p>
    <w:p w14:paraId="7DD0947D">
      <w:pPr>
        <w:pStyle w:val="51"/>
        <w:spacing w:beforeAutospacing="0" w:afterAutospacing="0" w:line="240" w:lineRule="auto"/>
        <w:ind w:firstLine="480" w:firstLineChars="200"/>
        <w:rPr>
          <w:rFonts w:hint="eastAsia" w:ascii="仿宋" w:hAnsi="仿宋" w:eastAsia="仿宋" w:cs="仿宋"/>
          <w:bCs/>
          <w:color w:val="000000"/>
          <w:sz w:val="24"/>
          <w:szCs w:val="24"/>
          <w:highlight w:val="none"/>
        </w:rPr>
      </w:pPr>
    </w:p>
    <w:p w14:paraId="71F9143E">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color w:val="000000"/>
          <w:sz w:val="24"/>
          <w:szCs w:val="24"/>
          <w:highlight w:val="none"/>
        </w:rPr>
      </w:pPr>
      <w:bookmarkStart w:id="177" w:name="_Toc217446083"/>
      <w:r>
        <w:rPr>
          <w:rFonts w:hint="eastAsia" w:ascii="仿宋" w:hAnsi="仿宋" w:eastAsia="仿宋" w:cs="仿宋"/>
          <w:color w:val="000000"/>
          <w:sz w:val="28"/>
          <w:szCs w:val="28"/>
          <w:highlight w:val="none"/>
          <w:lang w:val="en-US" w:eastAsia="zh-CN"/>
        </w:rPr>
        <w:t>二、身份证明书及</w:t>
      </w:r>
      <w:r>
        <w:rPr>
          <w:rFonts w:hint="eastAsia" w:ascii="仿宋" w:hAnsi="仿宋" w:eastAsia="仿宋" w:cs="仿宋"/>
          <w:color w:val="000000"/>
          <w:sz w:val="28"/>
          <w:szCs w:val="28"/>
          <w:highlight w:val="none"/>
        </w:rPr>
        <w:t>授权书</w:t>
      </w:r>
    </w:p>
    <w:p w14:paraId="13FD39D7">
      <w:pPr>
        <w:numPr>
          <w:ilvl w:val="0"/>
          <w:numId w:val="0"/>
        </w:numPr>
        <w:jc w:val="center"/>
        <w:rPr>
          <w:rFonts w:hint="eastAsia" w:ascii="仿宋" w:hAnsi="仿宋" w:eastAsia="仿宋" w:cs="仿宋"/>
          <w:b/>
          <w:bCs/>
          <w:color w:val="000000"/>
          <w:sz w:val="24"/>
          <w:szCs w:val="24"/>
          <w:highlight w:val="none"/>
        </w:rPr>
      </w:pPr>
    </w:p>
    <w:bookmarkEnd w:id="177"/>
    <w:p w14:paraId="4B452F16">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法定代表人身份证明书</w:t>
      </w:r>
    </w:p>
    <w:p w14:paraId="00C56AA0">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p>
    <w:p w14:paraId="01E1617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4A108D1F">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姓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14:paraId="0C98120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14:paraId="177556C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的法定代表人。为服务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（采购项目名称），签署上述响应文件、进行合同谈判、签署合同和处理与之有关的一切事务。</w:t>
      </w:r>
    </w:p>
    <w:p w14:paraId="5FC19E2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特此证明。</w:t>
      </w:r>
    </w:p>
    <w:p w14:paraId="03196278">
      <w:pPr>
        <w:spacing w:line="360" w:lineRule="auto"/>
        <w:ind w:firstLine="3120" w:firstLineChars="1300"/>
        <w:rPr>
          <w:rFonts w:hint="eastAsia" w:ascii="仿宋" w:hAnsi="仿宋" w:eastAsia="仿宋" w:cs="仿宋"/>
          <w:color w:val="000000"/>
          <w:sz w:val="24"/>
        </w:rPr>
      </w:pPr>
      <w:r>
        <w:rPr>
          <w:rFonts w:hint="eastAsia" w:ascii="仿宋" w:hAnsi="仿宋" w:eastAsia="仿宋" w:cs="仿宋"/>
          <w:bCs/>
          <w:color w:val="000000"/>
          <w:sz w:val="24"/>
        </w:rPr>
        <w:t>供应商名称</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（公章） </w:t>
      </w:r>
    </w:p>
    <w:p w14:paraId="4E8C6E96">
      <w:pPr>
        <w:spacing w:line="360" w:lineRule="auto"/>
        <w:ind w:firstLine="3240" w:firstLineChars="1350"/>
        <w:rPr>
          <w:rFonts w:hint="eastAsia"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5AEEB117">
      <w:pPr>
        <w:spacing w:line="50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sz w:val="24"/>
        </w:rPr>
        <w:t>附</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法人身份证扫描件</w:t>
      </w:r>
    </w:p>
    <w:p w14:paraId="63CE9DBC">
      <w:pPr>
        <w:tabs>
          <w:tab w:val="left" w:pos="5580"/>
        </w:tabs>
        <w:autoSpaceDE w:val="0"/>
        <w:autoSpaceDN w:val="0"/>
        <w:spacing w:line="440" w:lineRule="exact"/>
        <w:ind w:firstLine="8840" w:firstLineChars="2600"/>
        <w:rPr>
          <w:rFonts w:hint="eastAsia" w:ascii="仿宋" w:hAnsi="仿宋" w:eastAsia="仿宋" w:cs="仿宋"/>
          <w:bCs/>
          <w:color w:val="000000"/>
          <w:szCs w:val="21"/>
        </w:rPr>
      </w:pPr>
      <w:r>
        <w:rPr>
          <w:rFonts w:hint="eastAsia" w:ascii="仿宋" w:hAnsi="仿宋" w:eastAsia="仿宋" w:cs="仿宋"/>
          <w:bCs/>
          <w:color w:val="000000"/>
          <w:szCs w:val="21"/>
        </w:rPr>
        <mc:AlternateContent>
          <mc:Choice Requires="wps">
            <w:drawing>
              <wp:anchor distT="0" distB="0" distL="114300" distR="114300" simplePos="0" relativeHeight="251660288" behindDoc="0" locked="0" layoutInCell="1" allowOverlap="1">
                <wp:simplePos x="0" y="0"/>
                <wp:positionH relativeFrom="column">
                  <wp:posOffset>2864485</wp:posOffset>
                </wp:positionH>
                <wp:positionV relativeFrom="paragraph">
                  <wp:posOffset>234315</wp:posOffset>
                </wp:positionV>
                <wp:extent cx="2572385" cy="1648460"/>
                <wp:effectExtent l="4445" t="4445" r="13970"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3DB415B3">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113644A">
                            <w:pPr>
                              <w:rPr>
                                <w:rFonts w:hint="eastAsia" w:ascii="仿宋" w:hAnsi="仿宋" w:eastAsia="仿宋" w:cs="仿宋"/>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55pt;margin-top:18.45pt;height:129.8pt;width:202.55pt;z-index:251660288;mso-width-relative:page;mso-height-relative:page;" fillcolor="#FFFFFF" filled="t" stroked="t" coordsize="21600,21600" o:gfxdata="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IJ2v2QAAAAoBAAAPAAAAAAAAAAEAIAAAACIAAABkcnMvZG93&#10;bnJldi54bWxQSwECFAAUAAAACACHTuJAf2AJFTgCAACJBAAADgAAAAAAAAABACAAAAAoAQAAZHJz&#10;L2Uyb0RvYy54bWxQSwUGAAAAAAYABgBZAQAA0gUAAAAA&#10;">
                <v:fill on="t" focussize="0,0"/>
                <v:stroke color="#000000" miterlimit="8" joinstyle="miter"/>
                <v:imagedata o:title=""/>
                <o:lock v:ext="edit" aspectratio="f"/>
                <v:textbox>
                  <w:txbxContent>
                    <w:p w14:paraId="3DB415B3">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113644A">
                      <w:pPr>
                        <w:rPr>
                          <w:rFonts w:hint="eastAsia" w:ascii="仿宋" w:hAnsi="仿宋" w:eastAsia="仿宋" w:cs="仿宋"/>
                        </w:rPr>
                      </w:pPr>
                    </w:p>
                  </w:txbxContent>
                </v:textbox>
              </v:rect>
            </w:pict>
          </mc:Fallback>
        </mc:AlternateContent>
      </w:r>
      <w:r>
        <w:rPr>
          <w:rFonts w:hint="eastAsia" w:ascii="仿宋" w:hAnsi="仿宋" w:eastAsia="仿宋" w:cs="仿宋"/>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234315</wp:posOffset>
                </wp:positionV>
                <wp:extent cx="2626995" cy="1664970"/>
                <wp:effectExtent l="4445" t="4445" r="16510" b="698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5FBDF44E">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5pt;margin-top:18.45pt;height:131.1pt;width:206.85pt;z-index:251659264;mso-width-relative:page;mso-height-relative:page;" fillcolor="#FFFFFF" filled="t" stroked="t" coordsize="21600,21600" o:gfxdata="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VMKl1wAAAAkBAAAPAAAAAAAAAAEAIAAAACIAAABkcnMvZG93&#10;bnJldi54bWxQSwECFAAUAAAACACHTuJAMtEJ9zoCAACJBAAADgAAAAAAAAABACAAAAAmAQAAZHJz&#10;L2Uyb0RvYy54bWxQSwUGAAAAAAYABgBZAQAA0gUAAAAA&#10;">
                <v:fill on="t" focussize="0,0"/>
                <v:stroke color="#000000" miterlimit="8" joinstyle="miter"/>
                <v:imagedata o:title=""/>
                <o:lock v:ext="edit" aspectratio="f"/>
                <v:textbox>
                  <w:txbxContent>
                    <w:p w14:paraId="5FBDF44E">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v:textbox>
              </v:rect>
            </w:pict>
          </mc:Fallback>
        </mc:AlternateContent>
      </w:r>
    </w:p>
    <w:p w14:paraId="2EE8C8DA">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43022CD0">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8EBA81B">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2E42D0B">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6CC0D8D">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E037124">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14334B57">
      <w:pPr>
        <w:pStyle w:val="24"/>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r>
      <w:r>
        <w:rPr>
          <w:rFonts w:hint="eastAsia" w:ascii="仿宋" w:hAnsi="仿宋" w:eastAsia="仿宋" w:cs="仿宋"/>
          <w:b/>
          <w:bCs/>
          <w:color w:val="000000"/>
          <w:sz w:val="28"/>
          <w:szCs w:val="28"/>
        </w:rPr>
        <w:t>法定代表人授权书</w:t>
      </w:r>
    </w:p>
    <w:p w14:paraId="1D68C0C3">
      <w:pPr>
        <w:pStyle w:val="2"/>
        <w:rPr>
          <w:rFonts w:hint="eastAsia" w:ascii="仿宋" w:hAnsi="仿宋" w:eastAsia="仿宋" w:cs="仿宋"/>
          <w:color w:val="000000"/>
        </w:rPr>
      </w:pPr>
    </w:p>
    <w:p w14:paraId="0769558B">
      <w:pPr>
        <w:spacing w:line="360" w:lineRule="auto"/>
        <w:rPr>
          <w:rFonts w:hint="eastAsia" w:ascii="仿宋" w:hAnsi="仿宋" w:eastAsia="仿宋" w:cs="仿宋"/>
          <w:color w:val="000000"/>
          <w:sz w:val="24"/>
        </w:rPr>
      </w:pPr>
      <w:r>
        <w:rPr>
          <w:rFonts w:hint="eastAsia" w:ascii="仿宋" w:hAnsi="仿宋" w:eastAsia="仿宋" w:cs="仿宋"/>
          <w:color w:val="000000"/>
          <w:sz w:val="24"/>
        </w:rPr>
        <w:t>（采购代理机构名称）</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w:t>
      </w:r>
    </w:p>
    <w:p w14:paraId="19DD67E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本授权声明：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（法定代表人姓名、职务）授权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（被授权人姓名、职务）为我方“ </w:t>
      </w:r>
      <w:r>
        <w:rPr>
          <w:rFonts w:hint="eastAsia" w:ascii="仿宋" w:hAnsi="仿宋" w:eastAsia="仿宋" w:cs="仿宋"/>
          <w:color w:val="000000"/>
          <w:sz w:val="24"/>
          <w:u w:val="single"/>
        </w:rPr>
        <w:t xml:space="preserve">             </w:t>
      </w:r>
      <w:r>
        <w:rPr>
          <w:rFonts w:hint="eastAsia" w:ascii="仿宋" w:hAnsi="仿宋" w:eastAsia="仿宋" w:cs="仿宋"/>
          <w:bCs/>
          <w:color w:val="000000"/>
          <w:sz w:val="24"/>
        </w:rPr>
        <w:t>（项目名称、采购编号）</w:t>
      </w:r>
      <w:r>
        <w:rPr>
          <w:rFonts w:hint="eastAsia" w:ascii="仿宋" w:hAnsi="仿宋" w:eastAsia="仿宋" w:cs="仿宋"/>
          <w:color w:val="000000"/>
          <w:sz w:val="24"/>
        </w:rPr>
        <w:t>”项目投标活动的合法代表，以我方名义全权处理该项目有关投标、签订合同以及执行合同等一切事宜。</w:t>
      </w:r>
    </w:p>
    <w:p w14:paraId="79CFB16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特此声明。</w:t>
      </w:r>
    </w:p>
    <w:p w14:paraId="3AB2EB2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附：法人及被授权人身份证正反面</w:t>
      </w:r>
    </w:p>
    <w:p w14:paraId="573215E9">
      <w:pPr>
        <w:spacing w:line="460" w:lineRule="exact"/>
        <w:rPr>
          <w:rFonts w:hint="eastAsia" w:ascii="仿宋" w:hAnsi="仿宋" w:eastAsia="仿宋" w:cs="仿宋"/>
          <w:color w:val="000000"/>
          <w:szCs w:val="21"/>
        </w:rPr>
      </w:pPr>
      <w:r>
        <w:rPr>
          <w:rFonts w:hint="eastAsia" w:ascii="仿宋" w:hAnsi="仿宋" w:eastAsia="仿宋" w:cs="仿宋"/>
          <w:bCs/>
          <w:color w:val="000000"/>
          <w:szCs w:val="21"/>
        </w:rPr>
        <mc:AlternateContent>
          <mc:Choice Requires="wps">
            <w:drawing>
              <wp:anchor distT="0" distB="0" distL="114300" distR="114300" simplePos="0" relativeHeight="251664384" behindDoc="0" locked="0" layoutInCell="1" allowOverlap="1">
                <wp:simplePos x="0" y="0"/>
                <wp:positionH relativeFrom="column">
                  <wp:posOffset>2917825</wp:posOffset>
                </wp:positionH>
                <wp:positionV relativeFrom="paragraph">
                  <wp:posOffset>214630</wp:posOffset>
                </wp:positionV>
                <wp:extent cx="2626995" cy="1730375"/>
                <wp:effectExtent l="4445" t="4445" r="16510" b="1778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08573D49">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975223D">
                            <w:pPr>
                              <w:rPr>
                                <w:rFonts w:hint="eastAsia" w:ascii="仿宋" w:hAnsi="仿宋" w:eastAsia="仿宋" w:cs="仿宋"/>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75pt;margin-top:16.9pt;height:136.25pt;width:206.85pt;z-index:251664384;mso-width-relative:page;mso-height-relative:page;" fillcolor="#FFFFFF" filled="t" stroked="t" coordsize="21600,21600" o:gfxdata="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dRELtgAAAAKAQAADwAAAAAAAAABACAAAAAiAAAAZHJzL2Rv&#10;d25yZXYueG1sUEsBAhQAFAAAAAgAh07iQO3lk4w6AgAAiwQAAA4AAAAAAAAAAQAgAAAAJwEAAGRy&#10;cy9lMm9Eb2MueG1sUEsFBgAAAAAGAAYAWQEAANMFAAAAAA==&#10;">
                <v:fill on="t" focussize="0,0"/>
                <v:stroke color="#000000" miterlimit="8" joinstyle="miter"/>
                <v:imagedata o:title=""/>
                <o:lock v:ext="edit" aspectratio="f"/>
                <v:textbox>
                  <w:txbxContent>
                    <w:p w14:paraId="08573D49">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975223D">
                      <w:pPr>
                        <w:rPr>
                          <w:rFonts w:hint="eastAsia" w:ascii="仿宋" w:hAnsi="仿宋" w:eastAsia="仿宋" w:cs="仿宋"/>
                        </w:rPr>
                      </w:pPr>
                    </w:p>
                  </w:txbxContent>
                </v:textbox>
              </v:rect>
            </w:pict>
          </mc:Fallback>
        </mc:AlternateContent>
      </w:r>
      <w:r>
        <w:rPr>
          <w:rFonts w:hint="eastAsia" w:ascii="仿宋" w:hAnsi="仿宋" w:eastAsia="仿宋" w:cs="仿宋"/>
          <w:bCs/>
          <w:color w:val="000000"/>
          <w:szCs w:val="21"/>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214630</wp:posOffset>
                </wp:positionV>
                <wp:extent cx="2707640" cy="1718310"/>
                <wp:effectExtent l="5080" t="4445" r="11430" b="1079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66F0694">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5pt;margin-top:16.9pt;height:135.3pt;width:213.2pt;z-index:251663360;mso-width-relative:page;mso-height-relative:page;" fillcolor="#FFFFFF" filled="t" stroked="t" coordsize="21600,21600" o:gfxdata="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tl/1wAAAAkBAAAPAAAAAAAAAAEAIAAAACIAAABkcnMvZG93&#10;bnJldi54bWxQSwECFAAUAAAACACHTuJAUjiJIToCAACJBAAADgAAAAAAAAABACAAAAAmAQAAZHJz&#10;L2Uyb0RvYy54bWxQSwUGAAAAAAYABgBZAQAA0gUAAAAA&#10;">
                <v:fill on="t" focussize="0,0"/>
                <v:stroke color="#000000" miterlimit="8" joinstyle="miter"/>
                <v:imagedata o:title=""/>
                <o:lock v:ext="edit" aspectratio="f"/>
                <v:textbox>
                  <w:txbxContent>
                    <w:p w14:paraId="266F0694">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v:textbox>
              </v:rect>
            </w:pict>
          </mc:Fallback>
        </mc:AlternateContent>
      </w:r>
    </w:p>
    <w:p w14:paraId="34C576DB">
      <w:pPr>
        <w:spacing w:line="460" w:lineRule="exact"/>
        <w:rPr>
          <w:rFonts w:hint="eastAsia" w:ascii="仿宋" w:hAnsi="仿宋" w:eastAsia="仿宋" w:cs="仿宋"/>
          <w:color w:val="000000"/>
          <w:szCs w:val="21"/>
        </w:rPr>
      </w:pPr>
    </w:p>
    <w:p w14:paraId="5E59F662">
      <w:pPr>
        <w:spacing w:line="460" w:lineRule="exact"/>
        <w:rPr>
          <w:rFonts w:hint="eastAsia" w:ascii="仿宋" w:hAnsi="仿宋" w:eastAsia="仿宋" w:cs="仿宋"/>
          <w:color w:val="000000"/>
          <w:szCs w:val="21"/>
        </w:rPr>
      </w:pPr>
    </w:p>
    <w:p w14:paraId="43FC734B">
      <w:pPr>
        <w:spacing w:line="460" w:lineRule="exact"/>
        <w:rPr>
          <w:rFonts w:hint="eastAsia" w:ascii="仿宋" w:hAnsi="仿宋" w:eastAsia="仿宋" w:cs="仿宋"/>
          <w:color w:val="000000"/>
          <w:szCs w:val="21"/>
        </w:rPr>
      </w:pPr>
    </w:p>
    <w:p w14:paraId="65ACDEF5">
      <w:pPr>
        <w:spacing w:line="460" w:lineRule="exact"/>
        <w:rPr>
          <w:rFonts w:hint="eastAsia" w:ascii="仿宋" w:hAnsi="仿宋" w:eastAsia="仿宋" w:cs="仿宋"/>
          <w:color w:val="000000"/>
          <w:szCs w:val="21"/>
        </w:rPr>
      </w:pPr>
    </w:p>
    <w:p w14:paraId="621FD9EE">
      <w:pPr>
        <w:spacing w:line="460" w:lineRule="exact"/>
        <w:rPr>
          <w:rFonts w:hint="eastAsia" w:ascii="仿宋" w:hAnsi="仿宋" w:eastAsia="仿宋" w:cs="仿宋"/>
          <w:color w:val="000000"/>
          <w:szCs w:val="21"/>
        </w:rPr>
      </w:pPr>
    </w:p>
    <w:p w14:paraId="2462DFE9">
      <w:pPr>
        <w:spacing w:line="460" w:lineRule="exact"/>
        <w:rPr>
          <w:rFonts w:hint="eastAsia" w:ascii="仿宋" w:hAnsi="仿宋" w:eastAsia="仿宋" w:cs="仿宋"/>
          <w:color w:val="000000"/>
          <w:szCs w:val="21"/>
        </w:rPr>
      </w:pPr>
    </w:p>
    <w:p w14:paraId="2519A794">
      <w:pPr>
        <w:rPr>
          <w:rFonts w:hint="eastAsia" w:ascii="仿宋" w:hAnsi="仿宋" w:eastAsia="仿宋" w:cs="仿宋"/>
          <w:color w:val="000000"/>
        </w:rPr>
      </w:pPr>
      <w:r>
        <w:rPr>
          <w:rFonts w:hint="eastAsia" w:ascii="仿宋" w:hAnsi="仿宋" w:eastAsia="仿宋" w:cs="仿宋"/>
          <w:color w:val="000000"/>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49530</wp:posOffset>
                </wp:positionV>
                <wp:extent cx="2705100" cy="1753235"/>
                <wp:effectExtent l="5080" t="4445" r="13970"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7AAFA660">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9pt;margin-top:3.9pt;height:138.05pt;width:213pt;z-index:251661312;mso-width-relative:page;mso-height-relative:page;" fillcolor="#FFFFFF" filled="t" stroked="t" coordsize="21600,21600" o:gfxdata="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Q/G/1gAAAAgBAAAPAAAAAAAAAAEAIAAAACIAAABkcnMvZG93&#10;bnJldi54bWxQSwECFAAUAAAACACHTuJA9lHLgzsCAACJBAAADgAAAAAAAAABACAAAAAlAQAAZHJz&#10;L2Uyb0RvYy54bWxQSwUGAAAAAAYABgBZAQAA0gUAAAAA&#10;">
                <v:fill on="t" focussize="0,0"/>
                <v:stroke color="#000000" miterlimit="8" joinstyle="miter"/>
                <v:imagedata o:title=""/>
                <o:lock v:ext="edit" aspectratio="f"/>
                <v:textbox>
                  <w:txbxContent>
                    <w:p w14:paraId="7AAFA660">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被授权人身份证复印件正面</w:t>
                      </w:r>
                    </w:p>
                  </w:txbxContent>
                </v:textbox>
              </v: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50165</wp:posOffset>
                </wp:positionV>
                <wp:extent cx="2615565" cy="1737995"/>
                <wp:effectExtent l="4445" t="5080" r="8890" b="952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09EC332A">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15pt;margin-top:3.95pt;height:136.85pt;width:205.95pt;z-index:251662336;mso-width-relative:page;mso-height-relative:page;" fillcolor="#FFFFFF" filled="t" stroked="t" coordsize="21600,21600" o:gfxdata="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syEMrYAAAACQEAAA8AAAAAAAAAAQAgAAAAIgAAAGRycy9k&#10;b3ducmV2LnhtbFBLAQIUABQAAAAIAIdO4kAF6P9BOwIAAIsEAAAOAAAAAAAAAAEAIAAAACcBAABk&#10;cnMvZTJvRG9jLnhtbFBLBQYAAAAABgAGAFkBAADUBQAAAAA=&#10;">
                <v:fill on="t" focussize="0,0"/>
                <v:stroke color="#000000" miterlimit="8" joinstyle="miter"/>
                <v:imagedata o:title=""/>
                <o:lock v:ext="edit" aspectratio="f"/>
                <v:textbox>
                  <w:txbxContent>
                    <w:p w14:paraId="09EC332A">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被授权人身份证复印件背面</w:t>
                      </w:r>
                    </w:p>
                  </w:txbxContent>
                </v:textbox>
              </v:rect>
            </w:pict>
          </mc:Fallback>
        </mc:AlternateContent>
      </w:r>
    </w:p>
    <w:p w14:paraId="75429DD5">
      <w:pPr>
        <w:spacing w:line="460" w:lineRule="exact"/>
        <w:rPr>
          <w:rFonts w:hint="eastAsia" w:ascii="仿宋" w:hAnsi="仿宋" w:eastAsia="仿宋" w:cs="仿宋"/>
          <w:b/>
          <w:color w:val="000000"/>
          <w:szCs w:val="21"/>
        </w:rPr>
      </w:pPr>
    </w:p>
    <w:p w14:paraId="49E64FCB">
      <w:pPr>
        <w:spacing w:line="460" w:lineRule="exact"/>
        <w:rPr>
          <w:rFonts w:hint="eastAsia" w:ascii="仿宋" w:hAnsi="仿宋" w:eastAsia="仿宋" w:cs="仿宋"/>
          <w:b/>
          <w:color w:val="000000"/>
          <w:szCs w:val="21"/>
        </w:rPr>
      </w:pPr>
    </w:p>
    <w:p w14:paraId="0F8AEE45">
      <w:pPr>
        <w:spacing w:line="460" w:lineRule="exact"/>
        <w:rPr>
          <w:rFonts w:hint="eastAsia" w:ascii="仿宋" w:hAnsi="仿宋" w:eastAsia="仿宋" w:cs="仿宋"/>
          <w:b/>
          <w:color w:val="000000"/>
          <w:szCs w:val="21"/>
        </w:rPr>
      </w:pPr>
    </w:p>
    <w:p w14:paraId="167B9BC2">
      <w:pPr>
        <w:pStyle w:val="12"/>
        <w:rPr>
          <w:rFonts w:hint="eastAsia" w:ascii="仿宋" w:hAnsi="仿宋" w:eastAsia="仿宋" w:cs="仿宋"/>
          <w:color w:val="000000"/>
        </w:rPr>
      </w:pPr>
    </w:p>
    <w:p w14:paraId="192F3C2E">
      <w:pPr>
        <w:pStyle w:val="12"/>
        <w:rPr>
          <w:rFonts w:hint="eastAsia" w:ascii="仿宋" w:hAnsi="仿宋" w:eastAsia="仿宋" w:cs="仿宋"/>
          <w:color w:val="000000"/>
        </w:rPr>
      </w:pPr>
    </w:p>
    <w:p w14:paraId="04392960">
      <w:pPr>
        <w:pStyle w:val="12"/>
        <w:ind w:firstLine="422"/>
        <w:rPr>
          <w:rFonts w:hint="eastAsia" w:ascii="仿宋" w:hAnsi="仿宋" w:eastAsia="仿宋" w:cs="仿宋"/>
          <w:b/>
          <w:color w:val="000000"/>
          <w:szCs w:val="21"/>
        </w:rPr>
      </w:pPr>
    </w:p>
    <w:p w14:paraId="52D980E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（签字或盖章）</w:t>
      </w:r>
      <w:r>
        <w:rPr>
          <w:rFonts w:hint="eastAsia" w:ascii="仿宋" w:hAnsi="仿宋" w:eastAsia="仿宋" w:cs="仿宋"/>
          <w:color w:val="000000"/>
          <w:sz w:val="24"/>
        </w:rPr>
        <w:t>：</w:t>
      </w:r>
    </w:p>
    <w:p w14:paraId="34B2202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供应商名称：         （盖章）</w:t>
      </w:r>
    </w:p>
    <w:p w14:paraId="273904A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BAFBB30">
      <w:pPr>
        <w:spacing w:beforeAutospacing="0" w:afterAutospacing="0" w:line="360" w:lineRule="auto"/>
        <w:ind w:firstLine="480" w:firstLineChars="200"/>
        <w:rPr>
          <w:rFonts w:hint="eastAsia" w:ascii="仿宋" w:hAnsi="仿宋" w:eastAsia="仿宋" w:cs="仿宋"/>
          <w:color w:val="000000"/>
          <w:sz w:val="24"/>
          <w:szCs w:val="24"/>
          <w:highlight w:val="none"/>
        </w:rPr>
      </w:pPr>
    </w:p>
    <w:p w14:paraId="50ACEDA4">
      <w:pPr>
        <w:spacing w:beforeAutospacing="0" w:afterAutospacing="0" w:line="360" w:lineRule="auto"/>
        <w:ind w:firstLine="480" w:firstLineChars="200"/>
        <w:rPr>
          <w:rFonts w:hint="eastAsia" w:ascii="仿宋" w:hAnsi="仿宋" w:eastAsia="仿宋" w:cs="仿宋"/>
          <w:color w:val="000000"/>
          <w:sz w:val="24"/>
          <w:szCs w:val="24"/>
          <w:highlight w:val="none"/>
        </w:rPr>
      </w:pPr>
      <w:bookmarkStart w:id="178" w:name="_Toc256175382"/>
      <w:bookmarkStart w:id="179" w:name="_Toc263768864"/>
      <w:bookmarkStart w:id="180" w:name="_Toc237145385"/>
      <w:bookmarkStart w:id="181" w:name="_Toc263753600"/>
      <w:bookmarkStart w:id="182" w:name="_Toc250041691"/>
      <w:bookmarkStart w:id="183" w:name="_Toc297204985"/>
      <w:bookmarkStart w:id="184" w:name="_Toc217446085"/>
      <w:r>
        <w:rPr>
          <w:rFonts w:hint="eastAsia" w:ascii="仿宋" w:hAnsi="仿宋" w:eastAsia="仿宋" w:cs="仿宋"/>
          <w:color w:val="000000"/>
          <w:sz w:val="24"/>
          <w:szCs w:val="24"/>
          <w:highlight w:val="none"/>
        </w:rPr>
        <w:br w:type="page"/>
      </w:r>
    </w:p>
    <w:bookmarkEnd w:id="178"/>
    <w:bookmarkEnd w:id="179"/>
    <w:bookmarkEnd w:id="180"/>
    <w:bookmarkEnd w:id="181"/>
    <w:bookmarkEnd w:id="182"/>
    <w:bookmarkEnd w:id="183"/>
    <w:p w14:paraId="2CF4C09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三、开标一览表</w:t>
      </w:r>
    </w:p>
    <w:p w14:paraId="255BBB0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tbl>
      <w:tblPr>
        <w:tblStyle w:val="26"/>
        <w:tblW w:w="8279" w:type="dxa"/>
        <w:jc w:val="center"/>
        <w:tblLayout w:type="fixed"/>
        <w:tblCellMar>
          <w:top w:w="0" w:type="dxa"/>
          <w:left w:w="108" w:type="dxa"/>
          <w:bottom w:w="0" w:type="dxa"/>
          <w:right w:w="108" w:type="dxa"/>
        </w:tblCellMar>
      </w:tblPr>
      <w:tblGrid>
        <w:gridCol w:w="788"/>
        <w:gridCol w:w="1996"/>
        <w:gridCol w:w="2083"/>
        <w:gridCol w:w="3412"/>
      </w:tblGrid>
      <w:tr w14:paraId="1447FE57">
        <w:trPr>
          <w:trHeight w:val="533"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523F8A26">
            <w:pPr>
              <w:widowControl/>
              <w:spacing w:beforeAutospacing="0" w:afterAutospacing="0" w:line="24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项目名称</w:t>
            </w:r>
          </w:p>
        </w:tc>
        <w:tc>
          <w:tcPr>
            <w:tcW w:w="5495" w:type="dxa"/>
            <w:gridSpan w:val="2"/>
            <w:tcBorders>
              <w:top w:val="single" w:color="000000" w:sz="4" w:space="0"/>
              <w:left w:val="nil"/>
              <w:bottom w:val="single" w:color="000000" w:sz="4" w:space="0"/>
              <w:right w:val="single" w:color="000000" w:sz="4" w:space="0"/>
            </w:tcBorders>
            <w:vAlign w:val="center"/>
          </w:tcPr>
          <w:p w14:paraId="318EECBE">
            <w:pPr>
              <w:widowControl/>
              <w:spacing w:beforeAutospacing="0" w:afterAutospacing="0" w:line="240" w:lineRule="auto"/>
              <w:rPr>
                <w:rFonts w:hint="eastAsia" w:ascii="仿宋" w:hAnsi="仿宋" w:eastAsia="仿宋" w:cs="仿宋"/>
                <w:color w:val="000000"/>
                <w:kern w:val="0"/>
                <w:sz w:val="24"/>
                <w:szCs w:val="24"/>
                <w:highlight w:val="none"/>
              </w:rPr>
            </w:pPr>
          </w:p>
        </w:tc>
      </w:tr>
      <w:tr w14:paraId="07B9969B">
        <w:tblPrEx>
          <w:tblCellMar>
            <w:top w:w="0" w:type="dxa"/>
            <w:left w:w="108" w:type="dxa"/>
            <w:bottom w:w="0" w:type="dxa"/>
            <w:right w:w="108" w:type="dxa"/>
          </w:tblCellMar>
        </w:tblPrEx>
        <w:trPr>
          <w:trHeight w:val="468"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0172713B">
            <w:pPr>
              <w:widowControl/>
              <w:spacing w:beforeAutospacing="0" w:afterAutospacing="0" w:line="240" w:lineRule="auto"/>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采购</w:t>
            </w:r>
            <w:r>
              <w:rPr>
                <w:rFonts w:hint="eastAsia" w:ascii="仿宋" w:hAnsi="仿宋" w:eastAsia="仿宋" w:cs="仿宋"/>
                <w:color w:val="000000"/>
                <w:kern w:val="0"/>
                <w:sz w:val="24"/>
                <w:szCs w:val="24"/>
                <w:highlight w:val="none"/>
              </w:rPr>
              <w:t>编号</w:t>
            </w:r>
          </w:p>
        </w:tc>
        <w:tc>
          <w:tcPr>
            <w:tcW w:w="5495" w:type="dxa"/>
            <w:gridSpan w:val="2"/>
            <w:tcBorders>
              <w:top w:val="single" w:color="000000" w:sz="4" w:space="0"/>
              <w:left w:val="nil"/>
              <w:bottom w:val="single" w:color="000000" w:sz="4" w:space="0"/>
              <w:right w:val="single" w:color="000000" w:sz="4" w:space="0"/>
            </w:tcBorders>
            <w:vAlign w:val="center"/>
          </w:tcPr>
          <w:p w14:paraId="03C8D123">
            <w:pPr>
              <w:widowControl/>
              <w:spacing w:beforeAutospacing="0" w:afterAutospacing="0" w:line="240" w:lineRule="auto"/>
              <w:rPr>
                <w:rFonts w:hint="eastAsia" w:ascii="仿宋" w:hAnsi="仿宋" w:eastAsia="仿宋" w:cs="仿宋"/>
                <w:color w:val="000000"/>
                <w:kern w:val="0"/>
                <w:sz w:val="24"/>
                <w:szCs w:val="24"/>
                <w:highlight w:val="none"/>
              </w:rPr>
            </w:pPr>
          </w:p>
        </w:tc>
      </w:tr>
      <w:tr w14:paraId="0119FB18">
        <w:tblPrEx>
          <w:tblCellMar>
            <w:top w:w="0" w:type="dxa"/>
            <w:left w:w="108" w:type="dxa"/>
            <w:bottom w:w="0" w:type="dxa"/>
            <w:right w:w="108" w:type="dxa"/>
          </w:tblCellMar>
        </w:tblPrEx>
        <w:trPr>
          <w:trHeight w:val="1002" w:hRule="atLeast"/>
          <w:jc w:val="center"/>
        </w:trPr>
        <w:tc>
          <w:tcPr>
            <w:tcW w:w="788" w:type="dxa"/>
            <w:tcBorders>
              <w:top w:val="nil"/>
              <w:left w:val="single" w:color="000000" w:sz="4" w:space="0"/>
              <w:bottom w:val="single" w:color="000000" w:sz="4" w:space="0"/>
              <w:right w:val="single" w:color="000000" w:sz="4" w:space="0"/>
            </w:tcBorders>
            <w:vAlign w:val="center"/>
          </w:tcPr>
          <w:p w14:paraId="78641BA0">
            <w:pPr>
              <w:widowControl/>
              <w:spacing w:beforeAutospacing="0" w:afterAutospacing="0" w:line="240" w:lineRule="auto"/>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1996" w:type="dxa"/>
            <w:tcBorders>
              <w:top w:val="nil"/>
              <w:left w:val="nil"/>
              <w:bottom w:val="single" w:color="000000" w:sz="4" w:space="0"/>
              <w:right w:val="single" w:color="000000" w:sz="4" w:space="0"/>
            </w:tcBorders>
            <w:vAlign w:val="center"/>
          </w:tcPr>
          <w:p w14:paraId="51093CC0">
            <w:pPr>
              <w:widowControl/>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采购</w:t>
            </w:r>
            <w:r>
              <w:rPr>
                <w:rFonts w:hint="eastAsia" w:ascii="仿宋" w:hAnsi="仿宋" w:eastAsia="仿宋" w:cs="仿宋"/>
                <w:bCs/>
                <w:color w:val="000000"/>
                <w:kern w:val="0"/>
                <w:sz w:val="24"/>
                <w:szCs w:val="24"/>
                <w:highlight w:val="none"/>
              </w:rPr>
              <w:t>内容</w:t>
            </w:r>
          </w:p>
        </w:tc>
        <w:tc>
          <w:tcPr>
            <w:tcW w:w="2083" w:type="dxa"/>
            <w:tcBorders>
              <w:top w:val="nil"/>
              <w:left w:val="nil"/>
              <w:bottom w:val="single" w:color="000000" w:sz="4" w:space="0"/>
              <w:right w:val="single" w:color="000000" w:sz="4" w:space="0"/>
            </w:tcBorders>
            <w:vAlign w:val="center"/>
          </w:tcPr>
          <w:p w14:paraId="286AECF7">
            <w:pPr>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color w:val="000000"/>
                <w:sz w:val="24"/>
                <w:szCs w:val="24"/>
                <w:highlight w:val="none"/>
              </w:rPr>
              <w:t>工期</w:t>
            </w:r>
          </w:p>
        </w:tc>
        <w:tc>
          <w:tcPr>
            <w:tcW w:w="3412" w:type="dxa"/>
            <w:tcBorders>
              <w:top w:val="nil"/>
              <w:left w:val="nil"/>
              <w:bottom w:val="single" w:color="000000" w:sz="4" w:space="0"/>
              <w:right w:val="single" w:color="000000" w:sz="4" w:space="0"/>
            </w:tcBorders>
            <w:vAlign w:val="center"/>
          </w:tcPr>
          <w:p w14:paraId="79FC9D67">
            <w:pPr>
              <w:widowControl/>
              <w:spacing w:beforeAutospacing="0" w:afterAutospacing="0" w:line="240" w:lineRule="auto"/>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报价（元）</w:t>
            </w:r>
          </w:p>
        </w:tc>
      </w:tr>
      <w:tr w14:paraId="6EC40132">
        <w:tblPrEx>
          <w:tblCellMar>
            <w:top w:w="0" w:type="dxa"/>
            <w:left w:w="108" w:type="dxa"/>
            <w:bottom w:w="0" w:type="dxa"/>
            <w:right w:w="108" w:type="dxa"/>
          </w:tblCellMar>
        </w:tblPrEx>
        <w:trPr>
          <w:trHeight w:val="995" w:hRule="atLeast"/>
          <w:jc w:val="center"/>
        </w:trPr>
        <w:tc>
          <w:tcPr>
            <w:tcW w:w="788" w:type="dxa"/>
            <w:tcBorders>
              <w:top w:val="nil"/>
              <w:left w:val="single" w:color="000000" w:sz="4" w:space="0"/>
              <w:bottom w:val="single" w:color="000000" w:sz="4" w:space="0"/>
              <w:right w:val="single" w:color="000000" w:sz="4" w:space="0"/>
            </w:tcBorders>
            <w:vAlign w:val="center"/>
          </w:tcPr>
          <w:p w14:paraId="191AE680">
            <w:pPr>
              <w:widowControl/>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w:t>
            </w:r>
          </w:p>
        </w:tc>
        <w:tc>
          <w:tcPr>
            <w:tcW w:w="1996" w:type="dxa"/>
            <w:tcBorders>
              <w:top w:val="nil"/>
              <w:left w:val="nil"/>
              <w:bottom w:val="single" w:color="000000" w:sz="4" w:space="0"/>
              <w:right w:val="single" w:color="000000" w:sz="4" w:space="0"/>
            </w:tcBorders>
            <w:vAlign w:val="center"/>
          </w:tcPr>
          <w:p w14:paraId="21576D41">
            <w:pPr>
              <w:widowControl/>
              <w:spacing w:beforeAutospacing="0" w:afterAutospacing="0" w:line="240" w:lineRule="auto"/>
              <w:jc w:val="center"/>
              <w:rPr>
                <w:rFonts w:hint="eastAsia" w:ascii="仿宋" w:hAnsi="仿宋" w:eastAsia="仿宋" w:cs="仿宋"/>
                <w:bCs/>
                <w:color w:val="000000"/>
                <w:kern w:val="0"/>
                <w:sz w:val="24"/>
                <w:szCs w:val="24"/>
                <w:highlight w:val="none"/>
              </w:rPr>
            </w:pPr>
          </w:p>
        </w:tc>
        <w:tc>
          <w:tcPr>
            <w:tcW w:w="2083" w:type="dxa"/>
            <w:tcBorders>
              <w:top w:val="nil"/>
              <w:left w:val="nil"/>
              <w:bottom w:val="single" w:color="000000" w:sz="4" w:space="0"/>
              <w:right w:val="single" w:color="000000" w:sz="4" w:space="0"/>
            </w:tcBorders>
            <w:vAlign w:val="center"/>
          </w:tcPr>
          <w:p w14:paraId="01A05569">
            <w:pPr>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p>
        </w:tc>
        <w:tc>
          <w:tcPr>
            <w:tcW w:w="3412" w:type="dxa"/>
            <w:tcBorders>
              <w:top w:val="nil"/>
              <w:left w:val="nil"/>
              <w:bottom w:val="single" w:color="000000" w:sz="4" w:space="0"/>
              <w:right w:val="single" w:color="000000" w:sz="4" w:space="0"/>
            </w:tcBorders>
            <w:vAlign w:val="center"/>
          </w:tcPr>
          <w:p w14:paraId="49760EA0">
            <w:pPr>
              <w:widowControl/>
              <w:spacing w:beforeAutospacing="0" w:afterAutospacing="0" w:line="240" w:lineRule="auto"/>
              <w:jc w:val="center"/>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人民币大写：            元（人民币小写：      元）</w:t>
            </w:r>
          </w:p>
        </w:tc>
      </w:tr>
    </w:tbl>
    <w:p w14:paraId="04EDF7AD">
      <w:pPr>
        <w:pStyle w:val="43"/>
        <w:spacing w:beforeAutospacing="0" w:afterAutospacing="0" w:line="360" w:lineRule="auto"/>
        <w:ind w:firstLine="480"/>
        <w:rPr>
          <w:rFonts w:hint="eastAsia" w:ascii="仿宋" w:hAnsi="仿宋" w:eastAsia="仿宋" w:cs="仿宋"/>
          <w:color w:val="000000"/>
          <w:sz w:val="24"/>
          <w:szCs w:val="24"/>
          <w:highlight w:val="none"/>
        </w:rPr>
      </w:pPr>
    </w:p>
    <w:p w14:paraId="678494A5">
      <w:pPr>
        <w:spacing w:beforeAutospacing="0" w:afterAutospacing="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注：1、“投标总价”应与“投标函”中“投标总价”一致。</w:t>
      </w:r>
    </w:p>
    <w:bookmarkEnd w:id="184"/>
    <w:p w14:paraId="0E8FE8E9">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2.“开标一览表”为多页的，每页均需由法定代表人或授权代表签字并盖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印章。</w:t>
      </w:r>
    </w:p>
    <w:p w14:paraId="5AF8732D">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3、“开标一览表”以包为单位填写。</w:t>
      </w:r>
    </w:p>
    <w:p w14:paraId="0E734210">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p>
    <w:p w14:paraId="04CEF212">
      <w:pPr>
        <w:spacing w:beforeAutospacing="0" w:afterAutospacing="0" w:line="40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        （盖章）</w:t>
      </w:r>
    </w:p>
    <w:p w14:paraId="4E53599E">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法定代表人或授权代表（签字</w:t>
      </w:r>
      <w:r>
        <w:rPr>
          <w:rFonts w:hint="eastAsia" w:ascii="仿宋" w:hAnsi="仿宋" w:eastAsia="仿宋" w:cs="仿宋"/>
          <w:color w:val="000000"/>
          <w:sz w:val="24"/>
          <w:szCs w:val="24"/>
          <w:highlight w:val="none"/>
          <w:lang w:val="en-US" w:eastAsia="zh-CN"/>
        </w:rPr>
        <w:t>或盖章</w:t>
      </w:r>
      <w:r>
        <w:rPr>
          <w:rFonts w:hint="eastAsia" w:ascii="仿宋" w:hAnsi="仿宋" w:eastAsia="仿宋" w:cs="仿宋"/>
          <w:color w:val="000000"/>
          <w:sz w:val="24"/>
          <w:szCs w:val="24"/>
          <w:highlight w:val="none"/>
        </w:rPr>
        <w:t>）：</w:t>
      </w:r>
    </w:p>
    <w:p w14:paraId="0DBA1FD0">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    期：</w:t>
      </w:r>
      <w:r>
        <w:rPr>
          <w:rFonts w:hint="eastAsia" w:ascii="仿宋" w:hAnsi="仿宋" w:eastAsia="仿宋" w:cs="仿宋"/>
          <w:color w:val="000000"/>
          <w:sz w:val="24"/>
          <w:szCs w:val="24"/>
          <w:highlight w:val="none"/>
        </w:rPr>
        <w:t xml:space="preserve">     年     月    日</w:t>
      </w:r>
    </w:p>
    <w:p w14:paraId="516DD38E">
      <w:pPr>
        <w:pStyle w:val="12"/>
        <w:rPr>
          <w:rFonts w:hint="eastAsia" w:ascii="仿宋" w:hAnsi="仿宋" w:eastAsia="仿宋" w:cs="仿宋"/>
          <w:color w:val="000000"/>
          <w:sz w:val="24"/>
          <w:szCs w:val="24"/>
          <w:highlight w:val="none"/>
        </w:rPr>
      </w:pPr>
    </w:p>
    <w:p w14:paraId="6E72355D">
      <w:pPr>
        <w:rPr>
          <w:rFonts w:hint="eastAsia" w:ascii="仿宋" w:hAnsi="仿宋" w:eastAsia="仿宋" w:cs="仿宋"/>
          <w:color w:val="000000"/>
          <w:sz w:val="24"/>
          <w:szCs w:val="24"/>
          <w:highlight w:val="none"/>
        </w:rPr>
      </w:pPr>
    </w:p>
    <w:p w14:paraId="3A09FE12">
      <w:pPr>
        <w:pStyle w:val="12"/>
        <w:rPr>
          <w:rFonts w:hint="eastAsia" w:ascii="仿宋" w:hAnsi="仿宋" w:eastAsia="仿宋" w:cs="仿宋"/>
          <w:color w:val="000000"/>
          <w:sz w:val="24"/>
          <w:szCs w:val="24"/>
          <w:highlight w:val="none"/>
        </w:rPr>
      </w:pPr>
    </w:p>
    <w:p w14:paraId="0C19F978">
      <w:pPr>
        <w:rPr>
          <w:rFonts w:hint="eastAsia" w:ascii="仿宋" w:hAnsi="仿宋" w:eastAsia="仿宋" w:cs="仿宋"/>
          <w:color w:val="000000"/>
          <w:sz w:val="24"/>
          <w:szCs w:val="24"/>
          <w:highlight w:val="none"/>
        </w:rPr>
      </w:pPr>
    </w:p>
    <w:p w14:paraId="7FEA0A76">
      <w:pPr>
        <w:pStyle w:val="12"/>
        <w:rPr>
          <w:rFonts w:hint="eastAsia" w:ascii="仿宋" w:hAnsi="仿宋" w:eastAsia="仿宋" w:cs="仿宋"/>
          <w:color w:val="000000"/>
          <w:sz w:val="24"/>
          <w:szCs w:val="24"/>
          <w:highlight w:val="none"/>
        </w:rPr>
      </w:pPr>
    </w:p>
    <w:p w14:paraId="71BC1A5B">
      <w:pPr>
        <w:rPr>
          <w:rFonts w:hint="eastAsia" w:ascii="仿宋" w:hAnsi="仿宋" w:eastAsia="仿宋" w:cs="仿宋"/>
          <w:color w:val="000000"/>
          <w:sz w:val="24"/>
          <w:szCs w:val="24"/>
          <w:highlight w:val="none"/>
        </w:rPr>
      </w:pPr>
    </w:p>
    <w:p w14:paraId="5798FBBC">
      <w:pPr>
        <w:pStyle w:val="12"/>
        <w:rPr>
          <w:rFonts w:hint="eastAsia" w:ascii="仿宋" w:hAnsi="仿宋" w:eastAsia="仿宋" w:cs="仿宋"/>
          <w:color w:val="000000"/>
          <w:sz w:val="24"/>
          <w:szCs w:val="24"/>
          <w:highlight w:val="none"/>
        </w:rPr>
      </w:pPr>
    </w:p>
    <w:p w14:paraId="44E6837B">
      <w:pPr>
        <w:rPr>
          <w:rFonts w:hint="eastAsia" w:ascii="仿宋" w:hAnsi="仿宋" w:eastAsia="仿宋" w:cs="仿宋"/>
          <w:color w:val="000000"/>
          <w:sz w:val="24"/>
          <w:szCs w:val="24"/>
          <w:highlight w:val="none"/>
        </w:rPr>
      </w:pPr>
    </w:p>
    <w:p w14:paraId="6B404620">
      <w:pPr>
        <w:pStyle w:val="12"/>
        <w:rPr>
          <w:rFonts w:hint="eastAsia" w:ascii="仿宋" w:hAnsi="仿宋" w:eastAsia="仿宋" w:cs="仿宋"/>
          <w:color w:val="000000"/>
          <w:sz w:val="24"/>
          <w:szCs w:val="24"/>
          <w:highlight w:val="none"/>
        </w:rPr>
      </w:pPr>
    </w:p>
    <w:p w14:paraId="71CF6431">
      <w:pPr>
        <w:rPr>
          <w:rFonts w:hint="eastAsia" w:ascii="仿宋" w:hAnsi="仿宋" w:eastAsia="仿宋" w:cs="仿宋"/>
          <w:color w:val="000000"/>
          <w:sz w:val="24"/>
          <w:szCs w:val="24"/>
          <w:highlight w:val="none"/>
        </w:rPr>
      </w:pPr>
    </w:p>
    <w:p w14:paraId="50DAF606">
      <w:pPr>
        <w:pStyle w:val="12"/>
        <w:rPr>
          <w:rFonts w:hint="eastAsia" w:ascii="仿宋" w:hAnsi="仿宋" w:eastAsia="仿宋" w:cs="仿宋"/>
          <w:color w:val="000000"/>
          <w:sz w:val="24"/>
          <w:szCs w:val="24"/>
          <w:highlight w:val="none"/>
        </w:rPr>
      </w:pPr>
    </w:p>
    <w:p w14:paraId="42261C95">
      <w:pPr>
        <w:rPr>
          <w:rFonts w:hint="eastAsia" w:ascii="仿宋" w:hAnsi="仿宋" w:eastAsia="仿宋" w:cs="仿宋"/>
          <w:color w:val="000000"/>
          <w:sz w:val="24"/>
          <w:szCs w:val="24"/>
          <w:highlight w:val="none"/>
        </w:rPr>
      </w:pPr>
    </w:p>
    <w:p w14:paraId="1335DE25">
      <w:pPr>
        <w:pStyle w:val="12"/>
        <w:rPr>
          <w:rFonts w:hint="eastAsia" w:ascii="仿宋" w:hAnsi="仿宋" w:eastAsia="仿宋" w:cs="仿宋"/>
          <w:color w:val="000000"/>
          <w:sz w:val="24"/>
          <w:szCs w:val="24"/>
          <w:highlight w:val="none"/>
        </w:rPr>
      </w:pPr>
    </w:p>
    <w:p w14:paraId="50089AD0">
      <w:pPr>
        <w:rPr>
          <w:rFonts w:hint="eastAsia" w:ascii="仿宋" w:hAnsi="仿宋" w:eastAsia="仿宋" w:cs="仿宋"/>
          <w:color w:val="000000"/>
          <w:sz w:val="24"/>
          <w:szCs w:val="24"/>
          <w:highlight w:val="none"/>
        </w:rPr>
      </w:pPr>
    </w:p>
    <w:p w14:paraId="0996FC34">
      <w:pPr>
        <w:pStyle w:val="12"/>
        <w:rPr>
          <w:rFonts w:hint="eastAsia" w:ascii="仿宋" w:hAnsi="仿宋" w:eastAsia="仿宋" w:cs="仿宋"/>
          <w:color w:val="000000"/>
          <w:sz w:val="24"/>
          <w:szCs w:val="24"/>
          <w:highlight w:val="none"/>
        </w:rPr>
      </w:pPr>
    </w:p>
    <w:p w14:paraId="17068B2F">
      <w:pPr>
        <w:rPr>
          <w:rFonts w:hint="eastAsia" w:ascii="仿宋" w:hAnsi="仿宋" w:eastAsia="仿宋" w:cs="仿宋"/>
          <w:color w:val="000000"/>
          <w:sz w:val="24"/>
          <w:szCs w:val="24"/>
          <w:highlight w:val="none"/>
        </w:rPr>
      </w:pPr>
    </w:p>
    <w:p w14:paraId="746D3E89">
      <w:pPr>
        <w:pStyle w:val="12"/>
        <w:rPr>
          <w:rFonts w:hint="eastAsia" w:ascii="仿宋" w:hAnsi="仿宋" w:eastAsia="仿宋" w:cs="仿宋"/>
          <w:color w:val="000000"/>
          <w:sz w:val="24"/>
          <w:szCs w:val="24"/>
          <w:highlight w:val="none"/>
        </w:rPr>
      </w:pPr>
    </w:p>
    <w:p w14:paraId="25B8C27A">
      <w:pPr>
        <w:rPr>
          <w:rFonts w:hint="eastAsia" w:ascii="仿宋" w:hAnsi="仿宋" w:eastAsia="仿宋" w:cs="仿宋"/>
          <w:color w:val="000000"/>
          <w:sz w:val="24"/>
          <w:szCs w:val="24"/>
          <w:highlight w:val="none"/>
        </w:rPr>
      </w:pPr>
    </w:p>
    <w:p w14:paraId="7BC871B6">
      <w:pPr>
        <w:pStyle w:val="12"/>
        <w:rPr>
          <w:rFonts w:hint="eastAsia" w:ascii="仿宋" w:hAnsi="仿宋" w:eastAsia="仿宋" w:cs="仿宋"/>
          <w:color w:val="000000"/>
          <w:sz w:val="24"/>
          <w:szCs w:val="24"/>
          <w:highlight w:val="none"/>
        </w:rPr>
      </w:pPr>
    </w:p>
    <w:p w14:paraId="1EEC74C0">
      <w:pPr>
        <w:rPr>
          <w:rFonts w:hint="eastAsia" w:ascii="仿宋" w:hAnsi="仿宋" w:eastAsia="仿宋" w:cs="仿宋"/>
          <w:color w:val="000000"/>
          <w:sz w:val="24"/>
          <w:szCs w:val="24"/>
          <w:highlight w:val="none"/>
        </w:rPr>
      </w:pPr>
    </w:p>
    <w:p w14:paraId="5B99CF49">
      <w:pPr>
        <w:pStyle w:val="12"/>
        <w:ind w:left="0" w:leftChars="0" w:firstLine="0" w:firstLineChars="0"/>
        <w:rPr>
          <w:rFonts w:hint="eastAsia"/>
          <w:highlight w:val="none"/>
        </w:rPr>
        <w:sectPr>
          <w:footerReference r:id="rId6" w:type="default"/>
          <w:pgSz w:w="11907" w:h="16840"/>
          <w:pgMar w:top="1440" w:right="1800" w:bottom="1440" w:left="1800" w:header="851" w:footer="992" w:gutter="0"/>
          <w:pgNumType w:fmt="decimal" w:start="1"/>
          <w:cols w:space="720" w:num="1"/>
          <w:docGrid w:linePitch="312" w:charSpace="0"/>
        </w:sectPr>
      </w:pPr>
    </w:p>
    <w:p w14:paraId="06D464E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bookmarkStart w:id="185" w:name="_Toc217446088"/>
      <w:bookmarkEnd w:id="185"/>
      <w:r>
        <w:rPr>
          <w:rFonts w:hint="eastAsia" w:ascii="仿宋" w:hAnsi="仿宋" w:eastAsia="仿宋" w:cs="仿宋"/>
          <w:color w:val="000000"/>
          <w:sz w:val="28"/>
          <w:szCs w:val="28"/>
          <w:highlight w:val="none"/>
          <w:lang w:val="en-US" w:eastAsia="zh-CN"/>
        </w:rPr>
        <w:t>四、工程量清单</w:t>
      </w:r>
    </w:p>
    <w:p w14:paraId="3BEAA2F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7CA7943">
      <w:pPr>
        <w:pStyle w:val="35"/>
        <w:numPr>
          <w:ilvl w:val="0"/>
          <w:numId w:val="0"/>
        </w:numPr>
        <w:spacing w:before="0" w:beforeAutospacing="0" w:after="0" w:afterAutospacing="0" w:line="24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（详见附件一：工程量清单）</w:t>
      </w:r>
    </w:p>
    <w:p w14:paraId="78461BF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A8251A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800F20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732A86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1EEED6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6E3D0B3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3833B1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F0BEF16">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78E216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41892E5">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ABCD9CA">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1D656F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4F68FE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D4C5AA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0A0CBD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491389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5E8B4A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BA887F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2B31B87">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C7BC12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EF061A3">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2BA4172">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E44E57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2C37F93">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BD1324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FF8963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605740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3E9E02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445FBC6">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FA51C8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E924C1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CB590A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6BF286A">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7DA490E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64758BB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5C8AFD0">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五、供应商基本情况表</w:t>
      </w:r>
    </w:p>
    <w:p w14:paraId="41A9E25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tbl>
      <w:tblPr>
        <w:tblStyle w:val="2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14:paraId="61F6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34DD749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w:t>
            </w:r>
          </w:p>
        </w:tc>
        <w:tc>
          <w:tcPr>
            <w:tcW w:w="7006" w:type="dxa"/>
            <w:gridSpan w:val="8"/>
            <w:vAlign w:val="center"/>
          </w:tcPr>
          <w:p w14:paraId="50FA125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BE7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460A666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是否为联合体</w:t>
            </w:r>
          </w:p>
        </w:tc>
        <w:tc>
          <w:tcPr>
            <w:tcW w:w="7006" w:type="dxa"/>
            <w:gridSpan w:val="8"/>
            <w:vAlign w:val="center"/>
          </w:tcPr>
          <w:p w14:paraId="6C2A0F63">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 xml:space="preserve">是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否</w:t>
            </w:r>
          </w:p>
        </w:tc>
      </w:tr>
      <w:tr w14:paraId="7D6A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02CBFFC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注册地址</w:t>
            </w:r>
          </w:p>
        </w:tc>
        <w:tc>
          <w:tcPr>
            <w:tcW w:w="3449" w:type="dxa"/>
            <w:gridSpan w:val="4"/>
            <w:vAlign w:val="center"/>
          </w:tcPr>
          <w:p w14:paraId="151C65C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18" w:type="dxa"/>
            <w:vAlign w:val="center"/>
          </w:tcPr>
          <w:p w14:paraId="4B253CD4">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邮政编码</w:t>
            </w:r>
          </w:p>
        </w:tc>
        <w:tc>
          <w:tcPr>
            <w:tcW w:w="2239" w:type="dxa"/>
            <w:gridSpan w:val="3"/>
            <w:vAlign w:val="center"/>
          </w:tcPr>
          <w:p w14:paraId="44E397BB">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40E0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Merge w:val="restart"/>
            <w:vAlign w:val="center"/>
          </w:tcPr>
          <w:p w14:paraId="174A5C5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联系方式</w:t>
            </w:r>
          </w:p>
        </w:tc>
        <w:tc>
          <w:tcPr>
            <w:tcW w:w="978" w:type="dxa"/>
            <w:vAlign w:val="center"/>
          </w:tcPr>
          <w:p w14:paraId="71BB960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w:t>
            </w:r>
          </w:p>
        </w:tc>
        <w:tc>
          <w:tcPr>
            <w:tcW w:w="2463" w:type="dxa"/>
            <w:gridSpan w:val="2"/>
            <w:vAlign w:val="center"/>
          </w:tcPr>
          <w:p w14:paraId="252E7FB7">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26" w:type="dxa"/>
            <w:gridSpan w:val="2"/>
            <w:vAlign w:val="center"/>
          </w:tcPr>
          <w:p w14:paraId="1202709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2239" w:type="dxa"/>
            <w:gridSpan w:val="3"/>
            <w:vAlign w:val="center"/>
          </w:tcPr>
          <w:p w14:paraId="21A1436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0861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 w:hRule="atLeast"/>
        </w:trPr>
        <w:tc>
          <w:tcPr>
            <w:tcW w:w="1516" w:type="dxa"/>
            <w:vMerge w:val="continue"/>
            <w:vAlign w:val="center"/>
          </w:tcPr>
          <w:p w14:paraId="3CD22C37">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978" w:type="dxa"/>
            <w:vAlign w:val="center"/>
          </w:tcPr>
          <w:p w14:paraId="5A2BF2C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传真</w:t>
            </w:r>
          </w:p>
        </w:tc>
        <w:tc>
          <w:tcPr>
            <w:tcW w:w="2463" w:type="dxa"/>
            <w:gridSpan w:val="2"/>
            <w:vAlign w:val="center"/>
          </w:tcPr>
          <w:p w14:paraId="3C579FF6">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26" w:type="dxa"/>
            <w:gridSpan w:val="2"/>
            <w:vAlign w:val="center"/>
          </w:tcPr>
          <w:p w14:paraId="0CE3B76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网址</w:t>
            </w:r>
          </w:p>
        </w:tc>
        <w:tc>
          <w:tcPr>
            <w:tcW w:w="2239" w:type="dxa"/>
            <w:gridSpan w:val="3"/>
            <w:vAlign w:val="center"/>
          </w:tcPr>
          <w:p w14:paraId="3FCB0370">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02275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5E81072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组织结构</w:t>
            </w:r>
          </w:p>
        </w:tc>
        <w:tc>
          <w:tcPr>
            <w:tcW w:w="7006" w:type="dxa"/>
            <w:gridSpan w:val="8"/>
            <w:vAlign w:val="center"/>
          </w:tcPr>
          <w:p w14:paraId="647654EF">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BD01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516" w:type="dxa"/>
            <w:vAlign w:val="center"/>
          </w:tcPr>
          <w:p w14:paraId="471D3BB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w:t>
            </w:r>
          </w:p>
        </w:tc>
        <w:tc>
          <w:tcPr>
            <w:tcW w:w="978" w:type="dxa"/>
            <w:vAlign w:val="center"/>
          </w:tcPr>
          <w:p w14:paraId="36DB15C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姓名</w:t>
            </w:r>
          </w:p>
        </w:tc>
        <w:tc>
          <w:tcPr>
            <w:tcW w:w="1215" w:type="dxa"/>
            <w:vAlign w:val="center"/>
          </w:tcPr>
          <w:p w14:paraId="3768534F">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Align w:val="center"/>
          </w:tcPr>
          <w:p w14:paraId="42CB817A">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技术职称</w:t>
            </w:r>
          </w:p>
        </w:tc>
        <w:tc>
          <w:tcPr>
            <w:tcW w:w="1326" w:type="dxa"/>
            <w:gridSpan w:val="2"/>
            <w:vAlign w:val="center"/>
          </w:tcPr>
          <w:p w14:paraId="4F85A5EC">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172" w:type="dxa"/>
            <w:gridSpan w:val="2"/>
            <w:vAlign w:val="center"/>
          </w:tcPr>
          <w:p w14:paraId="1E0AC5D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1067" w:type="dxa"/>
            <w:vAlign w:val="center"/>
          </w:tcPr>
          <w:p w14:paraId="5B33DB38">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7F47D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516" w:type="dxa"/>
            <w:vAlign w:val="center"/>
          </w:tcPr>
          <w:p w14:paraId="5B9B66AC">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技术负责人</w:t>
            </w:r>
          </w:p>
        </w:tc>
        <w:tc>
          <w:tcPr>
            <w:tcW w:w="978" w:type="dxa"/>
            <w:vAlign w:val="center"/>
          </w:tcPr>
          <w:p w14:paraId="7A5A9C5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姓名</w:t>
            </w:r>
          </w:p>
        </w:tc>
        <w:tc>
          <w:tcPr>
            <w:tcW w:w="1215" w:type="dxa"/>
            <w:vAlign w:val="center"/>
          </w:tcPr>
          <w:p w14:paraId="0A88B4AE">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Align w:val="center"/>
          </w:tcPr>
          <w:p w14:paraId="0300540E">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技术职称</w:t>
            </w:r>
          </w:p>
        </w:tc>
        <w:tc>
          <w:tcPr>
            <w:tcW w:w="1326" w:type="dxa"/>
            <w:gridSpan w:val="2"/>
            <w:vAlign w:val="center"/>
          </w:tcPr>
          <w:p w14:paraId="384A25F4">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172" w:type="dxa"/>
            <w:gridSpan w:val="2"/>
            <w:vAlign w:val="center"/>
          </w:tcPr>
          <w:p w14:paraId="4E774DF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1067" w:type="dxa"/>
            <w:vAlign w:val="center"/>
          </w:tcPr>
          <w:p w14:paraId="72FF5E2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CBA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16F262F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成立时间</w:t>
            </w:r>
          </w:p>
        </w:tc>
        <w:tc>
          <w:tcPr>
            <w:tcW w:w="2193" w:type="dxa"/>
            <w:gridSpan w:val="2"/>
            <w:vAlign w:val="center"/>
          </w:tcPr>
          <w:p w14:paraId="4FDF34F1">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4813" w:type="dxa"/>
            <w:gridSpan w:val="6"/>
            <w:vAlign w:val="center"/>
          </w:tcPr>
          <w:p w14:paraId="027B982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员工总人数：</w:t>
            </w:r>
          </w:p>
        </w:tc>
      </w:tr>
      <w:tr w14:paraId="6D33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3951D03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企业资质等级</w:t>
            </w:r>
          </w:p>
        </w:tc>
        <w:tc>
          <w:tcPr>
            <w:tcW w:w="2193" w:type="dxa"/>
            <w:gridSpan w:val="2"/>
            <w:vAlign w:val="center"/>
          </w:tcPr>
          <w:p w14:paraId="5D68E5B5">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restart"/>
            <w:vAlign w:val="center"/>
          </w:tcPr>
          <w:p w14:paraId="25FA8EBE">
            <w:pPr>
              <w:spacing w:beforeAutospacing="0" w:afterAutospacing="0" w:line="40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其中</w:t>
            </w:r>
          </w:p>
        </w:tc>
        <w:tc>
          <w:tcPr>
            <w:tcW w:w="1486" w:type="dxa"/>
            <w:gridSpan w:val="3"/>
            <w:vAlign w:val="center"/>
          </w:tcPr>
          <w:p w14:paraId="59E1722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项目经理</w:t>
            </w:r>
          </w:p>
        </w:tc>
        <w:tc>
          <w:tcPr>
            <w:tcW w:w="2079" w:type="dxa"/>
            <w:gridSpan w:val="2"/>
            <w:vAlign w:val="center"/>
          </w:tcPr>
          <w:p w14:paraId="6E8E53F9">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6A77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6CBC2D60">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营业执照号</w:t>
            </w:r>
          </w:p>
        </w:tc>
        <w:tc>
          <w:tcPr>
            <w:tcW w:w="2193" w:type="dxa"/>
            <w:gridSpan w:val="2"/>
            <w:vAlign w:val="center"/>
          </w:tcPr>
          <w:p w14:paraId="41C42F60">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7C15F7F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03B3B2CF">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高级职称人员</w:t>
            </w:r>
          </w:p>
        </w:tc>
        <w:tc>
          <w:tcPr>
            <w:tcW w:w="2079" w:type="dxa"/>
            <w:gridSpan w:val="2"/>
            <w:vAlign w:val="center"/>
          </w:tcPr>
          <w:p w14:paraId="2C790ACA">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A675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220221E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注册资金</w:t>
            </w:r>
          </w:p>
        </w:tc>
        <w:tc>
          <w:tcPr>
            <w:tcW w:w="2193" w:type="dxa"/>
            <w:gridSpan w:val="2"/>
            <w:vAlign w:val="center"/>
          </w:tcPr>
          <w:p w14:paraId="015C4779">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BE1A9BE">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7BC27A70">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中级职称人员</w:t>
            </w:r>
          </w:p>
        </w:tc>
        <w:tc>
          <w:tcPr>
            <w:tcW w:w="2079" w:type="dxa"/>
            <w:gridSpan w:val="2"/>
            <w:vAlign w:val="center"/>
          </w:tcPr>
          <w:p w14:paraId="6EA47622">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11F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02B7EB0F">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开户银行</w:t>
            </w:r>
          </w:p>
        </w:tc>
        <w:tc>
          <w:tcPr>
            <w:tcW w:w="2193" w:type="dxa"/>
            <w:gridSpan w:val="2"/>
            <w:vAlign w:val="center"/>
          </w:tcPr>
          <w:p w14:paraId="08C0B31B">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8CE659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45B8419E">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初级职称人员</w:t>
            </w:r>
          </w:p>
        </w:tc>
        <w:tc>
          <w:tcPr>
            <w:tcW w:w="2079" w:type="dxa"/>
            <w:gridSpan w:val="2"/>
            <w:vAlign w:val="center"/>
          </w:tcPr>
          <w:p w14:paraId="0800329F">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68C0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54B6CF2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账号</w:t>
            </w:r>
          </w:p>
        </w:tc>
        <w:tc>
          <w:tcPr>
            <w:tcW w:w="2193" w:type="dxa"/>
            <w:gridSpan w:val="2"/>
            <w:vAlign w:val="center"/>
          </w:tcPr>
          <w:p w14:paraId="7E71D651">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3398560">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66FD7E1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技工</w:t>
            </w:r>
          </w:p>
        </w:tc>
        <w:tc>
          <w:tcPr>
            <w:tcW w:w="2079" w:type="dxa"/>
            <w:gridSpan w:val="2"/>
            <w:vAlign w:val="center"/>
          </w:tcPr>
          <w:p w14:paraId="46CF7067">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7054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5" w:hRule="atLeast"/>
        </w:trPr>
        <w:tc>
          <w:tcPr>
            <w:tcW w:w="1516" w:type="dxa"/>
            <w:vAlign w:val="center"/>
          </w:tcPr>
          <w:p w14:paraId="00A1CBA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经营范围</w:t>
            </w:r>
          </w:p>
        </w:tc>
        <w:tc>
          <w:tcPr>
            <w:tcW w:w="7006" w:type="dxa"/>
            <w:gridSpan w:val="8"/>
            <w:vAlign w:val="center"/>
          </w:tcPr>
          <w:p w14:paraId="4D375DA5">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E54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2" w:hRule="atLeast"/>
        </w:trPr>
        <w:tc>
          <w:tcPr>
            <w:tcW w:w="1516" w:type="dxa"/>
            <w:vAlign w:val="top"/>
          </w:tcPr>
          <w:p w14:paraId="5B9CEF74">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c>
          <w:tcPr>
            <w:tcW w:w="7006" w:type="dxa"/>
            <w:gridSpan w:val="8"/>
            <w:vAlign w:val="top"/>
          </w:tcPr>
          <w:p w14:paraId="64E26064">
            <w:pPr>
              <w:spacing w:beforeAutospacing="0" w:afterAutospacing="0" w:line="400" w:lineRule="exact"/>
              <w:rPr>
                <w:rFonts w:hint="eastAsia" w:ascii="仿宋" w:hAnsi="仿宋" w:eastAsia="仿宋" w:cs="仿宋"/>
                <w:color w:val="000000"/>
                <w:sz w:val="24"/>
                <w:szCs w:val="24"/>
                <w:highlight w:val="none"/>
                <w:lang w:val="en-US" w:eastAsia="zh-CN"/>
              </w:rPr>
            </w:pPr>
          </w:p>
        </w:tc>
      </w:tr>
    </w:tbl>
    <w:p w14:paraId="70D0A89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        （盖章）</w:t>
      </w:r>
    </w:p>
    <w:p w14:paraId="7BB05EB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法定代表人或授权代表（签字或盖章）：</w:t>
      </w:r>
    </w:p>
    <w:p w14:paraId="04501D30">
      <w:pPr>
        <w:spacing w:beforeAutospacing="0" w:afterAutospacing="0" w:line="400" w:lineRule="exact"/>
        <w:rPr>
          <w:rFonts w:hint="eastAsia" w:ascii="仿宋" w:hAnsi="仿宋" w:eastAsia="仿宋" w:cs="仿宋"/>
          <w:color w:val="000000"/>
          <w:sz w:val="24"/>
          <w:szCs w:val="24"/>
          <w:highlight w:val="none"/>
          <w:lang w:val="en-US" w:eastAsia="zh-CN"/>
        </w:rPr>
      </w:pPr>
      <w:bookmarkStart w:id="186" w:name="_Toc217446089"/>
      <w:bookmarkEnd w:id="186"/>
      <w:r>
        <w:rPr>
          <w:rFonts w:hint="eastAsia" w:ascii="仿宋" w:hAnsi="仿宋" w:eastAsia="仿宋" w:cs="仿宋"/>
          <w:color w:val="000000"/>
          <w:sz w:val="24"/>
          <w:szCs w:val="24"/>
          <w:highlight w:val="none"/>
          <w:lang w:val="en-US" w:eastAsia="zh-CN"/>
        </w:rPr>
        <w:t>日    期：     年     月    日</w:t>
      </w:r>
    </w:p>
    <w:p w14:paraId="03E16C9B">
      <w:pPr>
        <w:pStyle w:val="35"/>
        <w:keepNext/>
        <w:keepLines/>
        <w:pageBreakBefore w:val="0"/>
        <w:widowControl w:val="0"/>
        <w:kinsoku/>
        <w:wordWrap/>
        <w:overflowPunct/>
        <w:topLinePunct w:val="0"/>
        <w:autoSpaceDE/>
        <w:autoSpaceDN/>
        <w:bidi w:val="0"/>
        <w:adjustRightInd/>
        <w:snapToGrid/>
        <w:spacing w:before="0" w:beforeAutospacing="0" w:afterAutospacing="0" w:line="40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Cs w:val="0"/>
          <w:color w:val="000000"/>
          <w:sz w:val="24"/>
          <w:szCs w:val="24"/>
          <w:highlight w:val="none"/>
          <w:lang w:val="en-US" w:eastAsia="zh-CN"/>
        </w:rPr>
        <w:br w:type="page"/>
      </w:r>
      <w:r>
        <w:rPr>
          <w:rFonts w:hint="eastAsia" w:ascii="仿宋" w:hAnsi="仿宋" w:eastAsia="仿宋" w:cs="仿宋"/>
          <w:color w:val="000000"/>
          <w:sz w:val="28"/>
          <w:szCs w:val="28"/>
          <w:highlight w:val="none"/>
          <w:lang w:val="en-US" w:eastAsia="zh-CN"/>
        </w:rPr>
        <w:t>六、拟委任的主要人员汇总表</w:t>
      </w:r>
    </w:p>
    <w:p w14:paraId="626C2574">
      <w:pPr>
        <w:pStyle w:val="9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拟委任的主要人员汇总表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12"/>
        <w:gridCol w:w="1021"/>
        <w:gridCol w:w="620"/>
        <w:gridCol w:w="501"/>
        <w:gridCol w:w="1167"/>
        <w:gridCol w:w="729"/>
        <w:gridCol w:w="899"/>
        <w:gridCol w:w="1167"/>
      </w:tblGrid>
      <w:tr w14:paraId="63C8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Merge w:val="restart"/>
            <w:vAlign w:val="center"/>
          </w:tcPr>
          <w:p w14:paraId="49B8AE76">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1312" w:type="dxa"/>
            <w:vMerge w:val="restart"/>
            <w:vAlign w:val="center"/>
          </w:tcPr>
          <w:p w14:paraId="4ABC5BA8">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本项目任职</w:t>
            </w:r>
          </w:p>
        </w:tc>
        <w:tc>
          <w:tcPr>
            <w:tcW w:w="1021" w:type="dxa"/>
            <w:vMerge w:val="restart"/>
            <w:vAlign w:val="center"/>
          </w:tcPr>
          <w:p w14:paraId="376D0E14">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姓名</w:t>
            </w:r>
          </w:p>
        </w:tc>
        <w:tc>
          <w:tcPr>
            <w:tcW w:w="620" w:type="dxa"/>
            <w:vMerge w:val="restart"/>
            <w:vAlign w:val="center"/>
          </w:tcPr>
          <w:p w14:paraId="7CD80143">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职称</w:t>
            </w:r>
          </w:p>
        </w:tc>
        <w:tc>
          <w:tcPr>
            <w:tcW w:w="501" w:type="dxa"/>
            <w:vMerge w:val="restart"/>
            <w:vAlign w:val="center"/>
          </w:tcPr>
          <w:p w14:paraId="38EB9DF8">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专业</w:t>
            </w:r>
          </w:p>
        </w:tc>
        <w:tc>
          <w:tcPr>
            <w:tcW w:w="2795" w:type="dxa"/>
            <w:gridSpan w:val="3"/>
            <w:vAlign w:val="center"/>
          </w:tcPr>
          <w:p w14:paraId="04E2A71B">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执业或职业资格证明</w:t>
            </w:r>
          </w:p>
        </w:tc>
        <w:tc>
          <w:tcPr>
            <w:tcW w:w="1167" w:type="dxa"/>
            <w:vAlign w:val="center"/>
          </w:tcPr>
          <w:p w14:paraId="4721F5F1">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备注</w:t>
            </w:r>
          </w:p>
        </w:tc>
      </w:tr>
      <w:tr w14:paraId="1B5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Merge w:val="continue"/>
            <w:vAlign w:val="center"/>
          </w:tcPr>
          <w:p w14:paraId="46E62EE7">
            <w:pPr>
              <w:pStyle w:val="91"/>
              <w:rPr>
                <w:rFonts w:hint="eastAsia" w:ascii="仿宋" w:hAnsi="仿宋" w:eastAsia="仿宋" w:cs="仿宋"/>
                <w:highlight w:val="none"/>
              </w:rPr>
            </w:pPr>
          </w:p>
        </w:tc>
        <w:tc>
          <w:tcPr>
            <w:tcW w:w="1312" w:type="dxa"/>
            <w:vMerge w:val="continue"/>
          </w:tcPr>
          <w:p w14:paraId="39AC0CF8">
            <w:pPr>
              <w:pStyle w:val="91"/>
              <w:rPr>
                <w:rFonts w:hint="eastAsia" w:ascii="仿宋" w:hAnsi="仿宋" w:eastAsia="仿宋" w:cs="仿宋"/>
                <w:highlight w:val="none"/>
              </w:rPr>
            </w:pPr>
          </w:p>
        </w:tc>
        <w:tc>
          <w:tcPr>
            <w:tcW w:w="1021" w:type="dxa"/>
            <w:vMerge w:val="continue"/>
            <w:vAlign w:val="center"/>
          </w:tcPr>
          <w:p w14:paraId="55653985">
            <w:pPr>
              <w:pStyle w:val="91"/>
              <w:rPr>
                <w:rFonts w:hint="eastAsia" w:ascii="仿宋" w:hAnsi="仿宋" w:eastAsia="仿宋" w:cs="仿宋"/>
                <w:highlight w:val="none"/>
              </w:rPr>
            </w:pPr>
          </w:p>
        </w:tc>
        <w:tc>
          <w:tcPr>
            <w:tcW w:w="620" w:type="dxa"/>
            <w:vMerge w:val="continue"/>
            <w:vAlign w:val="center"/>
          </w:tcPr>
          <w:p w14:paraId="54DE5A43">
            <w:pPr>
              <w:pStyle w:val="91"/>
              <w:rPr>
                <w:rFonts w:hint="eastAsia" w:ascii="仿宋" w:hAnsi="仿宋" w:eastAsia="仿宋" w:cs="仿宋"/>
                <w:highlight w:val="none"/>
              </w:rPr>
            </w:pPr>
          </w:p>
        </w:tc>
        <w:tc>
          <w:tcPr>
            <w:tcW w:w="501" w:type="dxa"/>
            <w:vMerge w:val="continue"/>
            <w:vAlign w:val="center"/>
          </w:tcPr>
          <w:p w14:paraId="571A029E">
            <w:pPr>
              <w:pStyle w:val="91"/>
              <w:spacing w:line="440" w:lineRule="exact"/>
              <w:jc w:val="center"/>
              <w:rPr>
                <w:rFonts w:hint="eastAsia" w:ascii="仿宋" w:hAnsi="仿宋" w:eastAsia="仿宋" w:cs="仿宋"/>
                <w:highlight w:val="none"/>
              </w:rPr>
            </w:pPr>
          </w:p>
        </w:tc>
        <w:tc>
          <w:tcPr>
            <w:tcW w:w="1167" w:type="dxa"/>
            <w:vAlign w:val="center"/>
          </w:tcPr>
          <w:p w14:paraId="47D60F82">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证书名称</w:t>
            </w:r>
          </w:p>
        </w:tc>
        <w:tc>
          <w:tcPr>
            <w:tcW w:w="729" w:type="dxa"/>
            <w:vAlign w:val="center"/>
          </w:tcPr>
          <w:p w14:paraId="26D01F1F">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级别</w:t>
            </w:r>
          </w:p>
        </w:tc>
        <w:tc>
          <w:tcPr>
            <w:tcW w:w="899" w:type="dxa"/>
            <w:vAlign w:val="center"/>
          </w:tcPr>
          <w:p w14:paraId="6FD2D81A">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证号</w:t>
            </w:r>
          </w:p>
        </w:tc>
        <w:tc>
          <w:tcPr>
            <w:tcW w:w="1167" w:type="dxa"/>
            <w:vAlign w:val="center"/>
          </w:tcPr>
          <w:p w14:paraId="0D1E0908">
            <w:pPr>
              <w:pStyle w:val="91"/>
              <w:spacing w:line="440" w:lineRule="exact"/>
              <w:jc w:val="center"/>
              <w:rPr>
                <w:rFonts w:hint="eastAsia" w:ascii="仿宋" w:hAnsi="仿宋" w:eastAsia="仿宋" w:cs="仿宋"/>
                <w:highlight w:val="none"/>
              </w:rPr>
            </w:pPr>
          </w:p>
        </w:tc>
      </w:tr>
      <w:tr w14:paraId="0621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Align w:val="center"/>
          </w:tcPr>
          <w:p w14:paraId="0EE0AD86">
            <w:pPr>
              <w:pStyle w:val="91"/>
              <w:spacing w:line="440" w:lineRule="exact"/>
              <w:jc w:val="center"/>
              <w:rPr>
                <w:rFonts w:hint="eastAsia" w:ascii="仿宋" w:hAnsi="仿宋" w:eastAsia="仿宋" w:cs="仿宋"/>
                <w:highlight w:val="none"/>
              </w:rPr>
            </w:pPr>
          </w:p>
        </w:tc>
        <w:tc>
          <w:tcPr>
            <w:tcW w:w="1312" w:type="dxa"/>
          </w:tcPr>
          <w:p w14:paraId="365DEF05">
            <w:pPr>
              <w:pStyle w:val="91"/>
              <w:spacing w:line="440" w:lineRule="exact"/>
              <w:jc w:val="center"/>
              <w:rPr>
                <w:rFonts w:hint="eastAsia" w:ascii="仿宋" w:hAnsi="仿宋" w:eastAsia="仿宋" w:cs="仿宋"/>
                <w:highlight w:val="none"/>
              </w:rPr>
            </w:pPr>
          </w:p>
        </w:tc>
        <w:tc>
          <w:tcPr>
            <w:tcW w:w="1021" w:type="dxa"/>
            <w:vAlign w:val="center"/>
          </w:tcPr>
          <w:p w14:paraId="5D2DD43D">
            <w:pPr>
              <w:pStyle w:val="91"/>
              <w:spacing w:line="440" w:lineRule="exact"/>
              <w:jc w:val="center"/>
              <w:rPr>
                <w:rFonts w:hint="eastAsia" w:ascii="仿宋" w:hAnsi="仿宋" w:eastAsia="仿宋" w:cs="仿宋"/>
                <w:highlight w:val="none"/>
              </w:rPr>
            </w:pPr>
          </w:p>
        </w:tc>
        <w:tc>
          <w:tcPr>
            <w:tcW w:w="620" w:type="dxa"/>
            <w:vAlign w:val="center"/>
          </w:tcPr>
          <w:p w14:paraId="0C723373">
            <w:pPr>
              <w:pStyle w:val="91"/>
              <w:spacing w:line="440" w:lineRule="exact"/>
              <w:jc w:val="center"/>
              <w:rPr>
                <w:rFonts w:hint="eastAsia" w:ascii="仿宋" w:hAnsi="仿宋" w:eastAsia="仿宋" w:cs="仿宋"/>
                <w:highlight w:val="none"/>
              </w:rPr>
            </w:pPr>
          </w:p>
        </w:tc>
        <w:tc>
          <w:tcPr>
            <w:tcW w:w="501" w:type="dxa"/>
            <w:vAlign w:val="center"/>
          </w:tcPr>
          <w:p w14:paraId="5B34E51E">
            <w:pPr>
              <w:pStyle w:val="91"/>
              <w:spacing w:line="440" w:lineRule="exact"/>
              <w:jc w:val="center"/>
              <w:rPr>
                <w:rFonts w:hint="eastAsia" w:ascii="仿宋" w:hAnsi="仿宋" w:eastAsia="仿宋" w:cs="仿宋"/>
                <w:highlight w:val="none"/>
              </w:rPr>
            </w:pPr>
          </w:p>
        </w:tc>
        <w:tc>
          <w:tcPr>
            <w:tcW w:w="1167" w:type="dxa"/>
            <w:vAlign w:val="center"/>
          </w:tcPr>
          <w:p w14:paraId="63A30B25">
            <w:pPr>
              <w:pStyle w:val="91"/>
              <w:spacing w:line="440" w:lineRule="exact"/>
              <w:jc w:val="center"/>
              <w:rPr>
                <w:rFonts w:hint="eastAsia" w:ascii="仿宋" w:hAnsi="仿宋" w:eastAsia="仿宋" w:cs="仿宋"/>
                <w:highlight w:val="none"/>
              </w:rPr>
            </w:pPr>
          </w:p>
        </w:tc>
        <w:tc>
          <w:tcPr>
            <w:tcW w:w="729" w:type="dxa"/>
            <w:vAlign w:val="center"/>
          </w:tcPr>
          <w:p w14:paraId="496909F3">
            <w:pPr>
              <w:pStyle w:val="91"/>
              <w:spacing w:line="440" w:lineRule="exact"/>
              <w:jc w:val="center"/>
              <w:rPr>
                <w:rFonts w:hint="eastAsia" w:ascii="仿宋" w:hAnsi="仿宋" w:eastAsia="仿宋" w:cs="仿宋"/>
                <w:highlight w:val="none"/>
              </w:rPr>
            </w:pPr>
          </w:p>
        </w:tc>
        <w:tc>
          <w:tcPr>
            <w:tcW w:w="899" w:type="dxa"/>
            <w:vAlign w:val="center"/>
          </w:tcPr>
          <w:p w14:paraId="165A16CE">
            <w:pPr>
              <w:pStyle w:val="91"/>
              <w:spacing w:line="440" w:lineRule="exact"/>
              <w:jc w:val="center"/>
              <w:rPr>
                <w:rFonts w:hint="eastAsia" w:ascii="仿宋" w:hAnsi="仿宋" w:eastAsia="仿宋" w:cs="仿宋"/>
                <w:highlight w:val="none"/>
              </w:rPr>
            </w:pPr>
          </w:p>
        </w:tc>
        <w:tc>
          <w:tcPr>
            <w:tcW w:w="1167" w:type="dxa"/>
            <w:vAlign w:val="center"/>
          </w:tcPr>
          <w:p w14:paraId="60E1D823">
            <w:pPr>
              <w:pStyle w:val="91"/>
              <w:spacing w:line="440" w:lineRule="exact"/>
              <w:jc w:val="center"/>
              <w:rPr>
                <w:rFonts w:hint="eastAsia" w:ascii="仿宋" w:hAnsi="仿宋" w:eastAsia="仿宋" w:cs="仿宋"/>
                <w:highlight w:val="none"/>
              </w:rPr>
            </w:pPr>
          </w:p>
        </w:tc>
      </w:tr>
      <w:tr w14:paraId="7F94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6DC7D02">
            <w:pPr>
              <w:pStyle w:val="91"/>
              <w:spacing w:line="440" w:lineRule="exact"/>
              <w:jc w:val="center"/>
              <w:rPr>
                <w:rFonts w:hint="eastAsia" w:ascii="仿宋" w:hAnsi="仿宋" w:eastAsia="仿宋" w:cs="仿宋"/>
                <w:highlight w:val="none"/>
              </w:rPr>
            </w:pPr>
          </w:p>
        </w:tc>
        <w:tc>
          <w:tcPr>
            <w:tcW w:w="1312" w:type="dxa"/>
          </w:tcPr>
          <w:p w14:paraId="6EC0D9BC">
            <w:pPr>
              <w:pStyle w:val="91"/>
              <w:spacing w:line="440" w:lineRule="exact"/>
              <w:jc w:val="center"/>
              <w:rPr>
                <w:rFonts w:hint="eastAsia" w:ascii="仿宋" w:hAnsi="仿宋" w:eastAsia="仿宋" w:cs="仿宋"/>
                <w:highlight w:val="none"/>
              </w:rPr>
            </w:pPr>
          </w:p>
        </w:tc>
        <w:tc>
          <w:tcPr>
            <w:tcW w:w="1021" w:type="dxa"/>
          </w:tcPr>
          <w:p w14:paraId="61027239">
            <w:pPr>
              <w:pStyle w:val="91"/>
              <w:spacing w:line="440" w:lineRule="exact"/>
              <w:jc w:val="center"/>
              <w:rPr>
                <w:rFonts w:hint="eastAsia" w:ascii="仿宋" w:hAnsi="仿宋" w:eastAsia="仿宋" w:cs="仿宋"/>
                <w:highlight w:val="none"/>
              </w:rPr>
            </w:pPr>
          </w:p>
        </w:tc>
        <w:tc>
          <w:tcPr>
            <w:tcW w:w="620" w:type="dxa"/>
          </w:tcPr>
          <w:p w14:paraId="78C400B3">
            <w:pPr>
              <w:pStyle w:val="91"/>
              <w:spacing w:line="440" w:lineRule="exact"/>
              <w:jc w:val="center"/>
              <w:rPr>
                <w:rFonts w:hint="eastAsia" w:ascii="仿宋" w:hAnsi="仿宋" w:eastAsia="仿宋" w:cs="仿宋"/>
                <w:highlight w:val="none"/>
              </w:rPr>
            </w:pPr>
          </w:p>
        </w:tc>
        <w:tc>
          <w:tcPr>
            <w:tcW w:w="501" w:type="dxa"/>
          </w:tcPr>
          <w:p w14:paraId="3422F14B">
            <w:pPr>
              <w:pStyle w:val="91"/>
              <w:spacing w:line="440" w:lineRule="exact"/>
              <w:jc w:val="center"/>
              <w:rPr>
                <w:rFonts w:hint="eastAsia" w:ascii="仿宋" w:hAnsi="仿宋" w:eastAsia="仿宋" w:cs="仿宋"/>
                <w:highlight w:val="none"/>
              </w:rPr>
            </w:pPr>
          </w:p>
        </w:tc>
        <w:tc>
          <w:tcPr>
            <w:tcW w:w="1167" w:type="dxa"/>
          </w:tcPr>
          <w:p w14:paraId="50A0C277">
            <w:pPr>
              <w:pStyle w:val="91"/>
              <w:spacing w:line="440" w:lineRule="exact"/>
              <w:jc w:val="center"/>
              <w:rPr>
                <w:rFonts w:hint="eastAsia" w:ascii="仿宋" w:hAnsi="仿宋" w:eastAsia="仿宋" w:cs="仿宋"/>
                <w:highlight w:val="none"/>
              </w:rPr>
            </w:pPr>
          </w:p>
        </w:tc>
        <w:tc>
          <w:tcPr>
            <w:tcW w:w="729" w:type="dxa"/>
          </w:tcPr>
          <w:p w14:paraId="61E674E3">
            <w:pPr>
              <w:pStyle w:val="91"/>
              <w:spacing w:line="440" w:lineRule="exact"/>
              <w:jc w:val="center"/>
              <w:rPr>
                <w:rFonts w:hint="eastAsia" w:ascii="仿宋" w:hAnsi="仿宋" w:eastAsia="仿宋" w:cs="仿宋"/>
                <w:highlight w:val="none"/>
              </w:rPr>
            </w:pPr>
          </w:p>
        </w:tc>
        <w:tc>
          <w:tcPr>
            <w:tcW w:w="899" w:type="dxa"/>
          </w:tcPr>
          <w:p w14:paraId="760F84FE">
            <w:pPr>
              <w:pStyle w:val="91"/>
              <w:spacing w:line="440" w:lineRule="exact"/>
              <w:jc w:val="center"/>
              <w:rPr>
                <w:rFonts w:hint="eastAsia" w:ascii="仿宋" w:hAnsi="仿宋" w:eastAsia="仿宋" w:cs="仿宋"/>
                <w:highlight w:val="none"/>
              </w:rPr>
            </w:pPr>
          </w:p>
        </w:tc>
        <w:tc>
          <w:tcPr>
            <w:tcW w:w="1167" w:type="dxa"/>
          </w:tcPr>
          <w:p w14:paraId="7BCE22B5">
            <w:pPr>
              <w:pStyle w:val="91"/>
              <w:spacing w:line="440" w:lineRule="exact"/>
              <w:jc w:val="center"/>
              <w:rPr>
                <w:rFonts w:hint="eastAsia" w:ascii="仿宋" w:hAnsi="仿宋" w:eastAsia="仿宋" w:cs="仿宋"/>
                <w:highlight w:val="none"/>
              </w:rPr>
            </w:pPr>
          </w:p>
        </w:tc>
      </w:tr>
      <w:tr w14:paraId="7BE7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4A5CAD5E">
            <w:pPr>
              <w:pStyle w:val="91"/>
              <w:spacing w:line="440" w:lineRule="exact"/>
              <w:jc w:val="center"/>
              <w:rPr>
                <w:rFonts w:hint="eastAsia" w:ascii="仿宋" w:hAnsi="仿宋" w:eastAsia="仿宋" w:cs="仿宋"/>
                <w:highlight w:val="none"/>
              </w:rPr>
            </w:pPr>
          </w:p>
        </w:tc>
        <w:tc>
          <w:tcPr>
            <w:tcW w:w="1312" w:type="dxa"/>
          </w:tcPr>
          <w:p w14:paraId="6D15CF90">
            <w:pPr>
              <w:pStyle w:val="91"/>
              <w:spacing w:line="440" w:lineRule="exact"/>
              <w:jc w:val="center"/>
              <w:rPr>
                <w:rFonts w:hint="eastAsia" w:ascii="仿宋" w:hAnsi="仿宋" w:eastAsia="仿宋" w:cs="仿宋"/>
                <w:highlight w:val="none"/>
              </w:rPr>
            </w:pPr>
          </w:p>
        </w:tc>
        <w:tc>
          <w:tcPr>
            <w:tcW w:w="1021" w:type="dxa"/>
          </w:tcPr>
          <w:p w14:paraId="5E29E3C7">
            <w:pPr>
              <w:pStyle w:val="91"/>
              <w:spacing w:line="440" w:lineRule="exact"/>
              <w:jc w:val="center"/>
              <w:rPr>
                <w:rFonts w:hint="eastAsia" w:ascii="仿宋" w:hAnsi="仿宋" w:eastAsia="仿宋" w:cs="仿宋"/>
                <w:highlight w:val="none"/>
              </w:rPr>
            </w:pPr>
          </w:p>
        </w:tc>
        <w:tc>
          <w:tcPr>
            <w:tcW w:w="620" w:type="dxa"/>
          </w:tcPr>
          <w:p w14:paraId="6D4B1BB6">
            <w:pPr>
              <w:pStyle w:val="91"/>
              <w:spacing w:line="440" w:lineRule="exact"/>
              <w:jc w:val="center"/>
              <w:rPr>
                <w:rFonts w:hint="eastAsia" w:ascii="仿宋" w:hAnsi="仿宋" w:eastAsia="仿宋" w:cs="仿宋"/>
                <w:highlight w:val="none"/>
              </w:rPr>
            </w:pPr>
          </w:p>
        </w:tc>
        <w:tc>
          <w:tcPr>
            <w:tcW w:w="501" w:type="dxa"/>
          </w:tcPr>
          <w:p w14:paraId="6A824536">
            <w:pPr>
              <w:pStyle w:val="91"/>
              <w:spacing w:line="440" w:lineRule="exact"/>
              <w:jc w:val="center"/>
              <w:rPr>
                <w:rFonts w:hint="eastAsia" w:ascii="仿宋" w:hAnsi="仿宋" w:eastAsia="仿宋" w:cs="仿宋"/>
                <w:highlight w:val="none"/>
              </w:rPr>
            </w:pPr>
          </w:p>
        </w:tc>
        <w:tc>
          <w:tcPr>
            <w:tcW w:w="1167" w:type="dxa"/>
          </w:tcPr>
          <w:p w14:paraId="6CEDEBE7">
            <w:pPr>
              <w:pStyle w:val="91"/>
              <w:spacing w:line="440" w:lineRule="exact"/>
              <w:jc w:val="center"/>
              <w:rPr>
                <w:rFonts w:hint="eastAsia" w:ascii="仿宋" w:hAnsi="仿宋" w:eastAsia="仿宋" w:cs="仿宋"/>
                <w:highlight w:val="none"/>
              </w:rPr>
            </w:pPr>
          </w:p>
        </w:tc>
        <w:tc>
          <w:tcPr>
            <w:tcW w:w="729" w:type="dxa"/>
          </w:tcPr>
          <w:p w14:paraId="619DF609">
            <w:pPr>
              <w:pStyle w:val="91"/>
              <w:spacing w:line="440" w:lineRule="exact"/>
              <w:jc w:val="center"/>
              <w:rPr>
                <w:rFonts w:hint="eastAsia" w:ascii="仿宋" w:hAnsi="仿宋" w:eastAsia="仿宋" w:cs="仿宋"/>
                <w:highlight w:val="none"/>
              </w:rPr>
            </w:pPr>
          </w:p>
        </w:tc>
        <w:tc>
          <w:tcPr>
            <w:tcW w:w="899" w:type="dxa"/>
          </w:tcPr>
          <w:p w14:paraId="017B476C">
            <w:pPr>
              <w:pStyle w:val="91"/>
              <w:spacing w:line="440" w:lineRule="exact"/>
              <w:jc w:val="center"/>
              <w:rPr>
                <w:rFonts w:hint="eastAsia" w:ascii="仿宋" w:hAnsi="仿宋" w:eastAsia="仿宋" w:cs="仿宋"/>
                <w:highlight w:val="none"/>
              </w:rPr>
            </w:pPr>
          </w:p>
        </w:tc>
        <w:tc>
          <w:tcPr>
            <w:tcW w:w="1167" w:type="dxa"/>
          </w:tcPr>
          <w:p w14:paraId="160CFE41">
            <w:pPr>
              <w:pStyle w:val="91"/>
              <w:spacing w:line="440" w:lineRule="exact"/>
              <w:jc w:val="center"/>
              <w:rPr>
                <w:rFonts w:hint="eastAsia" w:ascii="仿宋" w:hAnsi="仿宋" w:eastAsia="仿宋" w:cs="仿宋"/>
                <w:highlight w:val="none"/>
              </w:rPr>
            </w:pPr>
          </w:p>
        </w:tc>
      </w:tr>
      <w:tr w14:paraId="3C9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FB7CFE6">
            <w:pPr>
              <w:pStyle w:val="91"/>
              <w:spacing w:line="440" w:lineRule="exact"/>
              <w:jc w:val="center"/>
              <w:rPr>
                <w:rFonts w:hint="eastAsia" w:ascii="仿宋" w:hAnsi="仿宋" w:eastAsia="仿宋" w:cs="仿宋"/>
                <w:highlight w:val="none"/>
              </w:rPr>
            </w:pPr>
          </w:p>
        </w:tc>
        <w:tc>
          <w:tcPr>
            <w:tcW w:w="1312" w:type="dxa"/>
          </w:tcPr>
          <w:p w14:paraId="6350460B">
            <w:pPr>
              <w:pStyle w:val="91"/>
              <w:spacing w:line="440" w:lineRule="exact"/>
              <w:jc w:val="center"/>
              <w:rPr>
                <w:rFonts w:hint="eastAsia" w:ascii="仿宋" w:hAnsi="仿宋" w:eastAsia="仿宋" w:cs="仿宋"/>
                <w:highlight w:val="none"/>
              </w:rPr>
            </w:pPr>
          </w:p>
        </w:tc>
        <w:tc>
          <w:tcPr>
            <w:tcW w:w="1021" w:type="dxa"/>
          </w:tcPr>
          <w:p w14:paraId="2CFBC4A2">
            <w:pPr>
              <w:pStyle w:val="91"/>
              <w:spacing w:line="440" w:lineRule="exact"/>
              <w:jc w:val="center"/>
              <w:rPr>
                <w:rFonts w:hint="eastAsia" w:ascii="仿宋" w:hAnsi="仿宋" w:eastAsia="仿宋" w:cs="仿宋"/>
                <w:highlight w:val="none"/>
              </w:rPr>
            </w:pPr>
          </w:p>
        </w:tc>
        <w:tc>
          <w:tcPr>
            <w:tcW w:w="620" w:type="dxa"/>
          </w:tcPr>
          <w:p w14:paraId="4081DBCF">
            <w:pPr>
              <w:pStyle w:val="91"/>
              <w:spacing w:line="440" w:lineRule="exact"/>
              <w:jc w:val="center"/>
              <w:rPr>
                <w:rFonts w:hint="eastAsia" w:ascii="仿宋" w:hAnsi="仿宋" w:eastAsia="仿宋" w:cs="仿宋"/>
                <w:highlight w:val="none"/>
              </w:rPr>
            </w:pPr>
          </w:p>
        </w:tc>
        <w:tc>
          <w:tcPr>
            <w:tcW w:w="501" w:type="dxa"/>
          </w:tcPr>
          <w:p w14:paraId="694AEECD">
            <w:pPr>
              <w:pStyle w:val="91"/>
              <w:spacing w:line="440" w:lineRule="exact"/>
              <w:jc w:val="center"/>
              <w:rPr>
                <w:rFonts w:hint="eastAsia" w:ascii="仿宋" w:hAnsi="仿宋" w:eastAsia="仿宋" w:cs="仿宋"/>
                <w:highlight w:val="none"/>
              </w:rPr>
            </w:pPr>
          </w:p>
        </w:tc>
        <w:tc>
          <w:tcPr>
            <w:tcW w:w="1167" w:type="dxa"/>
          </w:tcPr>
          <w:p w14:paraId="3B3A98D4">
            <w:pPr>
              <w:pStyle w:val="91"/>
              <w:spacing w:line="440" w:lineRule="exact"/>
              <w:jc w:val="center"/>
              <w:rPr>
                <w:rFonts w:hint="eastAsia" w:ascii="仿宋" w:hAnsi="仿宋" w:eastAsia="仿宋" w:cs="仿宋"/>
                <w:highlight w:val="none"/>
              </w:rPr>
            </w:pPr>
          </w:p>
        </w:tc>
        <w:tc>
          <w:tcPr>
            <w:tcW w:w="729" w:type="dxa"/>
          </w:tcPr>
          <w:p w14:paraId="5442E984">
            <w:pPr>
              <w:pStyle w:val="91"/>
              <w:spacing w:line="440" w:lineRule="exact"/>
              <w:jc w:val="center"/>
              <w:rPr>
                <w:rFonts w:hint="eastAsia" w:ascii="仿宋" w:hAnsi="仿宋" w:eastAsia="仿宋" w:cs="仿宋"/>
                <w:highlight w:val="none"/>
              </w:rPr>
            </w:pPr>
          </w:p>
        </w:tc>
        <w:tc>
          <w:tcPr>
            <w:tcW w:w="899" w:type="dxa"/>
          </w:tcPr>
          <w:p w14:paraId="26F39EA2">
            <w:pPr>
              <w:pStyle w:val="91"/>
              <w:spacing w:line="440" w:lineRule="exact"/>
              <w:jc w:val="center"/>
              <w:rPr>
                <w:rFonts w:hint="eastAsia" w:ascii="仿宋" w:hAnsi="仿宋" w:eastAsia="仿宋" w:cs="仿宋"/>
                <w:highlight w:val="none"/>
              </w:rPr>
            </w:pPr>
          </w:p>
        </w:tc>
        <w:tc>
          <w:tcPr>
            <w:tcW w:w="1167" w:type="dxa"/>
          </w:tcPr>
          <w:p w14:paraId="35208617">
            <w:pPr>
              <w:pStyle w:val="91"/>
              <w:spacing w:line="440" w:lineRule="exact"/>
              <w:jc w:val="center"/>
              <w:rPr>
                <w:rFonts w:hint="eastAsia" w:ascii="仿宋" w:hAnsi="仿宋" w:eastAsia="仿宋" w:cs="仿宋"/>
                <w:highlight w:val="none"/>
              </w:rPr>
            </w:pPr>
          </w:p>
        </w:tc>
      </w:tr>
      <w:tr w14:paraId="3DD5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29D9C98F">
            <w:pPr>
              <w:pStyle w:val="91"/>
              <w:spacing w:line="440" w:lineRule="exact"/>
              <w:jc w:val="center"/>
              <w:rPr>
                <w:rFonts w:hint="eastAsia" w:ascii="仿宋" w:hAnsi="仿宋" w:eastAsia="仿宋" w:cs="仿宋"/>
                <w:highlight w:val="none"/>
              </w:rPr>
            </w:pPr>
          </w:p>
        </w:tc>
        <w:tc>
          <w:tcPr>
            <w:tcW w:w="1312" w:type="dxa"/>
          </w:tcPr>
          <w:p w14:paraId="7C74A28D">
            <w:pPr>
              <w:pStyle w:val="91"/>
              <w:spacing w:line="440" w:lineRule="exact"/>
              <w:jc w:val="center"/>
              <w:rPr>
                <w:rFonts w:hint="eastAsia" w:ascii="仿宋" w:hAnsi="仿宋" w:eastAsia="仿宋" w:cs="仿宋"/>
                <w:highlight w:val="none"/>
              </w:rPr>
            </w:pPr>
          </w:p>
        </w:tc>
        <w:tc>
          <w:tcPr>
            <w:tcW w:w="1021" w:type="dxa"/>
          </w:tcPr>
          <w:p w14:paraId="45BD87A4">
            <w:pPr>
              <w:pStyle w:val="91"/>
              <w:spacing w:line="440" w:lineRule="exact"/>
              <w:jc w:val="center"/>
              <w:rPr>
                <w:rFonts w:hint="eastAsia" w:ascii="仿宋" w:hAnsi="仿宋" w:eastAsia="仿宋" w:cs="仿宋"/>
                <w:highlight w:val="none"/>
              </w:rPr>
            </w:pPr>
          </w:p>
        </w:tc>
        <w:tc>
          <w:tcPr>
            <w:tcW w:w="620" w:type="dxa"/>
          </w:tcPr>
          <w:p w14:paraId="76C8DA47">
            <w:pPr>
              <w:pStyle w:val="91"/>
              <w:spacing w:line="440" w:lineRule="exact"/>
              <w:jc w:val="center"/>
              <w:rPr>
                <w:rFonts w:hint="eastAsia" w:ascii="仿宋" w:hAnsi="仿宋" w:eastAsia="仿宋" w:cs="仿宋"/>
                <w:highlight w:val="none"/>
              </w:rPr>
            </w:pPr>
          </w:p>
        </w:tc>
        <w:tc>
          <w:tcPr>
            <w:tcW w:w="501" w:type="dxa"/>
          </w:tcPr>
          <w:p w14:paraId="661ABDB5">
            <w:pPr>
              <w:pStyle w:val="91"/>
              <w:spacing w:line="440" w:lineRule="exact"/>
              <w:jc w:val="center"/>
              <w:rPr>
                <w:rFonts w:hint="eastAsia" w:ascii="仿宋" w:hAnsi="仿宋" w:eastAsia="仿宋" w:cs="仿宋"/>
                <w:highlight w:val="none"/>
              </w:rPr>
            </w:pPr>
          </w:p>
        </w:tc>
        <w:tc>
          <w:tcPr>
            <w:tcW w:w="1167" w:type="dxa"/>
          </w:tcPr>
          <w:p w14:paraId="64AD1DC1">
            <w:pPr>
              <w:pStyle w:val="91"/>
              <w:spacing w:line="440" w:lineRule="exact"/>
              <w:jc w:val="center"/>
              <w:rPr>
                <w:rFonts w:hint="eastAsia" w:ascii="仿宋" w:hAnsi="仿宋" w:eastAsia="仿宋" w:cs="仿宋"/>
                <w:highlight w:val="none"/>
              </w:rPr>
            </w:pPr>
          </w:p>
        </w:tc>
        <w:tc>
          <w:tcPr>
            <w:tcW w:w="729" w:type="dxa"/>
          </w:tcPr>
          <w:p w14:paraId="7C0B4163">
            <w:pPr>
              <w:pStyle w:val="91"/>
              <w:spacing w:line="440" w:lineRule="exact"/>
              <w:jc w:val="center"/>
              <w:rPr>
                <w:rFonts w:hint="eastAsia" w:ascii="仿宋" w:hAnsi="仿宋" w:eastAsia="仿宋" w:cs="仿宋"/>
                <w:highlight w:val="none"/>
              </w:rPr>
            </w:pPr>
          </w:p>
        </w:tc>
        <w:tc>
          <w:tcPr>
            <w:tcW w:w="899" w:type="dxa"/>
          </w:tcPr>
          <w:p w14:paraId="765D7E8D">
            <w:pPr>
              <w:pStyle w:val="91"/>
              <w:spacing w:line="440" w:lineRule="exact"/>
              <w:jc w:val="center"/>
              <w:rPr>
                <w:rFonts w:hint="eastAsia" w:ascii="仿宋" w:hAnsi="仿宋" w:eastAsia="仿宋" w:cs="仿宋"/>
                <w:highlight w:val="none"/>
              </w:rPr>
            </w:pPr>
          </w:p>
        </w:tc>
        <w:tc>
          <w:tcPr>
            <w:tcW w:w="1167" w:type="dxa"/>
          </w:tcPr>
          <w:p w14:paraId="4CB79405">
            <w:pPr>
              <w:pStyle w:val="91"/>
              <w:spacing w:line="440" w:lineRule="exact"/>
              <w:jc w:val="center"/>
              <w:rPr>
                <w:rFonts w:hint="eastAsia" w:ascii="仿宋" w:hAnsi="仿宋" w:eastAsia="仿宋" w:cs="仿宋"/>
                <w:highlight w:val="none"/>
              </w:rPr>
            </w:pPr>
          </w:p>
        </w:tc>
      </w:tr>
      <w:tr w14:paraId="1EEF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3D40FE67">
            <w:pPr>
              <w:pStyle w:val="91"/>
              <w:spacing w:line="440" w:lineRule="exact"/>
              <w:jc w:val="center"/>
              <w:rPr>
                <w:rFonts w:hint="eastAsia" w:ascii="仿宋" w:hAnsi="仿宋" w:eastAsia="仿宋" w:cs="仿宋"/>
                <w:highlight w:val="none"/>
              </w:rPr>
            </w:pPr>
          </w:p>
        </w:tc>
        <w:tc>
          <w:tcPr>
            <w:tcW w:w="1312" w:type="dxa"/>
          </w:tcPr>
          <w:p w14:paraId="3B4CD8F5">
            <w:pPr>
              <w:pStyle w:val="91"/>
              <w:spacing w:line="440" w:lineRule="exact"/>
              <w:jc w:val="center"/>
              <w:rPr>
                <w:rFonts w:hint="eastAsia" w:ascii="仿宋" w:hAnsi="仿宋" w:eastAsia="仿宋" w:cs="仿宋"/>
                <w:highlight w:val="none"/>
              </w:rPr>
            </w:pPr>
          </w:p>
        </w:tc>
        <w:tc>
          <w:tcPr>
            <w:tcW w:w="1021" w:type="dxa"/>
          </w:tcPr>
          <w:p w14:paraId="7A450547">
            <w:pPr>
              <w:pStyle w:val="91"/>
              <w:spacing w:line="440" w:lineRule="exact"/>
              <w:jc w:val="center"/>
              <w:rPr>
                <w:rFonts w:hint="eastAsia" w:ascii="仿宋" w:hAnsi="仿宋" w:eastAsia="仿宋" w:cs="仿宋"/>
                <w:highlight w:val="none"/>
              </w:rPr>
            </w:pPr>
          </w:p>
        </w:tc>
        <w:tc>
          <w:tcPr>
            <w:tcW w:w="620" w:type="dxa"/>
          </w:tcPr>
          <w:p w14:paraId="0D942925">
            <w:pPr>
              <w:pStyle w:val="91"/>
              <w:spacing w:line="440" w:lineRule="exact"/>
              <w:jc w:val="center"/>
              <w:rPr>
                <w:rFonts w:hint="eastAsia" w:ascii="仿宋" w:hAnsi="仿宋" w:eastAsia="仿宋" w:cs="仿宋"/>
                <w:highlight w:val="none"/>
              </w:rPr>
            </w:pPr>
          </w:p>
        </w:tc>
        <w:tc>
          <w:tcPr>
            <w:tcW w:w="501" w:type="dxa"/>
          </w:tcPr>
          <w:p w14:paraId="0A33A402">
            <w:pPr>
              <w:pStyle w:val="91"/>
              <w:spacing w:line="440" w:lineRule="exact"/>
              <w:jc w:val="center"/>
              <w:rPr>
                <w:rFonts w:hint="eastAsia" w:ascii="仿宋" w:hAnsi="仿宋" w:eastAsia="仿宋" w:cs="仿宋"/>
                <w:highlight w:val="none"/>
              </w:rPr>
            </w:pPr>
          </w:p>
        </w:tc>
        <w:tc>
          <w:tcPr>
            <w:tcW w:w="1167" w:type="dxa"/>
          </w:tcPr>
          <w:p w14:paraId="11C396FC">
            <w:pPr>
              <w:pStyle w:val="91"/>
              <w:spacing w:line="440" w:lineRule="exact"/>
              <w:jc w:val="center"/>
              <w:rPr>
                <w:rFonts w:hint="eastAsia" w:ascii="仿宋" w:hAnsi="仿宋" w:eastAsia="仿宋" w:cs="仿宋"/>
                <w:highlight w:val="none"/>
              </w:rPr>
            </w:pPr>
          </w:p>
        </w:tc>
        <w:tc>
          <w:tcPr>
            <w:tcW w:w="729" w:type="dxa"/>
          </w:tcPr>
          <w:p w14:paraId="7A156F8F">
            <w:pPr>
              <w:pStyle w:val="91"/>
              <w:spacing w:line="440" w:lineRule="exact"/>
              <w:jc w:val="center"/>
              <w:rPr>
                <w:rFonts w:hint="eastAsia" w:ascii="仿宋" w:hAnsi="仿宋" w:eastAsia="仿宋" w:cs="仿宋"/>
                <w:highlight w:val="none"/>
              </w:rPr>
            </w:pPr>
          </w:p>
        </w:tc>
        <w:tc>
          <w:tcPr>
            <w:tcW w:w="899" w:type="dxa"/>
          </w:tcPr>
          <w:p w14:paraId="2A648224">
            <w:pPr>
              <w:pStyle w:val="91"/>
              <w:spacing w:line="440" w:lineRule="exact"/>
              <w:jc w:val="center"/>
              <w:rPr>
                <w:rFonts w:hint="eastAsia" w:ascii="仿宋" w:hAnsi="仿宋" w:eastAsia="仿宋" w:cs="仿宋"/>
                <w:highlight w:val="none"/>
              </w:rPr>
            </w:pPr>
          </w:p>
        </w:tc>
        <w:tc>
          <w:tcPr>
            <w:tcW w:w="1167" w:type="dxa"/>
          </w:tcPr>
          <w:p w14:paraId="47D0232D">
            <w:pPr>
              <w:pStyle w:val="91"/>
              <w:spacing w:line="440" w:lineRule="exact"/>
              <w:jc w:val="center"/>
              <w:rPr>
                <w:rFonts w:hint="eastAsia" w:ascii="仿宋" w:hAnsi="仿宋" w:eastAsia="仿宋" w:cs="仿宋"/>
                <w:highlight w:val="none"/>
              </w:rPr>
            </w:pPr>
          </w:p>
        </w:tc>
      </w:tr>
      <w:tr w14:paraId="1B35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7AEBF6F">
            <w:pPr>
              <w:pStyle w:val="91"/>
              <w:spacing w:line="440" w:lineRule="exact"/>
              <w:jc w:val="center"/>
              <w:rPr>
                <w:rFonts w:hint="eastAsia" w:ascii="仿宋" w:hAnsi="仿宋" w:eastAsia="仿宋" w:cs="仿宋"/>
                <w:highlight w:val="none"/>
              </w:rPr>
            </w:pPr>
          </w:p>
        </w:tc>
        <w:tc>
          <w:tcPr>
            <w:tcW w:w="1312" w:type="dxa"/>
          </w:tcPr>
          <w:p w14:paraId="258F2A07">
            <w:pPr>
              <w:pStyle w:val="91"/>
              <w:spacing w:line="440" w:lineRule="exact"/>
              <w:jc w:val="center"/>
              <w:rPr>
                <w:rFonts w:hint="eastAsia" w:ascii="仿宋" w:hAnsi="仿宋" w:eastAsia="仿宋" w:cs="仿宋"/>
                <w:highlight w:val="none"/>
              </w:rPr>
            </w:pPr>
          </w:p>
        </w:tc>
        <w:tc>
          <w:tcPr>
            <w:tcW w:w="1021" w:type="dxa"/>
          </w:tcPr>
          <w:p w14:paraId="2A356D36">
            <w:pPr>
              <w:pStyle w:val="91"/>
              <w:spacing w:line="440" w:lineRule="exact"/>
              <w:jc w:val="center"/>
              <w:rPr>
                <w:rFonts w:hint="eastAsia" w:ascii="仿宋" w:hAnsi="仿宋" w:eastAsia="仿宋" w:cs="仿宋"/>
                <w:highlight w:val="none"/>
              </w:rPr>
            </w:pPr>
          </w:p>
        </w:tc>
        <w:tc>
          <w:tcPr>
            <w:tcW w:w="620" w:type="dxa"/>
          </w:tcPr>
          <w:p w14:paraId="24BFF18D">
            <w:pPr>
              <w:pStyle w:val="91"/>
              <w:spacing w:line="440" w:lineRule="exact"/>
              <w:jc w:val="center"/>
              <w:rPr>
                <w:rFonts w:hint="eastAsia" w:ascii="仿宋" w:hAnsi="仿宋" w:eastAsia="仿宋" w:cs="仿宋"/>
                <w:highlight w:val="none"/>
              </w:rPr>
            </w:pPr>
          </w:p>
        </w:tc>
        <w:tc>
          <w:tcPr>
            <w:tcW w:w="501" w:type="dxa"/>
          </w:tcPr>
          <w:p w14:paraId="763F2348">
            <w:pPr>
              <w:pStyle w:val="91"/>
              <w:spacing w:line="440" w:lineRule="exact"/>
              <w:jc w:val="center"/>
              <w:rPr>
                <w:rFonts w:hint="eastAsia" w:ascii="仿宋" w:hAnsi="仿宋" w:eastAsia="仿宋" w:cs="仿宋"/>
                <w:highlight w:val="none"/>
              </w:rPr>
            </w:pPr>
          </w:p>
        </w:tc>
        <w:tc>
          <w:tcPr>
            <w:tcW w:w="1167" w:type="dxa"/>
          </w:tcPr>
          <w:p w14:paraId="177D5A55">
            <w:pPr>
              <w:pStyle w:val="91"/>
              <w:spacing w:line="440" w:lineRule="exact"/>
              <w:jc w:val="center"/>
              <w:rPr>
                <w:rFonts w:hint="eastAsia" w:ascii="仿宋" w:hAnsi="仿宋" w:eastAsia="仿宋" w:cs="仿宋"/>
                <w:highlight w:val="none"/>
              </w:rPr>
            </w:pPr>
          </w:p>
        </w:tc>
        <w:tc>
          <w:tcPr>
            <w:tcW w:w="729" w:type="dxa"/>
          </w:tcPr>
          <w:p w14:paraId="36976619">
            <w:pPr>
              <w:pStyle w:val="91"/>
              <w:spacing w:line="440" w:lineRule="exact"/>
              <w:jc w:val="center"/>
              <w:rPr>
                <w:rFonts w:hint="eastAsia" w:ascii="仿宋" w:hAnsi="仿宋" w:eastAsia="仿宋" w:cs="仿宋"/>
                <w:highlight w:val="none"/>
              </w:rPr>
            </w:pPr>
          </w:p>
        </w:tc>
        <w:tc>
          <w:tcPr>
            <w:tcW w:w="899" w:type="dxa"/>
          </w:tcPr>
          <w:p w14:paraId="5BA3E6AE">
            <w:pPr>
              <w:pStyle w:val="91"/>
              <w:spacing w:line="440" w:lineRule="exact"/>
              <w:jc w:val="center"/>
              <w:rPr>
                <w:rFonts w:hint="eastAsia" w:ascii="仿宋" w:hAnsi="仿宋" w:eastAsia="仿宋" w:cs="仿宋"/>
                <w:highlight w:val="none"/>
              </w:rPr>
            </w:pPr>
          </w:p>
        </w:tc>
        <w:tc>
          <w:tcPr>
            <w:tcW w:w="1167" w:type="dxa"/>
          </w:tcPr>
          <w:p w14:paraId="1E5122F4">
            <w:pPr>
              <w:pStyle w:val="91"/>
              <w:spacing w:line="440" w:lineRule="exact"/>
              <w:jc w:val="center"/>
              <w:rPr>
                <w:rFonts w:hint="eastAsia" w:ascii="仿宋" w:hAnsi="仿宋" w:eastAsia="仿宋" w:cs="仿宋"/>
                <w:highlight w:val="none"/>
              </w:rPr>
            </w:pPr>
          </w:p>
        </w:tc>
      </w:tr>
      <w:tr w14:paraId="049D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67CA296F">
            <w:pPr>
              <w:pStyle w:val="91"/>
              <w:spacing w:line="440" w:lineRule="exact"/>
              <w:jc w:val="center"/>
              <w:rPr>
                <w:rFonts w:hint="eastAsia" w:ascii="仿宋" w:hAnsi="仿宋" w:eastAsia="仿宋" w:cs="仿宋"/>
                <w:highlight w:val="none"/>
              </w:rPr>
            </w:pPr>
          </w:p>
        </w:tc>
        <w:tc>
          <w:tcPr>
            <w:tcW w:w="1312" w:type="dxa"/>
          </w:tcPr>
          <w:p w14:paraId="2EEDCDFC">
            <w:pPr>
              <w:pStyle w:val="91"/>
              <w:spacing w:line="440" w:lineRule="exact"/>
              <w:jc w:val="center"/>
              <w:rPr>
                <w:rFonts w:hint="eastAsia" w:ascii="仿宋" w:hAnsi="仿宋" w:eastAsia="仿宋" w:cs="仿宋"/>
                <w:highlight w:val="none"/>
              </w:rPr>
            </w:pPr>
          </w:p>
        </w:tc>
        <w:tc>
          <w:tcPr>
            <w:tcW w:w="1021" w:type="dxa"/>
          </w:tcPr>
          <w:p w14:paraId="79E7DF0A">
            <w:pPr>
              <w:pStyle w:val="91"/>
              <w:spacing w:line="440" w:lineRule="exact"/>
              <w:jc w:val="center"/>
              <w:rPr>
                <w:rFonts w:hint="eastAsia" w:ascii="仿宋" w:hAnsi="仿宋" w:eastAsia="仿宋" w:cs="仿宋"/>
                <w:highlight w:val="none"/>
              </w:rPr>
            </w:pPr>
          </w:p>
        </w:tc>
        <w:tc>
          <w:tcPr>
            <w:tcW w:w="620" w:type="dxa"/>
          </w:tcPr>
          <w:p w14:paraId="3A8AE1DE">
            <w:pPr>
              <w:pStyle w:val="91"/>
              <w:spacing w:line="440" w:lineRule="exact"/>
              <w:jc w:val="center"/>
              <w:rPr>
                <w:rFonts w:hint="eastAsia" w:ascii="仿宋" w:hAnsi="仿宋" w:eastAsia="仿宋" w:cs="仿宋"/>
                <w:highlight w:val="none"/>
              </w:rPr>
            </w:pPr>
          </w:p>
        </w:tc>
        <w:tc>
          <w:tcPr>
            <w:tcW w:w="501" w:type="dxa"/>
          </w:tcPr>
          <w:p w14:paraId="34F21B12">
            <w:pPr>
              <w:pStyle w:val="91"/>
              <w:spacing w:line="440" w:lineRule="exact"/>
              <w:jc w:val="center"/>
              <w:rPr>
                <w:rFonts w:hint="eastAsia" w:ascii="仿宋" w:hAnsi="仿宋" w:eastAsia="仿宋" w:cs="仿宋"/>
                <w:highlight w:val="none"/>
              </w:rPr>
            </w:pPr>
          </w:p>
        </w:tc>
        <w:tc>
          <w:tcPr>
            <w:tcW w:w="1167" w:type="dxa"/>
          </w:tcPr>
          <w:p w14:paraId="53FDAE1C">
            <w:pPr>
              <w:pStyle w:val="91"/>
              <w:spacing w:line="440" w:lineRule="exact"/>
              <w:jc w:val="center"/>
              <w:rPr>
                <w:rFonts w:hint="eastAsia" w:ascii="仿宋" w:hAnsi="仿宋" w:eastAsia="仿宋" w:cs="仿宋"/>
                <w:highlight w:val="none"/>
              </w:rPr>
            </w:pPr>
          </w:p>
        </w:tc>
        <w:tc>
          <w:tcPr>
            <w:tcW w:w="729" w:type="dxa"/>
          </w:tcPr>
          <w:p w14:paraId="268206F8">
            <w:pPr>
              <w:pStyle w:val="91"/>
              <w:spacing w:line="440" w:lineRule="exact"/>
              <w:jc w:val="center"/>
              <w:rPr>
                <w:rFonts w:hint="eastAsia" w:ascii="仿宋" w:hAnsi="仿宋" w:eastAsia="仿宋" w:cs="仿宋"/>
                <w:highlight w:val="none"/>
              </w:rPr>
            </w:pPr>
          </w:p>
        </w:tc>
        <w:tc>
          <w:tcPr>
            <w:tcW w:w="899" w:type="dxa"/>
          </w:tcPr>
          <w:p w14:paraId="1460A8EC">
            <w:pPr>
              <w:pStyle w:val="91"/>
              <w:spacing w:line="440" w:lineRule="exact"/>
              <w:jc w:val="center"/>
              <w:rPr>
                <w:rFonts w:hint="eastAsia" w:ascii="仿宋" w:hAnsi="仿宋" w:eastAsia="仿宋" w:cs="仿宋"/>
                <w:highlight w:val="none"/>
              </w:rPr>
            </w:pPr>
          </w:p>
        </w:tc>
        <w:tc>
          <w:tcPr>
            <w:tcW w:w="1167" w:type="dxa"/>
          </w:tcPr>
          <w:p w14:paraId="0B875ED2">
            <w:pPr>
              <w:pStyle w:val="91"/>
              <w:spacing w:line="440" w:lineRule="exact"/>
              <w:jc w:val="center"/>
              <w:rPr>
                <w:rFonts w:hint="eastAsia" w:ascii="仿宋" w:hAnsi="仿宋" w:eastAsia="仿宋" w:cs="仿宋"/>
                <w:highlight w:val="none"/>
              </w:rPr>
            </w:pPr>
          </w:p>
        </w:tc>
      </w:tr>
      <w:tr w14:paraId="1ACE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06DB6A9B">
            <w:pPr>
              <w:pStyle w:val="91"/>
              <w:spacing w:line="440" w:lineRule="exact"/>
              <w:jc w:val="center"/>
              <w:rPr>
                <w:rFonts w:hint="eastAsia" w:ascii="仿宋" w:hAnsi="仿宋" w:eastAsia="仿宋" w:cs="仿宋"/>
                <w:highlight w:val="none"/>
              </w:rPr>
            </w:pPr>
          </w:p>
        </w:tc>
        <w:tc>
          <w:tcPr>
            <w:tcW w:w="1312" w:type="dxa"/>
          </w:tcPr>
          <w:p w14:paraId="47ED1B2D">
            <w:pPr>
              <w:pStyle w:val="91"/>
              <w:spacing w:line="440" w:lineRule="exact"/>
              <w:jc w:val="center"/>
              <w:rPr>
                <w:rFonts w:hint="eastAsia" w:ascii="仿宋" w:hAnsi="仿宋" w:eastAsia="仿宋" w:cs="仿宋"/>
                <w:highlight w:val="none"/>
              </w:rPr>
            </w:pPr>
          </w:p>
        </w:tc>
        <w:tc>
          <w:tcPr>
            <w:tcW w:w="1021" w:type="dxa"/>
          </w:tcPr>
          <w:p w14:paraId="19E38ABB">
            <w:pPr>
              <w:pStyle w:val="91"/>
              <w:spacing w:line="440" w:lineRule="exact"/>
              <w:jc w:val="center"/>
              <w:rPr>
                <w:rFonts w:hint="eastAsia" w:ascii="仿宋" w:hAnsi="仿宋" w:eastAsia="仿宋" w:cs="仿宋"/>
                <w:highlight w:val="none"/>
              </w:rPr>
            </w:pPr>
          </w:p>
        </w:tc>
        <w:tc>
          <w:tcPr>
            <w:tcW w:w="620" w:type="dxa"/>
          </w:tcPr>
          <w:p w14:paraId="00C96AAD">
            <w:pPr>
              <w:pStyle w:val="91"/>
              <w:spacing w:line="440" w:lineRule="exact"/>
              <w:jc w:val="center"/>
              <w:rPr>
                <w:rFonts w:hint="eastAsia" w:ascii="仿宋" w:hAnsi="仿宋" w:eastAsia="仿宋" w:cs="仿宋"/>
                <w:highlight w:val="none"/>
              </w:rPr>
            </w:pPr>
          </w:p>
        </w:tc>
        <w:tc>
          <w:tcPr>
            <w:tcW w:w="501" w:type="dxa"/>
          </w:tcPr>
          <w:p w14:paraId="1B7BFDEC">
            <w:pPr>
              <w:pStyle w:val="91"/>
              <w:spacing w:line="440" w:lineRule="exact"/>
              <w:jc w:val="center"/>
              <w:rPr>
                <w:rFonts w:hint="eastAsia" w:ascii="仿宋" w:hAnsi="仿宋" w:eastAsia="仿宋" w:cs="仿宋"/>
                <w:highlight w:val="none"/>
              </w:rPr>
            </w:pPr>
          </w:p>
        </w:tc>
        <w:tc>
          <w:tcPr>
            <w:tcW w:w="1167" w:type="dxa"/>
          </w:tcPr>
          <w:p w14:paraId="3E91C1F4">
            <w:pPr>
              <w:pStyle w:val="91"/>
              <w:spacing w:line="440" w:lineRule="exact"/>
              <w:jc w:val="center"/>
              <w:rPr>
                <w:rFonts w:hint="eastAsia" w:ascii="仿宋" w:hAnsi="仿宋" w:eastAsia="仿宋" w:cs="仿宋"/>
                <w:highlight w:val="none"/>
              </w:rPr>
            </w:pPr>
          </w:p>
        </w:tc>
        <w:tc>
          <w:tcPr>
            <w:tcW w:w="729" w:type="dxa"/>
          </w:tcPr>
          <w:p w14:paraId="504A683D">
            <w:pPr>
              <w:pStyle w:val="91"/>
              <w:spacing w:line="440" w:lineRule="exact"/>
              <w:jc w:val="center"/>
              <w:rPr>
                <w:rFonts w:hint="eastAsia" w:ascii="仿宋" w:hAnsi="仿宋" w:eastAsia="仿宋" w:cs="仿宋"/>
                <w:highlight w:val="none"/>
              </w:rPr>
            </w:pPr>
          </w:p>
        </w:tc>
        <w:tc>
          <w:tcPr>
            <w:tcW w:w="899" w:type="dxa"/>
          </w:tcPr>
          <w:p w14:paraId="0C770573">
            <w:pPr>
              <w:pStyle w:val="91"/>
              <w:spacing w:line="440" w:lineRule="exact"/>
              <w:jc w:val="center"/>
              <w:rPr>
                <w:rFonts w:hint="eastAsia" w:ascii="仿宋" w:hAnsi="仿宋" w:eastAsia="仿宋" w:cs="仿宋"/>
                <w:highlight w:val="none"/>
              </w:rPr>
            </w:pPr>
          </w:p>
        </w:tc>
        <w:tc>
          <w:tcPr>
            <w:tcW w:w="1167" w:type="dxa"/>
          </w:tcPr>
          <w:p w14:paraId="602793E2">
            <w:pPr>
              <w:pStyle w:val="91"/>
              <w:spacing w:line="440" w:lineRule="exact"/>
              <w:jc w:val="center"/>
              <w:rPr>
                <w:rFonts w:hint="eastAsia" w:ascii="仿宋" w:hAnsi="仿宋" w:eastAsia="仿宋" w:cs="仿宋"/>
                <w:highlight w:val="none"/>
              </w:rPr>
            </w:pPr>
          </w:p>
        </w:tc>
      </w:tr>
      <w:tr w14:paraId="79DE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6FF15079">
            <w:pPr>
              <w:pStyle w:val="91"/>
              <w:spacing w:line="440" w:lineRule="exact"/>
              <w:jc w:val="center"/>
              <w:rPr>
                <w:rFonts w:hint="eastAsia" w:ascii="仿宋" w:hAnsi="仿宋" w:eastAsia="仿宋" w:cs="仿宋"/>
                <w:highlight w:val="none"/>
              </w:rPr>
            </w:pPr>
          </w:p>
        </w:tc>
        <w:tc>
          <w:tcPr>
            <w:tcW w:w="1312" w:type="dxa"/>
          </w:tcPr>
          <w:p w14:paraId="5E321BC6">
            <w:pPr>
              <w:pStyle w:val="91"/>
              <w:spacing w:line="440" w:lineRule="exact"/>
              <w:jc w:val="center"/>
              <w:rPr>
                <w:rFonts w:hint="eastAsia" w:ascii="仿宋" w:hAnsi="仿宋" w:eastAsia="仿宋" w:cs="仿宋"/>
                <w:highlight w:val="none"/>
              </w:rPr>
            </w:pPr>
          </w:p>
        </w:tc>
        <w:tc>
          <w:tcPr>
            <w:tcW w:w="1021" w:type="dxa"/>
          </w:tcPr>
          <w:p w14:paraId="23EDFD62">
            <w:pPr>
              <w:pStyle w:val="91"/>
              <w:spacing w:line="440" w:lineRule="exact"/>
              <w:jc w:val="center"/>
              <w:rPr>
                <w:rFonts w:hint="eastAsia" w:ascii="仿宋" w:hAnsi="仿宋" w:eastAsia="仿宋" w:cs="仿宋"/>
                <w:highlight w:val="none"/>
              </w:rPr>
            </w:pPr>
          </w:p>
        </w:tc>
        <w:tc>
          <w:tcPr>
            <w:tcW w:w="620" w:type="dxa"/>
          </w:tcPr>
          <w:p w14:paraId="63E5E742">
            <w:pPr>
              <w:pStyle w:val="91"/>
              <w:spacing w:line="440" w:lineRule="exact"/>
              <w:jc w:val="center"/>
              <w:rPr>
                <w:rFonts w:hint="eastAsia" w:ascii="仿宋" w:hAnsi="仿宋" w:eastAsia="仿宋" w:cs="仿宋"/>
                <w:highlight w:val="none"/>
              </w:rPr>
            </w:pPr>
          </w:p>
        </w:tc>
        <w:tc>
          <w:tcPr>
            <w:tcW w:w="501" w:type="dxa"/>
          </w:tcPr>
          <w:p w14:paraId="50482391">
            <w:pPr>
              <w:pStyle w:val="91"/>
              <w:spacing w:line="440" w:lineRule="exact"/>
              <w:jc w:val="center"/>
              <w:rPr>
                <w:rFonts w:hint="eastAsia" w:ascii="仿宋" w:hAnsi="仿宋" w:eastAsia="仿宋" w:cs="仿宋"/>
                <w:highlight w:val="none"/>
              </w:rPr>
            </w:pPr>
          </w:p>
        </w:tc>
        <w:tc>
          <w:tcPr>
            <w:tcW w:w="1167" w:type="dxa"/>
          </w:tcPr>
          <w:p w14:paraId="0C7C53C9">
            <w:pPr>
              <w:pStyle w:val="91"/>
              <w:spacing w:line="440" w:lineRule="exact"/>
              <w:jc w:val="center"/>
              <w:rPr>
                <w:rFonts w:hint="eastAsia" w:ascii="仿宋" w:hAnsi="仿宋" w:eastAsia="仿宋" w:cs="仿宋"/>
                <w:highlight w:val="none"/>
              </w:rPr>
            </w:pPr>
          </w:p>
        </w:tc>
        <w:tc>
          <w:tcPr>
            <w:tcW w:w="729" w:type="dxa"/>
          </w:tcPr>
          <w:p w14:paraId="003EE28E">
            <w:pPr>
              <w:pStyle w:val="91"/>
              <w:spacing w:line="440" w:lineRule="exact"/>
              <w:jc w:val="center"/>
              <w:rPr>
                <w:rFonts w:hint="eastAsia" w:ascii="仿宋" w:hAnsi="仿宋" w:eastAsia="仿宋" w:cs="仿宋"/>
                <w:highlight w:val="none"/>
              </w:rPr>
            </w:pPr>
          </w:p>
        </w:tc>
        <w:tc>
          <w:tcPr>
            <w:tcW w:w="899" w:type="dxa"/>
          </w:tcPr>
          <w:p w14:paraId="09EFB65E">
            <w:pPr>
              <w:pStyle w:val="91"/>
              <w:spacing w:line="440" w:lineRule="exact"/>
              <w:jc w:val="center"/>
              <w:rPr>
                <w:rFonts w:hint="eastAsia" w:ascii="仿宋" w:hAnsi="仿宋" w:eastAsia="仿宋" w:cs="仿宋"/>
                <w:highlight w:val="none"/>
              </w:rPr>
            </w:pPr>
          </w:p>
        </w:tc>
        <w:tc>
          <w:tcPr>
            <w:tcW w:w="1167" w:type="dxa"/>
          </w:tcPr>
          <w:p w14:paraId="706DDB91">
            <w:pPr>
              <w:pStyle w:val="91"/>
              <w:spacing w:line="440" w:lineRule="exact"/>
              <w:jc w:val="center"/>
              <w:rPr>
                <w:rFonts w:hint="eastAsia" w:ascii="仿宋" w:hAnsi="仿宋" w:eastAsia="仿宋" w:cs="仿宋"/>
                <w:highlight w:val="none"/>
              </w:rPr>
            </w:pPr>
          </w:p>
        </w:tc>
      </w:tr>
      <w:tr w14:paraId="2E6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03B9586E">
            <w:pPr>
              <w:pStyle w:val="91"/>
              <w:spacing w:line="440" w:lineRule="exact"/>
              <w:jc w:val="center"/>
              <w:rPr>
                <w:rFonts w:hint="eastAsia" w:ascii="仿宋" w:hAnsi="仿宋" w:eastAsia="仿宋" w:cs="仿宋"/>
                <w:highlight w:val="none"/>
              </w:rPr>
            </w:pPr>
          </w:p>
        </w:tc>
        <w:tc>
          <w:tcPr>
            <w:tcW w:w="1312" w:type="dxa"/>
          </w:tcPr>
          <w:p w14:paraId="0B41A26D">
            <w:pPr>
              <w:pStyle w:val="91"/>
              <w:spacing w:line="440" w:lineRule="exact"/>
              <w:jc w:val="center"/>
              <w:rPr>
                <w:rFonts w:hint="eastAsia" w:ascii="仿宋" w:hAnsi="仿宋" w:eastAsia="仿宋" w:cs="仿宋"/>
                <w:highlight w:val="none"/>
              </w:rPr>
            </w:pPr>
          </w:p>
        </w:tc>
        <w:tc>
          <w:tcPr>
            <w:tcW w:w="1021" w:type="dxa"/>
          </w:tcPr>
          <w:p w14:paraId="684AD507">
            <w:pPr>
              <w:pStyle w:val="91"/>
              <w:spacing w:line="440" w:lineRule="exact"/>
              <w:jc w:val="center"/>
              <w:rPr>
                <w:rFonts w:hint="eastAsia" w:ascii="仿宋" w:hAnsi="仿宋" w:eastAsia="仿宋" w:cs="仿宋"/>
                <w:highlight w:val="none"/>
              </w:rPr>
            </w:pPr>
          </w:p>
        </w:tc>
        <w:tc>
          <w:tcPr>
            <w:tcW w:w="620" w:type="dxa"/>
          </w:tcPr>
          <w:p w14:paraId="194B5EBE">
            <w:pPr>
              <w:pStyle w:val="91"/>
              <w:spacing w:line="440" w:lineRule="exact"/>
              <w:jc w:val="center"/>
              <w:rPr>
                <w:rFonts w:hint="eastAsia" w:ascii="仿宋" w:hAnsi="仿宋" w:eastAsia="仿宋" w:cs="仿宋"/>
                <w:highlight w:val="none"/>
              </w:rPr>
            </w:pPr>
          </w:p>
        </w:tc>
        <w:tc>
          <w:tcPr>
            <w:tcW w:w="501" w:type="dxa"/>
          </w:tcPr>
          <w:p w14:paraId="2861AED5">
            <w:pPr>
              <w:pStyle w:val="91"/>
              <w:spacing w:line="440" w:lineRule="exact"/>
              <w:jc w:val="center"/>
              <w:rPr>
                <w:rFonts w:hint="eastAsia" w:ascii="仿宋" w:hAnsi="仿宋" w:eastAsia="仿宋" w:cs="仿宋"/>
                <w:highlight w:val="none"/>
              </w:rPr>
            </w:pPr>
          </w:p>
        </w:tc>
        <w:tc>
          <w:tcPr>
            <w:tcW w:w="1167" w:type="dxa"/>
          </w:tcPr>
          <w:p w14:paraId="786CBB89">
            <w:pPr>
              <w:pStyle w:val="91"/>
              <w:spacing w:line="440" w:lineRule="exact"/>
              <w:jc w:val="center"/>
              <w:rPr>
                <w:rFonts w:hint="eastAsia" w:ascii="仿宋" w:hAnsi="仿宋" w:eastAsia="仿宋" w:cs="仿宋"/>
                <w:highlight w:val="none"/>
              </w:rPr>
            </w:pPr>
          </w:p>
        </w:tc>
        <w:tc>
          <w:tcPr>
            <w:tcW w:w="729" w:type="dxa"/>
          </w:tcPr>
          <w:p w14:paraId="7F19D236">
            <w:pPr>
              <w:pStyle w:val="91"/>
              <w:spacing w:line="440" w:lineRule="exact"/>
              <w:jc w:val="center"/>
              <w:rPr>
                <w:rFonts w:hint="eastAsia" w:ascii="仿宋" w:hAnsi="仿宋" w:eastAsia="仿宋" w:cs="仿宋"/>
                <w:highlight w:val="none"/>
              </w:rPr>
            </w:pPr>
          </w:p>
        </w:tc>
        <w:tc>
          <w:tcPr>
            <w:tcW w:w="899" w:type="dxa"/>
          </w:tcPr>
          <w:p w14:paraId="140156BA">
            <w:pPr>
              <w:pStyle w:val="91"/>
              <w:spacing w:line="440" w:lineRule="exact"/>
              <w:jc w:val="center"/>
              <w:rPr>
                <w:rFonts w:hint="eastAsia" w:ascii="仿宋" w:hAnsi="仿宋" w:eastAsia="仿宋" w:cs="仿宋"/>
                <w:highlight w:val="none"/>
              </w:rPr>
            </w:pPr>
          </w:p>
        </w:tc>
        <w:tc>
          <w:tcPr>
            <w:tcW w:w="1167" w:type="dxa"/>
          </w:tcPr>
          <w:p w14:paraId="15D63825">
            <w:pPr>
              <w:pStyle w:val="91"/>
              <w:spacing w:line="440" w:lineRule="exact"/>
              <w:jc w:val="center"/>
              <w:rPr>
                <w:rFonts w:hint="eastAsia" w:ascii="仿宋" w:hAnsi="仿宋" w:eastAsia="仿宋" w:cs="仿宋"/>
                <w:highlight w:val="none"/>
              </w:rPr>
            </w:pPr>
          </w:p>
        </w:tc>
      </w:tr>
      <w:tr w14:paraId="354E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271F2EEC">
            <w:pPr>
              <w:pStyle w:val="91"/>
              <w:spacing w:line="440" w:lineRule="exact"/>
              <w:jc w:val="center"/>
              <w:rPr>
                <w:rFonts w:hint="eastAsia" w:ascii="仿宋" w:hAnsi="仿宋" w:eastAsia="仿宋" w:cs="仿宋"/>
                <w:highlight w:val="none"/>
              </w:rPr>
            </w:pPr>
          </w:p>
        </w:tc>
        <w:tc>
          <w:tcPr>
            <w:tcW w:w="1312" w:type="dxa"/>
          </w:tcPr>
          <w:p w14:paraId="2AE82A22">
            <w:pPr>
              <w:pStyle w:val="91"/>
              <w:spacing w:line="440" w:lineRule="exact"/>
              <w:jc w:val="center"/>
              <w:rPr>
                <w:rFonts w:hint="eastAsia" w:ascii="仿宋" w:hAnsi="仿宋" w:eastAsia="仿宋" w:cs="仿宋"/>
                <w:highlight w:val="none"/>
              </w:rPr>
            </w:pPr>
          </w:p>
        </w:tc>
        <w:tc>
          <w:tcPr>
            <w:tcW w:w="1021" w:type="dxa"/>
          </w:tcPr>
          <w:p w14:paraId="38EC7340">
            <w:pPr>
              <w:pStyle w:val="91"/>
              <w:spacing w:line="440" w:lineRule="exact"/>
              <w:jc w:val="center"/>
              <w:rPr>
                <w:rFonts w:hint="eastAsia" w:ascii="仿宋" w:hAnsi="仿宋" w:eastAsia="仿宋" w:cs="仿宋"/>
                <w:highlight w:val="none"/>
              </w:rPr>
            </w:pPr>
          </w:p>
        </w:tc>
        <w:tc>
          <w:tcPr>
            <w:tcW w:w="620" w:type="dxa"/>
          </w:tcPr>
          <w:p w14:paraId="4BED0E96">
            <w:pPr>
              <w:pStyle w:val="91"/>
              <w:spacing w:line="440" w:lineRule="exact"/>
              <w:jc w:val="center"/>
              <w:rPr>
                <w:rFonts w:hint="eastAsia" w:ascii="仿宋" w:hAnsi="仿宋" w:eastAsia="仿宋" w:cs="仿宋"/>
                <w:highlight w:val="none"/>
              </w:rPr>
            </w:pPr>
          </w:p>
        </w:tc>
        <w:tc>
          <w:tcPr>
            <w:tcW w:w="501" w:type="dxa"/>
          </w:tcPr>
          <w:p w14:paraId="3C19E63A">
            <w:pPr>
              <w:pStyle w:val="91"/>
              <w:spacing w:line="440" w:lineRule="exact"/>
              <w:jc w:val="center"/>
              <w:rPr>
                <w:rFonts w:hint="eastAsia" w:ascii="仿宋" w:hAnsi="仿宋" w:eastAsia="仿宋" w:cs="仿宋"/>
                <w:highlight w:val="none"/>
              </w:rPr>
            </w:pPr>
          </w:p>
        </w:tc>
        <w:tc>
          <w:tcPr>
            <w:tcW w:w="1167" w:type="dxa"/>
          </w:tcPr>
          <w:p w14:paraId="226B315D">
            <w:pPr>
              <w:pStyle w:val="91"/>
              <w:spacing w:line="440" w:lineRule="exact"/>
              <w:jc w:val="center"/>
              <w:rPr>
                <w:rFonts w:hint="eastAsia" w:ascii="仿宋" w:hAnsi="仿宋" w:eastAsia="仿宋" w:cs="仿宋"/>
                <w:highlight w:val="none"/>
              </w:rPr>
            </w:pPr>
          </w:p>
        </w:tc>
        <w:tc>
          <w:tcPr>
            <w:tcW w:w="729" w:type="dxa"/>
          </w:tcPr>
          <w:p w14:paraId="1383BD8F">
            <w:pPr>
              <w:pStyle w:val="91"/>
              <w:spacing w:line="440" w:lineRule="exact"/>
              <w:jc w:val="center"/>
              <w:rPr>
                <w:rFonts w:hint="eastAsia" w:ascii="仿宋" w:hAnsi="仿宋" w:eastAsia="仿宋" w:cs="仿宋"/>
                <w:highlight w:val="none"/>
              </w:rPr>
            </w:pPr>
          </w:p>
        </w:tc>
        <w:tc>
          <w:tcPr>
            <w:tcW w:w="899" w:type="dxa"/>
          </w:tcPr>
          <w:p w14:paraId="377748F8">
            <w:pPr>
              <w:pStyle w:val="91"/>
              <w:spacing w:line="440" w:lineRule="exact"/>
              <w:jc w:val="center"/>
              <w:rPr>
                <w:rFonts w:hint="eastAsia" w:ascii="仿宋" w:hAnsi="仿宋" w:eastAsia="仿宋" w:cs="仿宋"/>
                <w:highlight w:val="none"/>
              </w:rPr>
            </w:pPr>
          </w:p>
        </w:tc>
        <w:tc>
          <w:tcPr>
            <w:tcW w:w="1167" w:type="dxa"/>
          </w:tcPr>
          <w:p w14:paraId="0A9F6773">
            <w:pPr>
              <w:pStyle w:val="91"/>
              <w:spacing w:line="440" w:lineRule="exact"/>
              <w:jc w:val="center"/>
              <w:rPr>
                <w:rFonts w:hint="eastAsia" w:ascii="仿宋" w:hAnsi="仿宋" w:eastAsia="仿宋" w:cs="仿宋"/>
                <w:highlight w:val="none"/>
              </w:rPr>
            </w:pPr>
          </w:p>
        </w:tc>
      </w:tr>
      <w:tr w14:paraId="4394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39" w:type="dxa"/>
          </w:tcPr>
          <w:p w14:paraId="6B518575">
            <w:pPr>
              <w:pStyle w:val="91"/>
              <w:spacing w:line="440" w:lineRule="exact"/>
              <w:jc w:val="center"/>
              <w:rPr>
                <w:rFonts w:hint="eastAsia" w:ascii="仿宋" w:hAnsi="仿宋" w:eastAsia="仿宋" w:cs="仿宋"/>
                <w:highlight w:val="none"/>
              </w:rPr>
            </w:pPr>
          </w:p>
        </w:tc>
        <w:tc>
          <w:tcPr>
            <w:tcW w:w="1312" w:type="dxa"/>
          </w:tcPr>
          <w:p w14:paraId="6E1ECA86">
            <w:pPr>
              <w:pStyle w:val="91"/>
              <w:spacing w:line="440" w:lineRule="exact"/>
              <w:jc w:val="center"/>
              <w:rPr>
                <w:rFonts w:hint="eastAsia" w:ascii="仿宋" w:hAnsi="仿宋" w:eastAsia="仿宋" w:cs="仿宋"/>
                <w:highlight w:val="none"/>
              </w:rPr>
            </w:pPr>
          </w:p>
        </w:tc>
        <w:tc>
          <w:tcPr>
            <w:tcW w:w="1021" w:type="dxa"/>
          </w:tcPr>
          <w:p w14:paraId="6E01C815">
            <w:pPr>
              <w:pStyle w:val="91"/>
              <w:spacing w:line="440" w:lineRule="exact"/>
              <w:jc w:val="center"/>
              <w:rPr>
                <w:rFonts w:hint="eastAsia" w:ascii="仿宋" w:hAnsi="仿宋" w:eastAsia="仿宋" w:cs="仿宋"/>
                <w:highlight w:val="none"/>
              </w:rPr>
            </w:pPr>
          </w:p>
        </w:tc>
        <w:tc>
          <w:tcPr>
            <w:tcW w:w="620" w:type="dxa"/>
          </w:tcPr>
          <w:p w14:paraId="0CD28B31">
            <w:pPr>
              <w:pStyle w:val="91"/>
              <w:spacing w:line="440" w:lineRule="exact"/>
              <w:jc w:val="center"/>
              <w:rPr>
                <w:rFonts w:hint="eastAsia" w:ascii="仿宋" w:hAnsi="仿宋" w:eastAsia="仿宋" w:cs="仿宋"/>
                <w:highlight w:val="none"/>
              </w:rPr>
            </w:pPr>
          </w:p>
        </w:tc>
        <w:tc>
          <w:tcPr>
            <w:tcW w:w="501" w:type="dxa"/>
          </w:tcPr>
          <w:p w14:paraId="2764E38E">
            <w:pPr>
              <w:pStyle w:val="91"/>
              <w:spacing w:line="440" w:lineRule="exact"/>
              <w:jc w:val="center"/>
              <w:rPr>
                <w:rFonts w:hint="eastAsia" w:ascii="仿宋" w:hAnsi="仿宋" w:eastAsia="仿宋" w:cs="仿宋"/>
                <w:highlight w:val="none"/>
              </w:rPr>
            </w:pPr>
          </w:p>
        </w:tc>
        <w:tc>
          <w:tcPr>
            <w:tcW w:w="1167" w:type="dxa"/>
          </w:tcPr>
          <w:p w14:paraId="58D22AD5">
            <w:pPr>
              <w:pStyle w:val="91"/>
              <w:spacing w:line="440" w:lineRule="exact"/>
              <w:jc w:val="center"/>
              <w:rPr>
                <w:rFonts w:hint="eastAsia" w:ascii="仿宋" w:hAnsi="仿宋" w:eastAsia="仿宋" w:cs="仿宋"/>
                <w:highlight w:val="none"/>
              </w:rPr>
            </w:pPr>
          </w:p>
        </w:tc>
        <w:tc>
          <w:tcPr>
            <w:tcW w:w="729" w:type="dxa"/>
          </w:tcPr>
          <w:p w14:paraId="74CEC22F">
            <w:pPr>
              <w:pStyle w:val="91"/>
              <w:spacing w:line="440" w:lineRule="exact"/>
              <w:jc w:val="center"/>
              <w:rPr>
                <w:rFonts w:hint="eastAsia" w:ascii="仿宋" w:hAnsi="仿宋" w:eastAsia="仿宋" w:cs="仿宋"/>
                <w:highlight w:val="none"/>
              </w:rPr>
            </w:pPr>
          </w:p>
        </w:tc>
        <w:tc>
          <w:tcPr>
            <w:tcW w:w="899" w:type="dxa"/>
          </w:tcPr>
          <w:p w14:paraId="4304EC82">
            <w:pPr>
              <w:pStyle w:val="91"/>
              <w:spacing w:line="440" w:lineRule="exact"/>
              <w:jc w:val="center"/>
              <w:rPr>
                <w:rFonts w:hint="eastAsia" w:ascii="仿宋" w:hAnsi="仿宋" w:eastAsia="仿宋" w:cs="仿宋"/>
                <w:highlight w:val="none"/>
              </w:rPr>
            </w:pPr>
          </w:p>
        </w:tc>
        <w:tc>
          <w:tcPr>
            <w:tcW w:w="1167" w:type="dxa"/>
          </w:tcPr>
          <w:p w14:paraId="3AC752A1">
            <w:pPr>
              <w:pStyle w:val="91"/>
              <w:spacing w:line="440" w:lineRule="exact"/>
              <w:jc w:val="center"/>
              <w:rPr>
                <w:rFonts w:hint="eastAsia" w:ascii="仿宋" w:hAnsi="仿宋" w:eastAsia="仿宋" w:cs="仿宋"/>
                <w:highlight w:val="none"/>
              </w:rPr>
            </w:pPr>
          </w:p>
        </w:tc>
      </w:tr>
    </w:tbl>
    <w:p w14:paraId="7A5B2D31">
      <w:pPr>
        <w:spacing w:beforeAutospacing="0" w:afterAutospacing="0" w:line="600" w:lineRule="auto"/>
        <w:jc w:val="both"/>
        <w:rPr>
          <w:rFonts w:hint="eastAsia" w:ascii="仿宋" w:hAnsi="仿宋" w:eastAsia="仿宋" w:cs="仿宋"/>
          <w:b/>
          <w:bCs/>
          <w:kern w:val="2"/>
          <w:sz w:val="28"/>
          <w:szCs w:val="28"/>
          <w:highlight w:val="none"/>
          <w:lang w:val="en-US" w:eastAsia="zh-CN"/>
        </w:rPr>
      </w:pPr>
      <w:r>
        <w:rPr>
          <w:rFonts w:hint="eastAsia" w:ascii="仿宋" w:hAnsi="仿宋" w:eastAsia="仿宋" w:cs="仿宋"/>
          <w:b/>
          <w:bCs/>
          <w:kern w:val="2"/>
          <w:sz w:val="28"/>
          <w:szCs w:val="28"/>
          <w:highlight w:val="none"/>
          <w:lang w:val="en-US" w:eastAsia="zh-CN"/>
        </w:rPr>
        <w:t>1、</w:t>
      </w:r>
      <w:r>
        <w:rPr>
          <w:rFonts w:hint="eastAsia" w:ascii="仿宋" w:hAnsi="仿宋" w:eastAsia="仿宋" w:cs="仿宋"/>
          <w:kern w:val="2"/>
          <w:sz w:val="24"/>
          <w:szCs w:val="24"/>
          <w:highlight w:val="none"/>
          <w:lang w:val="en-US" w:eastAsia="zh-CN"/>
        </w:rPr>
        <w:t>拟委任的主要人员需提供身份证、岗位证</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lang w:val="en-US" w:eastAsia="zh-CN"/>
        </w:rPr>
        <w:t>学历证等。</w:t>
      </w:r>
    </w:p>
    <w:p w14:paraId="12C46B6A">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4D0E4CF9">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6C3D7DF9">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5F713E94">
      <w:pPr>
        <w:spacing w:beforeAutospacing="0" w:afterAutospacing="0" w:line="600" w:lineRule="auto"/>
        <w:jc w:val="center"/>
        <w:rPr>
          <w:rFonts w:ascii="仿宋_GB2312" w:hAnsi="宋体" w:eastAsia="仿宋_GB2312" w:cs="Times New Roman"/>
          <w:b/>
          <w:bCs/>
          <w:kern w:val="2"/>
          <w:sz w:val="28"/>
          <w:szCs w:val="28"/>
          <w:highlight w:val="none"/>
        </w:rPr>
      </w:pPr>
      <w:r>
        <w:rPr>
          <w:rFonts w:hint="eastAsia" w:ascii="仿宋_GB2312" w:hAnsi="宋体" w:eastAsia="仿宋_GB2312" w:cs="Times New Roman"/>
          <w:b/>
          <w:bCs/>
          <w:kern w:val="2"/>
          <w:sz w:val="28"/>
          <w:szCs w:val="28"/>
          <w:highlight w:val="none"/>
          <w:lang w:val="en-US" w:eastAsia="zh-CN"/>
        </w:rPr>
        <w:t>主要管理人员</w:t>
      </w:r>
      <w:r>
        <w:rPr>
          <w:rFonts w:hint="eastAsia" w:ascii="仿宋_GB2312" w:hAnsi="宋体" w:eastAsia="仿宋_GB2312" w:cs="Times New Roman"/>
          <w:b/>
          <w:bCs/>
          <w:kern w:val="2"/>
          <w:sz w:val="28"/>
          <w:szCs w:val="28"/>
          <w:highlight w:val="none"/>
        </w:rPr>
        <w:t>简历表</w:t>
      </w:r>
    </w:p>
    <w:tbl>
      <w:tblPr>
        <w:tblStyle w:val="26"/>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92"/>
        <w:gridCol w:w="492"/>
        <w:gridCol w:w="795"/>
        <w:gridCol w:w="1424"/>
        <w:gridCol w:w="606"/>
        <w:gridCol w:w="632"/>
        <w:gridCol w:w="1713"/>
      </w:tblGrid>
      <w:tr w14:paraId="17C9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40" w:type="dxa"/>
            <w:gridSpan w:val="8"/>
            <w:tcBorders>
              <w:top w:val="single" w:color="auto" w:sz="4" w:space="0"/>
              <w:left w:val="single" w:color="auto" w:sz="4" w:space="0"/>
              <w:right w:val="single" w:color="auto" w:sz="4" w:space="0"/>
            </w:tcBorders>
            <w:noWrap w:val="0"/>
            <w:vAlign w:val="center"/>
          </w:tcPr>
          <w:p w14:paraId="430E993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项目负责人</w:t>
            </w:r>
          </w:p>
        </w:tc>
      </w:tr>
      <w:tr w14:paraId="5D23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4CAFFD59">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姓  名</w:t>
            </w:r>
          </w:p>
        </w:tc>
        <w:tc>
          <w:tcPr>
            <w:tcW w:w="1292" w:type="dxa"/>
            <w:noWrap w:val="0"/>
            <w:vAlign w:val="center"/>
          </w:tcPr>
          <w:p w14:paraId="0826D870">
            <w:pPr>
              <w:spacing w:beforeAutospacing="0" w:afterAutospacing="0" w:line="560" w:lineRule="exact"/>
              <w:jc w:val="center"/>
              <w:rPr>
                <w:rFonts w:ascii="仿宋_GB2312" w:hAnsi="宋体" w:eastAsia="仿宋_GB2312" w:cs="Times New Roman"/>
                <w:kern w:val="2"/>
                <w:sz w:val="24"/>
                <w:szCs w:val="24"/>
                <w:highlight w:val="none"/>
              </w:rPr>
            </w:pPr>
          </w:p>
        </w:tc>
        <w:tc>
          <w:tcPr>
            <w:tcW w:w="1287" w:type="dxa"/>
            <w:gridSpan w:val="2"/>
            <w:noWrap w:val="0"/>
            <w:vAlign w:val="center"/>
          </w:tcPr>
          <w:p w14:paraId="3297ED8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性  别</w:t>
            </w:r>
          </w:p>
        </w:tc>
        <w:tc>
          <w:tcPr>
            <w:tcW w:w="1424" w:type="dxa"/>
            <w:noWrap w:val="0"/>
            <w:vAlign w:val="center"/>
          </w:tcPr>
          <w:p w14:paraId="452F11E5">
            <w:pPr>
              <w:spacing w:beforeAutospacing="0" w:afterAutospacing="0" w:line="560" w:lineRule="exact"/>
              <w:jc w:val="center"/>
              <w:rPr>
                <w:rFonts w:ascii="仿宋_GB2312" w:hAnsi="宋体" w:eastAsia="仿宋_GB2312" w:cs="Times New Roman"/>
                <w:kern w:val="2"/>
                <w:sz w:val="24"/>
                <w:szCs w:val="24"/>
                <w:highlight w:val="none"/>
              </w:rPr>
            </w:pPr>
          </w:p>
        </w:tc>
        <w:tc>
          <w:tcPr>
            <w:tcW w:w="1238" w:type="dxa"/>
            <w:gridSpan w:val="2"/>
            <w:noWrap w:val="0"/>
            <w:vAlign w:val="center"/>
          </w:tcPr>
          <w:p w14:paraId="616BD29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年  龄</w:t>
            </w:r>
          </w:p>
        </w:tc>
        <w:tc>
          <w:tcPr>
            <w:tcW w:w="1713" w:type="dxa"/>
            <w:tcBorders>
              <w:right w:val="single" w:color="auto" w:sz="4" w:space="0"/>
            </w:tcBorders>
            <w:noWrap w:val="0"/>
            <w:vAlign w:val="center"/>
          </w:tcPr>
          <w:p w14:paraId="0A015682">
            <w:pPr>
              <w:spacing w:beforeAutospacing="0" w:afterAutospacing="0" w:line="560" w:lineRule="exact"/>
              <w:jc w:val="center"/>
              <w:rPr>
                <w:rFonts w:ascii="仿宋_GB2312" w:hAnsi="宋体" w:eastAsia="仿宋_GB2312" w:cs="Times New Roman"/>
                <w:kern w:val="2"/>
                <w:sz w:val="24"/>
                <w:szCs w:val="24"/>
                <w:highlight w:val="none"/>
              </w:rPr>
            </w:pPr>
          </w:p>
        </w:tc>
      </w:tr>
      <w:tr w14:paraId="36DA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23E533CB">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职  称</w:t>
            </w:r>
          </w:p>
        </w:tc>
        <w:tc>
          <w:tcPr>
            <w:tcW w:w="1292" w:type="dxa"/>
            <w:noWrap w:val="0"/>
            <w:vAlign w:val="center"/>
          </w:tcPr>
          <w:p w14:paraId="56465E7A">
            <w:pPr>
              <w:spacing w:beforeAutospacing="0" w:afterAutospacing="0" w:line="560" w:lineRule="exact"/>
              <w:jc w:val="center"/>
              <w:rPr>
                <w:rFonts w:ascii="仿宋_GB2312" w:hAnsi="宋体" w:eastAsia="仿宋_GB2312" w:cs="Times New Roman"/>
                <w:kern w:val="2"/>
                <w:sz w:val="24"/>
                <w:szCs w:val="24"/>
                <w:highlight w:val="none"/>
              </w:rPr>
            </w:pPr>
          </w:p>
        </w:tc>
        <w:tc>
          <w:tcPr>
            <w:tcW w:w="1287" w:type="dxa"/>
            <w:gridSpan w:val="2"/>
            <w:noWrap w:val="0"/>
            <w:vAlign w:val="center"/>
          </w:tcPr>
          <w:p w14:paraId="5E88CE4A">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专 业</w:t>
            </w:r>
          </w:p>
        </w:tc>
        <w:tc>
          <w:tcPr>
            <w:tcW w:w="1424" w:type="dxa"/>
            <w:noWrap w:val="0"/>
            <w:vAlign w:val="center"/>
          </w:tcPr>
          <w:p w14:paraId="52C63F3A">
            <w:pPr>
              <w:spacing w:beforeAutospacing="0" w:afterAutospacing="0" w:line="560" w:lineRule="exact"/>
              <w:jc w:val="center"/>
              <w:rPr>
                <w:rFonts w:ascii="仿宋_GB2312" w:hAnsi="宋体" w:eastAsia="仿宋_GB2312" w:cs="Times New Roman"/>
                <w:kern w:val="2"/>
                <w:sz w:val="24"/>
                <w:szCs w:val="24"/>
                <w:highlight w:val="none"/>
              </w:rPr>
            </w:pPr>
          </w:p>
        </w:tc>
        <w:tc>
          <w:tcPr>
            <w:tcW w:w="1238" w:type="dxa"/>
            <w:gridSpan w:val="2"/>
            <w:noWrap w:val="0"/>
            <w:vAlign w:val="center"/>
          </w:tcPr>
          <w:p w14:paraId="3D09F89B">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从业年限</w:t>
            </w:r>
          </w:p>
        </w:tc>
        <w:tc>
          <w:tcPr>
            <w:tcW w:w="1713" w:type="dxa"/>
            <w:tcBorders>
              <w:right w:val="single" w:color="auto" w:sz="4" w:space="0"/>
            </w:tcBorders>
            <w:noWrap w:val="0"/>
            <w:vAlign w:val="center"/>
          </w:tcPr>
          <w:p w14:paraId="65CC1754">
            <w:pPr>
              <w:spacing w:beforeAutospacing="0" w:afterAutospacing="0" w:line="560" w:lineRule="exact"/>
              <w:jc w:val="center"/>
              <w:rPr>
                <w:rFonts w:ascii="仿宋_GB2312" w:hAnsi="宋体" w:eastAsia="仿宋_GB2312" w:cs="Times New Roman"/>
                <w:kern w:val="2"/>
                <w:sz w:val="24"/>
                <w:szCs w:val="24"/>
                <w:highlight w:val="none"/>
              </w:rPr>
            </w:pPr>
          </w:p>
        </w:tc>
      </w:tr>
      <w:tr w14:paraId="4295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tcBorders>
            <w:noWrap w:val="0"/>
            <w:vAlign w:val="center"/>
          </w:tcPr>
          <w:p w14:paraId="07EE804C">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参加工作时间</w:t>
            </w:r>
          </w:p>
        </w:tc>
        <w:tc>
          <w:tcPr>
            <w:tcW w:w="1287" w:type="dxa"/>
            <w:gridSpan w:val="2"/>
            <w:noWrap w:val="0"/>
            <w:vAlign w:val="center"/>
          </w:tcPr>
          <w:p w14:paraId="42A23F93">
            <w:pPr>
              <w:spacing w:beforeAutospacing="0" w:afterAutospacing="0" w:line="560" w:lineRule="exact"/>
              <w:jc w:val="center"/>
              <w:rPr>
                <w:rFonts w:ascii="仿宋_GB2312" w:hAnsi="宋体" w:eastAsia="仿宋_GB2312" w:cs="Times New Roman"/>
                <w:kern w:val="2"/>
                <w:sz w:val="24"/>
                <w:szCs w:val="24"/>
                <w:highlight w:val="none"/>
              </w:rPr>
            </w:pPr>
          </w:p>
        </w:tc>
        <w:tc>
          <w:tcPr>
            <w:tcW w:w="2662" w:type="dxa"/>
            <w:gridSpan w:val="3"/>
            <w:noWrap w:val="0"/>
            <w:vAlign w:val="center"/>
          </w:tcPr>
          <w:p w14:paraId="2E79ECED">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身份证号</w:t>
            </w:r>
          </w:p>
        </w:tc>
        <w:tc>
          <w:tcPr>
            <w:tcW w:w="1713" w:type="dxa"/>
            <w:tcBorders>
              <w:right w:val="single" w:color="auto" w:sz="4" w:space="0"/>
            </w:tcBorders>
            <w:noWrap w:val="0"/>
            <w:vAlign w:val="center"/>
          </w:tcPr>
          <w:p w14:paraId="20494DD9">
            <w:pPr>
              <w:spacing w:beforeAutospacing="0" w:afterAutospacing="0" w:line="560" w:lineRule="exact"/>
              <w:jc w:val="center"/>
              <w:rPr>
                <w:rFonts w:ascii="仿宋_GB2312" w:hAnsi="宋体" w:eastAsia="仿宋_GB2312" w:cs="Times New Roman"/>
                <w:kern w:val="2"/>
                <w:sz w:val="24"/>
                <w:szCs w:val="24"/>
                <w:highlight w:val="none"/>
              </w:rPr>
            </w:pPr>
          </w:p>
        </w:tc>
      </w:tr>
      <w:tr w14:paraId="4B2D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tcBorders>
            <w:noWrap w:val="0"/>
            <w:vAlign w:val="center"/>
          </w:tcPr>
          <w:p w14:paraId="53114B45">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职称证号</w:t>
            </w:r>
          </w:p>
        </w:tc>
        <w:tc>
          <w:tcPr>
            <w:tcW w:w="5662" w:type="dxa"/>
            <w:gridSpan w:val="6"/>
            <w:tcBorders>
              <w:right w:val="single" w:color="auto" w:sz="4" w:space="0"/>
            </w:tcBorders>
            <w:noWrap w:val="0"/>
            <w:vAlign w:val="center"/>
          </w:tcPr>
          <w:p w14:paraId="022DB669">
            <w:pPr>
              <w:spacing w:beforeAutospacing="0" w:afterAutospacing="0" w:line="560" w:lineRule="exact"/>
              <w:rPr>
                <w:rFonts w:ascii="仿宋_GB2312" w:hAnsi="宋体" w:eastAsia="仿宋_GB2312" w:cs="Times New Roman"/>
                <w:kern w:val="2"/>
                <w:sz w:val="24"/>
                <w:szCs w:val="24"/>
                <w:highlight w:val="none"/>
              </w:rPr>
            </w:pPr>
          </w:p>
        </w:tc>
      </w:tr>
      <w:tr w14:paraId="44F2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bottom w:val="single" w:color="auto" w:sz="4" w:space="0"/>
              <w:right w:val="single" w:color="auto" w:sz="4" w:space="0"/>
            </w:tcBorders>
            <w:noWrap w:val="0"/>
            <w:vAlign w:val="center"/>
          </w:tcPr>
          <w:p w14:paraId="35AAB982">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培训合格证编号</w:t>
            </w:r>
          </w:p>
        </w:tc>
        <w:tc>
          <w:tcPr>
            <w:tcW w:w="5662" w:type="dxa"/>
            <w:gridSpan w:val="6"/>
            <w:tcBorders>
              <w:left w:val="single" w:color="auto" w:sz="4" w:space="0"/>
              <w:bottom w:val="single" w:color="auto" w:sz="4" w:space="0"/>
              <w:right w:val="single" w:color="auto" w:sz="4" w:space="0"/>
            </w:tcBorders>
            <w:noWrap w:val="0"/>
            <w:vAlign w:val="center"/>
          </w:tcPr>
          <w:p w14:paraId="34444290">
            <w:pPr>
              <w:spacing w:beforeAutospacing="0" w:afterAutospacing="0" w:line="560" w:lineRule="exact"/>
              <w:rPr>
                <w:rFonts w:ascii="仿宋_GB2312" w:hAnsi="宋体" w:eastAsia="仿宋_GB2312" w:cs="Times New Roman"/>
                <w:kern w:val="2"/>
                <w:sz w:val="24"/>
                <w:szCs w:val="24"/>
                <w:highlight w:val="none"/>
              </w:rPr>
            </w:pPr>
          </w:p>
        </w:tc>
      </w:tr>
      <w:tr w14:paraId="7096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40" w:type="dxa"/>
            <w:gridSpan w:val="8"/>
            <w:tcBorders>
              <w:top w:val="single" w:color="auto" w:sz="4" w:space="0"/>
              <w:left w:val="single" w:color="auto" w:sz="4" w:space="0"/>
              <w:right w:val="single" w:color="auto" w:sz="4" w:space="0"/>
            </w:tcBorders>
            <w:noWrap w:val="0"/>
            <w:vAlign w:val="center"/>
          </w:tcPr>
          <w:p w14:paraId="4DDF43C4">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承担同类或相近工程项目</w:t>
            </w:r>
          </w:p>
        </w:tc>
      </w:tr>
      <w:tr w14:paraId="490C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22F525C9">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建设单位</w:t>
            </w:r>
          </w:p>
        </w:tc>
        <w:tc>
          <w:tcPr>
            <w:tcW w:w="1784" w:type="dxa"/>
            <w:gridSpan w:val="2"/>
            <w:noWrap w:val="0"/>
            <w:vAlign w:val="center"/>
          </w:tcPr>
          <w:p w14:paraId="663F5845">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项目名称</w:t>
            </w:r>
          </w:p>
        </w:tc>
        <w:tc>
          <w:tcPr>
            <w:tcW w:w="2825" w:type="dxa"/>
            <w:gridSpan w:val="3"/>
            <w:noWrap w:val="0"/>
            <w:vAlign w:val="center"/>
          </w:tcPr>
          <w:p w14:paraId="760AF904">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建设规模</w:t>
            </w:r>
          </w:p>
        </w:tc>
        <w:tc>
          <w:tcPr>
            <w:tcW w:w="2345" w:type="dxa"/>
            <w:gridSpan w:val="2"/>
            <w:tcBorders>
              <w:right w:val="single" w:color="auto" w:sz="4" w:space="0"/>
            </w:tcBorders>
            <w:noWrap w:val="0"/>
            <w:vAlign w:val="center"/>
          </w:tcPr>
          <w:p w14:paraId="66D49AC0">
            <w:pPr>
              <w:spacing w:beforeAutospacing="0" w:afterAutospacing="0" w:line="560" w:lineRule="exact"/>
              <w:jc w:val="center"/>
              <w:rPr>
                <w:rFonts w:hint="eastAsia"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服务时间</w:t>
            </w:r>
          </w:p>
          <w:p w14:paraId="0933A286">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（年、月）</w:t>
            </w:r>
          </w:p>
        </w:tc>
      </w:tr>
      <w:tr w14:paraId="3143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08C248AE">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4CFEB343">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4FC491C6">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15B8CE3D">
            <w:pPr>
              <w:spacing w:beforeAutospacing="0" w:afterAutospacing="0" w:line="560" w:lineRule="exact"/>
              <w:jc w:val="center"/>
              <w:rPr>
                <w:rFonts w:ascii="仿宋_GB2312" w:hAnsi="宋体" w:eastAsia="仿宋_GB2312" w:cs="Times New Roman"/>
                <w:kern w:val="2"/>
                <w:sz w:val="24"/>
                <w:szCs w:val="24"/>
                <w:highlight w:val="none"/>
              </w:rPr>
            </w:pPr>
          </w:p>
        </w:tc>
      </w:tr>
      <w:tr w14:paraId="5DD0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0C23ED48">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60D876AE">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5BE6B997">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6F3013D3">
            <w:pPr>
              <w:spacing w:beforeAutospacing="0" w:afterAutospacing="0" w:line="560" w:lineRule="exact"/>
              <w:jc w:val="center"/>
              <w:rPr>
                <w:rFonts w:ascii="仿宋_GB2312" w:hAnsi="宋体" w:eastAsia="仿宋_GB2312" w:cs="Times New Roman"/>
                <w:kern w:val="2"/>
                <w:sz w:val="24"/>
                <w:szCs w:val="24"/>
                <w:highlight w:val="none"/>
              </w:rPr>
            </w:pPr>
          </w:p>
        </w:tc>
      </w:tr>
      <w:tr w14:paraId="368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48F21F2B">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18E6A91A">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306F3106">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4CBB78A3">
            <w:pPr>
              <w:spacing w:beforeAutospacing="0" w:afterAutospacing="0" w:line="560" w:lineRule="exact"/>
              <w:jc w:val="center"/>
              <w:rPr>
                <w:rFonts w:ascii="仿宋_GB2312" w:hAnsi="宋体" w:eastAsia="仿宋_GB2312" w:cs="Times New Roman"/>
                <w:kern w:val="2"/>
                <w:sz w:val="24"/>
                <w:szCs w:val="24"/>
                <w:highlight w:val="none"/>
              </w:rPr>
            </w:pPr>
          </w:p>
        </w:tc>
      </w:tr>
      <w:tr w14:paraId="567F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86" w:type="dxa"/>
            <w:tcBorders>
              <w:left w:val="single" w:color="auto" w:sz="4" w:space="0"/>
              <w:bottom w:val="single" w:color="auto" w:sz="4" w:space="0"/>
            </w:tcBorders>
            <w:noWrap w:val="0"/>
            <w:vAlign w:val="center"/>
          </w:tcPr>
          <w:p w14:paraId="7E566D15">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tcBorders>
              <w:bottom w:val="single" w:color="auto" w:sz="4" w:space="0"/>
            </w:tcBorders>
            <w:noWrap w:val="0"/>
            <w:vAlign w:val="center"/>
          </w:tcPr>
          <w:p w14:paraId="41EB1948">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tcBorders>
              <w:bottom w:val="single" w:color="auto" w:sz="4" w:space="0"/>
            </w:tcBorders>
            <w:noWrap w:val="0"/>
            <w:vAlign w:val="center"/>
          </w:tcPr>
          <w:p w14:paraId="1B60AD2E">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bottom w:val="single" w:color="auto" w:sz="4" w:space="0"/>
              <w:right w:val="single" w:color="auto" w:sz="4" w:space="0"/>
            </w:tcBorders>
            <w:noWrap w:val="0"/>
            <w:vAlign w:val="center"/>
          </w:tcPr>
          <w:p w14:paraId="5087B5FB">
            <w:pPr>
              <w:spacing w:beforeAutospacing="0" w:afterAutospacing="0" w:line="560" w:lineRule="exact"/>
              <w:jc w:val="center"/>
              <w:rPr>
                <w:rFonts w:ascii="仿宋_GB2312" w:hAnsi="宋体" w:eastAsia="仿宋_GB2312" w:cs="Times New Roman"/>
                <w:kern w:val="2"/>
                <w:sz w:val="24"/>
                <w:szCs w:val="24"/>
                <w:highlight w:val="none"/>
              </w:rPr>
            </w:pPr>
          </w:p>
        </w:tc>
      </w:tr>
    </w:tbl>
    <w:p w14:paraId="5D26FA6D">
      <w:pPr>
        <w:spacing w:beforeAutospacing="0" w:afterAutospacing="0" w:line="240" w:lineRule="auto"/>
        <w:ind w:firstLine="480" w:firstLineChars="200"/>
        <w:rPr>
          <w:rFonts w:ascii="仿宋_GB2312" w:hAnsi="Calibri" w:eastAsia="仿宋_GB2312" w:cs="Times New Roman"/>
          <w:kern w:val="2"/>
          <w:sz w:val="24"/>
          <w:szCs w:val="24"/>
          <w:highlight w:val="none"/>
        </w:rPr>
      </w:pPr>
      <w:r>
        <w:rPr>
          <w:rFonts w:hint="eastAsia" w:ascii="仿宋_GB2312" w:hAnsi="Calibri" w:eastAsia="仿宋_GB2312" w:cs="Times New Roman"/>
          <w:kern w:val="2"/>
          <w:sz w:val="24"/>
          <w:szCs w:val="24"/>
          <w:highlight w:val="none"/>
        </w:rPr>
        <w:t>1、项目负责人介绍应包括：姓名、性别、年龄、职称、参加工作时间、从事项目年限和能反映该负责人情况的其他内容。</w:t>
      </w:r>
    </w:p>
    <w:p w14:paraId="50E31078">
      <w:pPr>
        <w:spacing w:beforeAutospacing="0" w:afterAutospacing="0" w:line="240" w:lineRule="auto"/>
        <w:ind w:firstLine="480" w:firstLineChars="200"/>
        <w:rPr>
          <w:rFonts w:ascii="仿宋_GB2312" w:hAnsi="Calibri" w:eastAsia="仿宋_GB2312" w:cs="Times New Roman"/>
          <w:kern w:val="2"/>
          <w:sz w:val="24"/>
          <w:szCs w:val="24"/>
          <w:highlight w:val="none"/>
        </w:rPr>
      </w:pPr>
      <w:r>
        <w:rPr>
          <w:rFonts w:hint="eastAsia" w:ascii="仿宋_GB2312" w:hAnsi="Calibri" w:eastAsia="仿宋_GB2312" w:cs="Times New Roman"/>
          <w:kern w:val="2"/>
          <w:sz w:val="24"/>
          <w:szCs w:val="24"/>
          <w:highlight w:val="none"/>
        </w:rPr>
        <w:t>2、项目负责人应提供职称证书复印件、</w:t>
      </w:r>
      <w:r>
        <w:rPr>
          <w:rFonts w:hint="eastAsia" w:ascii="仿宋_GB2312" w:hAnsi="Calibri" w:eastAsia="仿宋_GB2312" w:cs="Times New Roman"/>
          <w:kern w:val="2"/>
          <w:sz w:val="24"/>
          <w:szCs w:val="24"/>
          <w:highlight w:val="none"/>
          <w:lang w:val="en-US" w:eastAsia="zh-CN"/>
        </w:rPr>
        <w:t>学历证</w:t>
      </w:r>
      <w:r>
        <w:rPr>
          <w:rFonts w:hint="eastAsia" w:ascii="仿宋_GB2312" w:hAnsi="Calibri" w:eastAsia="仿宋_GB2312" w:cs="Times New Roman"/>
          <w:kern w:val="2"/>
          <w:sz w:val="24"/>
          <w:szCs w:val="24"/>
          <w:highlight w:val="none"/>
        </w:rPr>
        <w:t>、</w:t>
      </w:r>
      <w:r>
        <w:rPr>
          <w:rFonts w:hint="eastAsia" w:ascii="仿宋_GB2312" w:hAnsi="Calibri" w:eastAsia="仿宋_GB2312" w:cs="Times New Roman"/>
          <w:kern w:val="2"/>
          <w:sz w:val="24"/>
          <w:szCs w:val="24"/>
          <w:highlight w:val="none"/>
          <w:lang w:val="en-US" w:eastAsia="zh-CN"/>
        </w:rPr>
        <w:t>业绩</w:t>
      </w:r>
      <w:r>
        <w:rPr>
          <w:rFonts w:hint="eastAsia" w:ascii="仿宋_GB2312" w:hAnsi="Calibri" w:eastAsia="仿宋_GB2312" w:cs="Times New Roman"/>
          <w:kern w:val="2"/>
          <w:sz w:val="24"/>
          <w:szCs w:val="24"/>
          <w:highlight w:val="none"/>
        </w:rPr>
        <w:t>合同复印件，需体现出是项目负责人或经办人。</w:t>
      </w:r>
    </w:p>
    <w:p w14:paraId="1E46F1B2">
      <w:pPr>
        <w:spacing w:beforeAutospacing="0" w:afterAutospacing="0" w:line="480" w:lineRule="auto"/>
        <w:jc w:val="both"/>
        <w:rPr>
          <w:rFonts w:hint="eastAsia" w:ascii="仿宋" w:hAnsi="仿宋" w:eastAsia="仿宋" w:cs="仿宋"/>
          <w:kern w:val="2"/>
          <w:sz w:val="24"/>
          <w:szCs w:val="24"/>
          <w:highlight w:val="none"/>
        </w:rPr>
      </w:pPr>
    </w:p>
    <w:p w14:paraId="4E752FF6">
      <w:pPr>
        <w:pStyle w:val="2"/>
        <w:rPr>
          <w:rFonts w:hint="eastAsia" w:ascii="仿宋" w:hAnsi="仿宋" w:eastAsia="仿宋" w:cs="仿宋"/>
          <w:kern w:val="2"/>
          <w:sz w:val="24"/>
          <w:szCs w:val="24"/>
          <w:highlight w:val="none"/>
        </w:rPr>
      </w:pPr>
    </w:p>
    <w:p w14:paraId="33261871">
      <w:pPr>
        <w:pStyle w:val="2"/>
        <w:rPr>
          <w:rFonts w:hint="eastAsia" w:ascii="仿宋" w:hAnsi="仿宋" w:eastAsia="仿宋" w:cs="仿宋"/>
          <w:kern w:val="2"/>
          <w:sz w:val="24"/>
          <w:szCs w:val="24"/>
          <w:highlight w:val="none"/>
        </w:rPr>
      </w:pPr>
    </w:p>
    <w:p w14:paraId="55108809">
      <w:pPr>
        <w:pStyle w:val="2"/>
        <w:rPr>
          <w:rFonts w:hint="eastAsia" w:ascii="仿宋" w:hAnsi="仿宋" w:eastAsia="仿宋" w:cs="仿宋"/>
          <w:kern w:val="2"/>
          <w:sz w:val="24"/>
          <w:szCs w:val="24"/>
          <w:highlight w:val="none"/>
        </w:rPr>
      </w:pPr>
    </w:p>
    <w:p w14:paraId="6C883602">
      <w:pPr>
        <w:pStyle w:val="2"/>
        <w:rPr>
          <w:rFonts w:hint="eastAsia" w:ascii="仿宋" w:hAnsi="仿宋" w:eastAsia="仿宋" w:cs="仿宋"/>
          <w:kern w:val="2"/>
          <w:sz w:val="24"/>
          <w:szCs w:val="24"/>
          <w:highlight w:val="none"/>
        </w:rPr>
      </w:pPr>
    </w:p>
    <w:p w14:paraId="0DC6D953">
      <w:pPr>
        <w:pStyle w:val="2"/>
        <w:rPr>
          <w:rFonts w:hint="eastAsia" w:ascii="仿宋" w:hAnsi="仿宋" w:eastAsia="仿宋" w:cs="仿宋"/>
          <w:kern w:val="2"/>
          <w:sz w:val="24"/>
          <w:szCs w:val="24"/>
          <w:highlight w:val="none"/>
        </w:rPr>
      </w:pPr>
    </w:p>
    <w:p w14:paraId="2D53BB09">
      <w:pPr>
        <w:rPr>
          <w:rFonts w:hint="eastAsia" w:ascii="仿宋" w:hAnsi="仿宋" w:eastAsia="仿宋" w:cs="仿宋"/>
          <w:kern w:val="2"/>
          <w:sz w:val="24"/>
          <w:szCs w:val="24"/>
          <w:highlight w:val="none"/>
        </w:rPr>
      </w:pPr>
    </w:p>
    <w:p w14:paraId="1B0AB836">
      <w:pPr>
        <w:rPr>
          <w:rFonts w:hint="eastAsia" w:ascii="仿宋" w:hAnsi="仿宋" w:eastAsia="仿宋" w:cs="仿宋"/>
          <w:kern w:val="2"/>
          <w:sz w:val="24"/>
          <w:szCs w:val="24"/>
          <w:highlight w:val="none"/>
        </w:rPr>
      </w:pPr>
    </w:p>
    <w:p w14:paraId="292F5765">
      <w:pPr>
        <w:rPr>
          <w:rFonts w:hint="eastAsia" w:ascii="仿宋" w:hAnsi="仿宋" w:eastAsia="仿宋" w:cs="仿宋"/>
          <w:kern w:val="2"/>
          <w:sz w:val="24"/>
          <w:szCs w:val="24"/>
          <w:highlight w:val="none"/>
        </w:rPr>
      </w:pPr>
    </w:p>
    <w:p w14:paraId="64A6053D">
      <w:pPr>
        <w:pStyle w:val="2"/>
        <w:rPr>
          <w:rFonts w:hint="eastAsia" w:ascii="仿宋" w:hAnsi="仿宋" w:eastAsia="仿宋" w:cs="仿宋"/>
          <w:kern w:val="2"/>
          <w:sz w:val="24"/>
          <w:szCs w:val="24"/>
          <w:highlight w:val="none"/>
        </w:rPr>
      </w:pPr>
    </w:p>
    <w:p w14:paraId="2CDB16EA">
      <w:pPr>
        <w:spacing w:beforeAutospacing="0" w:afterAutospacing="0" w:line="600" w:lineRule="auto"/>
        <w:jc w:val="center"/>
        <w:rPr>
          <w:rFonts w:hint="eastAsia" w:ascii="仿宋_GB2312" w:hAnsi="宋体" w:eastAsia="仿宋_GB2312" w:cs="Times New Roman"/>
          <w:b/>
          <w:bCs/>
          <w:kern w:val="2"/>
          <w:sz w:val="28"/>
          <w:szCs w:val="28"/>
          <w:highlight w:val="none"/>
          <w:lang w:val="en-US" w:eastAsia="zh-CN"/>
        </w:rPr>
      </w:pPr>
      <w:bookmarkStart w:id="187" w:name="_Toc217446091"/>
      <w:r>
        <w:rPr>
          <w:rFonts w:hint="eastAsia" w:ascii="仿宋_GB2312" w:hAnsi="宋体" w:eastAsia="仿宋_GB2312" w:cs="Times New Roman"/>
          <w:b/>
          <w:bCs/>
          <w:kern w:val="2"/>
          <w:sz w:val="28"/>
          <w:szCs w:val="28"/>
          <w:highlight w:val="none"/>
          <w:lang w:val="en-US" w:eastAsia="zh-CN"/>
        </w:rPr>
        <w:t>项目负责人无在建工程承诺书</w:t>
      </w:r>
    </w:p>
    <w:p w14:paraId="29B8CCF8">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仿宋" w:hAnsi="仿宋" w:eastAsia="仿宋" w:cs="仿宋"/>
          <w:b w:val="0"/>
          <w:bCs/>
          <w:color w:val="000000"/>
          <w:kern w:val="0"/>
          <w:sz w:val="24"/>
          <w:szCs w:val="24"/>
          <w:highlight w:val="none"/>
          <w:u w:val="single"/>
          <w:lang w:val="en-US" w:eastAsia="zh-CN"/>
        </w:rPr>
      </w:pP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（采购人名称）：</w:t>
      </w:r>
    </w:p>
    <w:p w14:paraId="1A295AEA">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我方在此声明，我方拟派往（项目名称、标段）</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lang w:val="en-US" w:eastAsia="zh-CN"/>
        </w:rPr>
        <w:t>（以下简称“本工程”）的项目负责人</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（项目负责人姓名)</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（项目负责人身份证号)</w:t>
      </w:r>
      <w:r>
        <w:rPr>
          <w:rFonts w:hint="eastAsia" w:ascii="仿宋" w:hAnsi="仿宋" w:eastAsia="仿宋" w:cs="仿宋"/>
          <w:b w:val="0"/>
          <w:bCs/>
          <w:color w:val="000000"/>
          <w:kern w:val="0"/>
          <w:sz w:val="24"/>
          <w:szCs w:val="24"/>
          <w:highlight w:val="none"/>
          <w:lang w:val="en-US" w:eastAsia="zh-CN"/>
        </w:rPr>
        <w:t>现阶段没有担任任何在施建设工程项目。</w:t>
      </w:r>
    </w:p>
    <w:p w14:paraId="0BA60485">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我方保证上述信息的真实和准确，并愿意承担因我方就此弄虚作假所引起的一切法律后果。</w:t>
      </w:r>
    </w:p>
    <w:p w14:paraId="2B3B7ACC">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仿宋" w:hAnsi="仿宋" w:eastAsia="仿宋" w:cs="仿宋"/>
          <w:bCs w:val="0"/>
          <w:color w:val="000000"/>
          <w:kern w:val="0"/>
          <w:sz w:val="24"/>
          <w:szCs w:val="24"/>
          <w:highlight w:val="none"/>
          <w:lang w:val="en-US" w:eastAsia="zh-CN"/>
        </w:rPr>
      </w:pPr>
    </w:p>
    <w:p w14:paraId="2EF83755">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特此承诺！</w:t>
      </w:r>
    </w:p>
    <w:p w14:paraId="58EFB95C">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p>
    <w:p w14:paraId="258B3A77">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p>
    <w:p w14:paraId="42B8C833">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        （盖章）</w:t>
      </w:r>
    </w:p>
    <w:p w14:paraId="10F13991">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法定代表人或授权代表（签字或盖章）：</w:t>
      </w:r>
    </w:p>
    <w:p w14:paraId="6D62F711">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日    期：     年     月    日</w:t>
      </w:r>
    </w:p>
    <w:p w14:paraId="29898AC4">
      <w:pPr>
        <w:pStyle w:val="35"/>
        <w:keepNext/>
        <w:keepLines/>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 w:hAnsi="仿宋" w:eastAsia="仿宋" w:cs="仿宋"/>
          <w:bCs w:val="0"/>
          <w:color w:val="000000"/>
          <w:kern w:val="0"/>
          <w:sz w:val="28"/>
          <w:szCs w:val="28"/>
          <w:highlight w:val="none"/>
          <w:lang w:val="en-US" w:eastAsia="zh-CN"/>
        </w:rPr>
      </w:pPr>
      <w:r>
        <w:rPr>
          <w:rFonts w:hint="eastAsia" w:ascii="仿宋" w:hAnsi="仿宋" w:eastAsia="仿宋" w:cs="仿宋"/>
          <w:bCs w:val="0"/>
          <w:color w:val="000000"/>
          <w:kern w:val="0"/>
          <w:sz w:val="24"/>
          <w:szCs w:val="24"/>
          <w:highlight w:val="none"/>
          <w:lang w:val="en-US" w:eastAsia="zh-CN"/>
        </w:rPr>
        <w:br w:type="page"/>
      </w:r>
      <w:r>
        <w:rPr>
          <w:rFonts w:hint="eastAsia" w:ascii="仿宋" w:hAnsi="仿宋" w:eastAsia="仿宋" w:cs="仿宋"/>
          <w:color w:val="000000"/>
          <w:sz w:val="28"/>
          <w:szCs w:val="28"/>
          <w:highlight w:val="none"/>
          <w:lang w:val="en-US" w:eastAsia="zh-CN"/>
        </w:rPr>
        <w:t>七、供应商类似项目业绩一览表</w:t>
      </w:r>
    </w:p>
    <w:p w14:paraId="2B610EA5">
      <w:pPr>
        <w:pStyle w:val="43"/>
        <w:rPr>
          <w:rFonts w:hint="eastAsia" w:ascii="仿宋" w:hAnsi="仿宋" w:eastAsia="仿宋" w:cs="仿宋"/>
          <w:bCs/>
          <w:color w:val="000000"/>
          <w:kern w:val="0"/>
          <w:sz w:val="24"/>
          <w:szCs w:val="24"/>
          <w:highlight w:val="none"/>
          <w:lang w:val="en-US" w:eastAsia="zh-CN"/>
        </w:rPr>
      </w:pPr>
    </w:p>
    <w:p w14:paraId="5C825A39">
      <w:pPr>
        <w:spacing w:beforeAutospacing="0" w:afterAutospacing="0" w:line="480" w:lineRule="auto"/>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近三年类似工程业绩证明材料</w:t>
      </w:r>
    </w:p>
    <w:tbl>
      <w:tblPr>
        <w:tblStyle w:val="26"/>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5698"/>
      </w:tblGrid>
      <w:tr w14:paraId="6CE6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8DC40D0">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项目名称</w:t>
            </w:r>
          </w:p>
        </w:tc>
        <w:tc>
          <w:tcPr>
            <w:tcW w:w="5698" w:type="dxa"/>
            <w:noWrap w:val="0"/>
            <w:vAlign w:val="center"/>
          </w:tcPr>
          <w:p w14:paraId="721794AF">
            <w:pPr>
              <w:spacing w:beforeAutospacing="0" w:afterAutospacing="0" w:line="240" w:lineRule="auto"/>
              <w:rPr>
                <w:rFonts w:hint="eastAsia" w:ascii="仿宋" w:hAnsi="仿宋" w:eastAsia="仿宋" w:cs="仿宋"/>
                <w:kern w:val="2"/>
                <w:sz w:val="24"/>
                <w:szCs w:val="24"/>
                <w:highlight w:val="none"/>
              </w:rPr>
            </w:pPr>
          </w:p>
        </w:tc>
      </w:tr>
      <w:tr w14:paraId="19A9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B0A4E3B">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项目所在地</w:t>
            </w:r>
          </w:p>
        </w:tc>
        <w:tc>
          <w:tcPr>
            <w:tcW w:w="5698" w:type="dxa"/>
            <w:noWrap w:val="0"/>
            <w:vAlign w:val="center"/>
          </w:tcPr>
          <w:p w14:paraId="55F47099">
            <w:pPr>
              <w:spacing w:beforeAutospacing="0" w:afterAutospacing="0" w:line="240" w:lineRule="auto"/>
              <w:rPr>
                <w:rFonts w:hint="eastAsia" w:ascii="仿宋" w:hAnsi="仿宋" w:eastAsia="仿宋" w:cs="仿宋"/>
                <w:kern w:val="2"/>
                <w:sz w:val="24"/>
                <w:szCs w:val="24"/>
                <w:highlight w:val="none"/>
              </w:rPr>
            </w:pPr>
          </w:p>
        </w:tc>
      </w:tr>
      <w:tr w14:paraId="506E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1285CFE1">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发包人名称</w:t>
            </w:r>
          </w:p>
        </w:tc>
        <w:tc>
          <w:tcPr>
            <w:tcW w:w="5698" w:type="dxa"/>
            <w:noWrap w:val="0"/>
            <w:vAlign w:val="center"/>
          </w:tcPr>
          <w:p w14:paraId="6EA03AC2">
            <w:pPr>
              <w:spacing w:beforeAutospacing="0" w:afterAutospacing="0" w:line="240" w:lineRule="auto"/>
              <w:rPr>
                <w:rFonts w:hint="eastAsia" w:ascii="仿宋" w:hAnsi="仿宋" w:eastAsia="仿宋" w:cs="仿宋"/>
                <w:kern w:val="2"/>
                <w:sz w:val="24"/>
                <w:szCs w:val="24"/>
                <w:highlight w:val="none"/>
              </w:rPr>
            </w:pPr>
          </w:p>
        </w:tc>
      </w:tr>
      <w:tr w14:paraId="328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12D3F62">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发包人地址</w:t>
            </w:r>
          </w:p>
        </w:tc>
        <w:tc>
          <w:tcPr>
            <w:tcW w:w="5698" w:type="dxa"/>
            <w:noWrap w:val="0"/>
            <w:vAlign w:val="center"/>
          </w:tcPr>
          <w:p w14:paraId="0A5FB129">
            <w:pPr>
              <w:spacing w:beforeAutospacing="0" w:afterAutospacing="0" w:line="240" w:lineRule="auto"/>
              <w:rPr>
                <w:rFonts w:hint="eastAsia" w:ascii="仿宋" w:hAnsi="仿宋" w:eastAsia="仿宋" w:cs="仿宋"/>
                <w:kern w:val="2"/>
                <w:sz w:val="24"/>
                <w:szCs w:val="24"/>
                <w:highlight w:val="none"/>
              </w:rPr>
            </w:pPr>
          </w:p>
        </w:tc>
      </w:tr>
      <w:tr w14:paraId="5308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7798EBE">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发包人联系人及电话</w:t>
            </w:r>
          </w:p>
        </w:tc>
        <w:tc>
          <w:tcPr>
            <w:tcW w:w="5698" w:type="dxa"/>
            <w:noWrap w:val="0"/>
            <w:vAlign w:val="center"/>
          </w:tcPr>
          <w:p w14:paraId="47C6AA92">
            <w:pPr>
              <w:spacing w:beforeAutospacing="0" w:afterAutospacing="0" w:line="240" w:lineRule="auto"/>
              <w:rPr>
                <w:rFonts w:hint="eastAsia" w:ascii="仿宋" w:hAnsi="仿宋" w:eastAsia="仿宋" w:cs="仿宋"/>
                <w:kern w:val="2"/>
                <w:sz w:val="24"/>
                <w:szCs w:val="24"/>
                <w:highlight w:val="none"/>
              </w:rPr>
            </w:pPr>
          </w:p>
        </w:tc>
      </w:tr>
      <w:tr w14:paraId="059B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951BDBD">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合同价格</w:t>
            </w:r>
          </w:p>
        </w:tc>
        <w:tc>
          <w:tcPr>
            <w:tcW w:w="5698" w:type="dxa"/>
            <w:noWrap w:val="0"/>
            <w:vAlign w:val="center"/>
          </w:tcPr>
          <w:p w14:paraId="5D99911F">
            <w:pPr>
              <w:spacing w:beforeAutospacing="0" w:afterAutospacing="0" w:line="240" w:lineRule="auto"/>
              <w:rPr>
                <w:rFonts w:hint="eastAsia" w:ascii="仿宋" w:hAnsi="仿宋" w:eastAsia="仿宋" w:cs="仿宋"/>
                <w:kern w:val="2"/>
                <w:sz w:val="24"/>
                <w:szCs w:val="24"/>
                <w:highlight w:val="none"/>
              </w:rPr>
            </w:pPr>
          </w:p>
        </w:tc>
      </w:tr>
      <w:tr w14:paraId="4C9E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97FDD56">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开工日期</w:t>
            </w:r>
          </w:p>
        </w:tc>
        <w:tc>
          <w:tcPr>
            <w:tcW w:w="5698" w:type="dxa"/>
            <w:noWrap w:val="0"/>
            <w:vAlign w:val="center"/>
          </w:tcPr>
          <w:p w14:paraId="6BFAAF05">
            <w:pPr>
              <w:spacing w:beforeAutospacing="0" w:afterAutospacing="0" w:line="240" w:lineRule="auto"/>
              <w:rPr>
                <w:rFonts w:hint="eastAsia" w:ascii="仿宋" w:hAnsi="仿宋" w:eastAsia="仿宋" w:cs="仿宋"/>
                <w:kern w:val="2"/>
                <w:sz w:val="24"/>
                <w:szCs w:val="24"/>
                <w:highlight w:val="none"/>
              </w:rPr>
            </w:pPr>
          </w:p>
        </w:tc>
      </w:tr>
      <w:tr w14:paraId="5C4A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23FBBA41">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竣工日期</w:t>
            </w:r>
          </w:p>
        </w:tc>
        <w:tc>
          <w:tcPr>
            <w:tcW w:w="5698" w:type="dxa"/>
            <w:noWrap w:val="0"/>
            <w:vAlign w:val="center"/>
          </w:tcPr>
          <w:p w14:paraId="587EB0AA">
            <w:pPr>
              <w:spacing w:beforeAutospacing="0" w:afterAutospacing="0" w:line="240" w:lineRule="auto"/>
              <w:rPr>
                <w:rFonts w:hint="eastAsia" w:ascii="仿宋" w:hAnsi="仿宋" w:eastAsia="仿宋" w:cs="仿宋"/>
                <w:kern w:val="2"/>
                <w:sz w:val="24"/>
                <w:szCs w:val="24"/>
                <w:highlight w:val="none"/>
              </w:rPr>
            </w:pPr>
          </w:p>
        </w:tc>
      </w:tr>
      <w:tr w14:paraId="7B35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198F3E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承担的工作</w:t>
            </w:r>
          </w:p>
        </w:tc>
        <w:tc>
          <w:tcPr>
            <w:tcW w:w="5698" w:type="dxa"/>
            <w:noWrap w:val="0"/>
            <w:vAlign w:val="center"/>
          </w:tcPr>
          <w:p w14:paraId="41250AD1">
            <w:pPr>
              <w:spacing w:beforeAutospacing="0" w:afterAutospacing="0" w:line="240" w:lineRule="auto"/>
              <w:rPr>
                <w:rFonts w:hint="eastAsia" w:ascii="仿宋" w:hAnsi="仿宋" w:eastAsia="仿宋" w:cs="仿宋"/>
                <w:kern w:val="2"/>
                <w:sz w:val="24"/>
                <w:szCs w:val="24"/>
                <w:highlight w:val="none"/>
              </w:rPr>
            </w:pPr>
          </w:p>
        </w:tc>
      </w:tr>
      <w:tr w14:paraId="4292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7A2D2B4B">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工程质量</w:t>
            </w:r>
          </w:p>
        </w:tc>
        <w:tc>
          <w:tcPr>
            <w:tcW w:w="5698" w:type="dxa"/>
            <w:noWrap w:val="0"/>
            <w:vAlign w:val="center"/>
          </w:tcPr>
          <w:p w14:paraId="735815A8">
            <w:pPr>
              <w:spacing w:beforeAutospacing="0" w:afterAutospacing="0" w:line="240" w:lineRule="auto"/>
              <w:rPr>
                <w:rFonts w:hint="eastAsia" w:ascii="仿宋" w:hAnsi="仿宋" w:eastAsia="仿宋" w:cs="仿宋"/>
                <w:kern w:val="2"/>
                <w:sz w:val="24"/>
                <w:szCs w:val="24"/>
                <w:highlight w:val="none"/>
              </w:rPr>
            </w:pPr>
          </w:p>
        </w:tc>
      </w:tr>
      <w:tr w14:paraId="568C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4FF8D6E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项目负责人</w:t>
            </w:r>
          </w:p>
        </w:tc>
        <w:tc>
          <w:tcPr>
            <w:tcW w:w="5698" w:type="dxa"/>
            <w:noWrap w:val="0"/>
            <w:vAlign w:val="center"/>
          </w:tcPr>
          <w:p w14:paraId="54C487FC">
            <w:pPr>
              <w:spacing w:beforeAutospacing="0" w:afterAutospacing="0" w:line="240" w:lineRule="auto"/>
              <w:rPr>
                <w:rFonts w:hint="eastAsia" w:ascii="仿宋" w:hAnsi="仿宋" w:eastAsia="仿宋" w:cs="仿宋"/>
                <w:kern w:val="2"/>
                <w:sz w:val="24"/>
                <w:szCs w:val="24"/>
                <w:highlight w:val="none"/>
              </w:rPr>
            </w:pPr>
          </w:p>
        </w:tc>
      </w:tr>
      <w:tr w14:paraId="5F1D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39F6F4F">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技术负责人</w:t>
            </w:r>
          </w:p>
        </w:tc>
        <w:tc>
          <w:tcPr>
            <w:tcW w:w="5698" w:type="dxa"/>
            <w:noWrap w:val="0"/>
            <w:vAlign w:val="center"/>
          </w:tcPr>
          <w:p w14:paraId="097A7EF2">
            <w:pPr>
              <w:spacing w:beforeAutospacing="0" w:afterAutospacing="0" w:line="240" w:lineRule="auto"/>
              <w:rPr>
                <w:rFonts w:hint="eastAsia" w:ascii="仿宋" w:hAnsi="仿宋" w:eastAsia="仿宋" w:cs="仿宋"/>
                <w:kern w:val="2"/>
                <w:sz w:val="24"/>
                <w:szCs w:val="24"/>
                <w:highlight w:val="none"/>
              </w:rPr>
            </w:pPr>
          </w:p>
        </w:tc>
      </w:tr>
      <w:tr w14:paraId="2B46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E0034F3">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总监理工程师及电话</w:t>
            </w:r>
          </w:p>
        </w:tc>
        <w:tc>
          <w:tcPr>
            <w:tcW w:w="5698" w:type="dxa"/>
            <w:noWrap w:val="0"/>
            <w:vAlign w:val="center"/>
          </w:tcPr>
          <w:p w14:paraId="7A99B993">
            <w:pPr>
              <w:spacing w:beforeAutospacing="0" w:afterAutospacing="0" w:line="240" w:lineRule="auto"/>
              <w:rPr>
                <w:rFonts w:hint="eastAsia" w:ascii="仿宋" w:hAnsi="仿宋" w:eastAsia="仿宋" w:cs="仿宋"/>
                <w:kern w:val="2"/>
                <w:sz w:val="24"/>
                <w:szCs w:val="24"/>
                <w:highlight w:val="none"/>
              </w:rPr>
            </w:pPr>
          </w:p>
        </w:tc>
      </w:tr>
      <w:tr w14:paraId="624E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3" w:hRule="atLeast"/>
          <w:jc w:val="center"/>
        </w:trPr>
        <w:tc>
          <w:tcPr>
            <w:tcW w:w="2517" w:type="dxa"/>
            <w:noWrap w:val="0"/>
            <w:vAlign w:val="center"/>
          </w:tcPr>
          <w:p w14:paraId="7E317B8E">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项目描述</w:t>
            </w:r>
          </w:p>
        </w:tc>
        <w:tc>
          <w:tcPr>
            <w:tcW w:w="5698" w:type="dxa"/>
            <w:noWrap w:val="0"/>
            <w:vAlign w:val="center"/>
          </w:tcPr>
          <w:p w14:paraId="7417A84A">
            <w:pPr>
              <w:spacing w:beforeAutospacing="0" w:afterAutospacing="0" w:line="240" w:lineRule="auto"/>
              <w:rPr>
                <w:rFonts w:hint="eastAsia" w:ascii="仿宋" w:hAnsi="仿宋" w:eastAsia="仿宋" w:cs="仿宋"/>
                <w:kern w:val="2"/>
                <w:sz w:val="24"/>
                <w:szCs w:val="24"/>
                <w:highlight w:val="none"/>
              </w:rPr>
            </w:pPr>
          </w:p>
        </w:tc>
      </w:tr>
      <w:tr w14:paraId="4584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488E17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tc>
        <w:tc>
          <w:tcPr>
            <w:tcW w:w="5698" w:type="dxa"/>
            <w:noWrap w:val="0"/>
            <w:vAlign w:val="center"/>
          </w:tcPr>
          <w:p w14:paraId="38B77BE7">
            <w:pPr>
              <w:spacing w:beforeAutospacing="0" w:afterAutospacing="0" w:line="240" w:lineRule="auto"/>
              <w:rPr>
                <w:rFonts w:hint="eastAsia" w:ascii="仿宋" w:hAnsi="仿宋" w:eastAsia="仿宋" w:cs="仿宋"/>
                <w:kern w:val="2"/>
                <w:sz w:val="24"/>
                <w:szCs w:val="24"/>
                <w:highlight w:val="none"/>
              </w:rPr>
            </w:pPr>
          </w:p>
        </w:tc>
      </w:tr>
    </w:tbl>
    <w:p w14:paraId="4D2203B8">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p w14:paraId="1D080F3F">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1、本表后附中标</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成交</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通知书复印件</w:t>
      </w:r>
      <w:r>
        <w:rPr>
          <w:rFonts w:hint="eastAsia" w:ascii="仿宋" w:hAnsi="仿宋" w:eastAsia="仿宋" w:cs="仿宋"/>
          <w:kern w:val="2"/>
          <w:sz w:val="24"/>
          <w:szCs w:val="24"/>
          <w:highlight w:val="none"/>
          <w:lang w:val="en-US" w:eastAsia="zh-CN"/>
        </w:rPr>
        <w:t>或</w:t>
      </w:r>
      <w:r>
        <w:rPr>
          <w:rFonts w:hint="eastAsia" w:ascii="仿宋" w:hAnsi="仿宋" w:eastAsia="仿宋" w:cs="仿宋"/>
          <w:kern w:val="2"/>
          <w:sz w:val="24"/>
          <w:szCs w:val="24"/>
          <w:highlight w:val="none"/>
        </w:rPr>
        <w:t>施工合同</w:t>
      </w:r>
      <w:r>
        <w:rPr>
          <w:rFonts w:hint="eastAsia" w:ascii="仿宋" w:hAnsi="仿宋" w:eastAsia="仿宋" w:cs="仿宋"/>
          <w:kern w:val="2"/>
          <w:sz w:val="24"/>
          <w:szCs w:val="24"/>
          <w:highlight w:val="none"/>
          <w:lang w:eastAsia="zh-CN"/>
        </w:rPr>
        <w:t>复印件</w:t>
      </w:r>
      <w:r>
        <w:rPr>
          <w:rFonts w:hint="eastAsia" w:ascii="仿宋" w:hAnsi="仿宋" w:eastAsia="仿宋" w:cs="仿宋"/>
          <w:kern w:val="2"/>
          <w:sz w:val="24"/>
          <w:szCs w:val="24"/>
          <w:highlight w:val="none"/>
        </w:rPr>
        <w:t>等。每张表格只填写一个项目，并标明序号。</w:t>
      </w:r>
    </w:p>
    <w:p w14:paraId="1B4B9C9C">
      <w:pPr>
        <w:spacing w:beforeAutospacing="0" w:afterAutospacing="0" w:line="240" w:lineRule="auto"/>
        <w:rPr>
          <w:rFonts w:hint="eastAsia" w:ascii="仿宋" w:hAnsi="仿宋" w:eastAsia="仿宋" w:cs="仿宋"/>
          <w:b/>
          <w:bCs/>
          <w:color w:val="000000"/>
          <w:sz w:val="24"/>
          <w:szCs w:val="24"/>
          <w:highlight w:val="none"/>
        </w:rPr>
      </w:pPr>
      <w:r>
        <w:rPr>
          <w:rFonts w:hint="eastAsia" w:ascii="仿宋" w:hAnsi="仿宋" w:eastAsia="仿宋" w:cs="仿宋"/>
          <w:kern w:val="2"/>
          <w:sz w:val="24"/>
          <w:szCs w:val="24"/>
          <w:highlight w:val="none"/>
        </w:rPr>
        <w:t>2、类似业绩指近三年（20</w:t>
      </w:r>
      <w:r>
        <w:rPr>
          <w:rFonts w:hint="eastAsia" w:ascii="仿宋" w:hAnsi="仿宋" w:eastAsia="仿宋" w:cs="仿宋"/>
          <w:kern w:val="2"/>
          <w:sz w:val="24"/>
          <w:szCs w:val="24"/>
          <w:highlight w:val="none"/>
          <w:lang w:val="en-US" w:eastAsia="zh-CN"/>
        </w:rPr>
        <w:t>22</w:t>
      </w:r>
      <w:r>
        <w:rPr>
          <w:rFonts w:hint="eastAsia" w:ascii="仿宋" w:hAnsi="仿宋" w:eastAsia="仿宋" w:cs="仿宋"/>
          <w:kern w:val="2"/>
          <w:sz w:val="24"/>
          <w:szCs w:val="24"/>
          <w:highlight w:val="none"/>
        </w:rPr>
        <w:t>年</w:t>
      </w:r>
      <w:r>
        <w:rPr>
          <w:rFonts w:hint="eastAsia" w:ascii="仿宋" w:hAnsi="仿宋" w:eastAsia="仿宋" w:cs="仿宋"/>
          <w:kern w:val="2"/>
          <w:sz w:val="24"/>
          <w:szCs w:val="24"/>
          <w:highlight w:val="none"/>
          <w:lang w:val="en-US" w:eastAsia="zh-CN"/>
        </w:rPr>
        <w:t>5</w:t>
      </w:r>
      <w:r>
        <w:rPr>
          <w:rFonts w:hint="eastAsia" w:ascii="仿宋" w:hAnsi="仿宋" w:eastAsia="仿宋" w:cs="仿宋"/>
          <w:kern w:val="2"/>
          <w:sz w:val="24"/>
          <w:szCs w:val="24"/>
          <w:highlight w:val="none"/>
        </w:rPr>
        <w:t>月1日-至今）完成的类似工程业绩</w:t>
      </w:r>
      <w:r>
        <w:rPr>
          <w:rFonts w:hint="eastAsia" w:ascii="仿宋" w:hAnsi="仿宋" w:eastAsia="仿宋" w:cs="仿宋"/>
          <w:b/>
          <w:bCs/>
          <w:kern w:val="2"/>
          <w:sz w:val="24"/>
          <w:szCs w:val="24"/>
          <w:highlight w:val="none"/>
        </w:rPr>
        <w:t>（业绩认定日期以合同签订日期为准）</w:t>
      </w:r>
    </w:p>
    <w:p w14:paraId="5FDAA9BC">
      <w:pPr>
        <w:spacing w:beforeAutospacing="0" w:afterAutospacing="0" w:line="400" w:lineRule="exact"/>
        <w:rPr>
          <w:rFonts w:hint="eastAsia" w:ascii="仿宋" w:hAnsi="仿宋" w:eastAsia="仿宋" w:cs="仿宋"/>
          <w:color w:val="000000"/>
          <w:sz w:val="24"/>
          <w:szCs w:val="24"/>
          <w:highlight w:val="none"/>
        </w:rPr>
      </w:pPr>
    </w:p>
    <w:p w14:paraId="60CEE22D">
      <w:pPr>
        <w:spacing w:beforeAutospacing="0" w:afterAutospacing="0" w:line="400" w:lineRule="exact"/>
        <w:rPr>
          <w:rFonts w:hint="eastAsia" w:ascii="仿宋" w:hAnsi="仿宋" w:eastAsia="仿宋" w:cs="仿宋"/>
          <w:color w:val="000000"/>
          <w:sz w:val="24"/>
          <w:szCs w:val="24"/>
          <w:highlight w:val="none"/>
        </w:rPr>
      </w:pPr>
    </w:p>
    <w:p w14:paraId="574536D8">
      <w:pPr>
        <w:spacing w:beforeAutospacing="0" w:afterAutospacing="0" w:line="360" w:lineRule="auto"/>
        <w:jc w:val="center"/>
        <w:rPr>
          <w:rFonts w:hint="eastAsia" w:ascii="仿宋" w:hAnsi="仿宋" w:eastAsia="仿宋" w:cs="仿宋"/>
          <w:kern w:val="2"/>
          <w:sz w:val="24"/>
          <w:szCs w:val="24"/>
          <w:highlight w:val="none"/>
        </w:rPr>
      </w:pPr>
      <w:bookmarkStart w:id="188" w:name="_Toc217446090"/>
      <w:bookmarkEnd w:id="188"/>
    </w:p>
    <w:p w14:paraId="46249EF1">
      <w:pPr>
        <w:spacing w:beforeAutospacing="0" w:afterAutospacing="0" w:line="360" w:lineRule="auto"/>
        <w:jc w:val="center"/>
        <w:rPr>
          <w:rFonts w:hint="eastAsia" w:ascii="仿宋" w:hAnsi="仿宋" w:eastAsia="仿宋" w:cs="仿宋"/>
          <w:kern w:val="2"/>
          <w:sz w:val="24"/>
          <w:szCs w:val="24"/>
          <w:highlight w:val="none"/>
        </w:rPr>
      </w:pPr>
    </w:p>
    <w:p w14:paraId="4D49D7A7">
      <w:pPr>
        <w:spacing w:beforeAutospacing="0" w:afterAutospacing="0" w:line="360" w:lineRule="auto"/>
        <w:jc w:val="center"/>
        <w:rPr>
          <w:rFonts w:hint="eastAsia" w:ascii="仿宋" w:hAnsi="仿宋" w:eastAsia="仿宋" w:cs="仿宋"/>
          <w:kern w:val="2"/>
          <w:sz w:val="24"/>
          <w:szCs w:val="24"/>
          <w:highlight w:val="none"/>
        </w:rPr>
      </w:pPr>
    </w:p>
    <w:bookmarkEnd w:id="187"/>
    <w:p w14:paraId="259FB55F">
      <w:pPr>
        <w:pStyle w:val="35"/>
        <w:spacing w:beforeAutospacing="0" w:afterAutospacing="0" w:line="400" w:lineRule="exact"/>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八、供应商资格证明文件及供应商认为需要提供的其他文件和资料</w:t>
      </w:r>
    </w:p>
    <w:p w14:paraId="30C6B33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满足《中华人民共和国政府采购法》第二十二条规定：</w:t>
      </w:r>
    </w:p>
    <w:p w14:paraId="53412F7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r>
        <w:rPr>
          <w:rFonts w:hint="eastAsia" w:ascii="仿宋" w:hAnsi="仿宋" w:eastAsia="仿宋" w:cs="仿宋"/>
          <w:color w:val="000000"/>
          <w:sz w:val="24"/>
          <w:szCs w:val="24"/>
          <w:highlight w:val="none"/>
          <w:lang w:val="en-US" w:eastAsia="zh-CN"/>
        </w:rPr>
        <w:t>【法人或者其他组织投标需提供营业执照等证明文件，自然人投标需提供自然人的身份证明】</w:t>
      </w:r>
    </w:p>
    <w:p w14:paraId="3D78CE07">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（2）具有良好的商业信誉和健全的财务会计制度；</w:t>
      </w:r>
      <w:r>
        <w:rPr>
          <w:rFonts w:hint="eastAsia" w:ascii="仿宋" w:hAnsi="仿宋" w:eastAsia="仿宋" w:cs="仿宋"/>
          <w:sz w:val="24"/>
          <w:szCs w:val="24"/>
          <w:highlight w:val="none"/>
          <w:lang w:val="en-US" w:eastAsia="zh-CN"/>
        </w:rPr>
        <w:t>【须提供银行出具的近1年内资信证明或2024年度经第三方审计机构出具的财务报告，</w:t>
      </w:r>
      <w:r>
        <w:rPr>
          <w:rFonts w:hint="default" w:ascii="仿宋" w:hAnsi="仿宋" w:eastAsia="仿宋" w:cs="仿宋"/>
          <w:sz w:val="24"/>
          <w:szCs w:val="24"/>
          <w:highlight w:val="none"/>
          <w:lang w:val="en-US" w:eastAsia="zh-CN"/>
        </w:rPr>
        <w:t>新成立企业（注册未满1年）提供财务状况声明函</w:t>
      </w:r>
      <w:r>
        <w:rPr>
          <w:rFonts w:hint="eastAsia" w:ascii="仿宋" w:hAnsi="仿宋" w:eastAsia="仿宋" w:cs="仿宋"/>
          <w:sz w:val="24"/>
          <w:szCs w:val="24"/>
          <w:highlight w:val="none"/>
          <w:lang w:val="en-US" w:eastAsia="zh-CN"/>
        </w:rPr>
        <w:t>】</w:t>
      </w:r>
    </w:p>
    <w:p w14:paraId="7BC7AC2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（3）具有履行合同所必需的设备和专业技术能力；</w:t>
      </w:r>
      <w:r>
        <w:rPr>
          <w:rFonts w:hint="eastAsia" w:ascii="仿宋" w:hAnsi="仿宋" w:eastAsia="仿宋" w:cs="仿宋"/>
          <w:sz w:val="24"/>
          <w:szCs w:val="24"/>
          <w:highlight w:val="none"/>
          <w:lang w:val="en-US" w:eastAsia="zh-CN"/>
        </w:rPr>
        <w:t>【①相关设备或设施的购置发票或单据；②提供具有履行合同所必需的专业技术能力相关证明材料】</w:t>
      </w:r>
    </w:p>
    <w:p w14:paraId="7AD4C10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r>
        <w:rPr>
          <w:rFonts w:hint="eastAsia" w:ascii="仿宋" w:hAnsi="仿宋" w:eastAsia="仿宋" w:cs="仿宋"/>
          <w:sz w:val="24"/>
          <w:szCs w:val="24"/>
          <w:highlight w:val="none"/>
          <w:lang w:val="en-US" w:eastAsia="zh-CN"/>
        </w:rPr>
        <w:t>【须提供：①近12个月内（任意1个月）已依法缴纳税收的凭据；②近12个月内（任意1个月）已依法缴纳社会保险的凭据。（依法免税或不需要缴纳社会保障资金的供应商，应提供相应证明文件，新成立企业无需提供。）】</w:t>
      </w:r>
    </w:p>
    <w:p w14:paraId="5D6439E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（5）参与投标的单位前三年内，在经营活动中没有重大违法记录；</w:t>
      </w:r>
      <w:r>
        <w:rPr>
          <w:rFonts w:hint="eastAsia" w:ascii="仿宋" w:hAnsi="仿宋" w:eastAsia="仿宋" w:cs="仿宋"/>
          <w:sz w:val="24"/>
          <w:szCs w:val="24"/>
          <w:highlight w:val="none"/>
          <w:lang w:val="en-US" w:eastAsia="zh-CN"/>
        </w:rPr>
        <w:t>【需提供书面声明（供应商自行承诺并承担后果，声明不实的，按《中华人民共和国政府采购法》有关提供虚假材料的有关规定给予处罚。）】</w:t>
      </w:r>
    </w:p>
    <w:p w14:paraId="4BA6971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（6）法律、行政法规规定的其他条件； </w:t>
      </w:r>
      <w:r>
        <w:rPr>
          <w:rFonts w:hint="eastAsia" w:ascii="仿宋" w:hAnsi="仿宋" w:eastAsia="仿宋" w:cs="仿宋"/>
          <w:sz w:val="24"/>
          <w:szCs w:val="24"/>
          <w:highlight w:val="none"/>
          <w:lang w:val="en-US" w:eastAsia="zh-CN"/>
        </w:rPr>
        <w:t>【须提供承诺书】</w:t>
      </w:r>
    </w:p>
    <w:p w14:paraId="4A9BE93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（7）其他说明：单位负责人为同一人或者存在直接控股、管理关系的不同供应商，不得参加同一合同项下的政府采购活动。【须提供承诺书或说明】</w:t>
      </w:r>
    </w:p>
    <w:p w14:paraId="6111025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Style w:val="29"/>
          <w:rFonts w:hint="eastAsia" w:ascii="仿宋" w:hAnsi="仿宋" w:eastAsia="仿宋" w:cs="仿宋"/>
          <w:b w:val="0"/>
          <w:bCs/>
          <w:color w:val="000000"/>
          <w:kern w:val="2"/>
          <w:sz w:val="24"/>
          <w:szCs w:val="24"/>
          <w:highlight w:val="none"/>
          <w:lang w:val="en-US" w:eastAsia="zh-CN" w:bidi="ar-SA"/>
        </w:rPr>
      </w:pPr>
      <w:r>
        <w:rPr>
          <w:rStyle w:val="29"/>
          <w:rFonts w:hint="eastAsia" w:ascii="仿宋" w:hAnsi="仿宋" w:eastAsia="仿宋" w:cs="仿宋"/>
          <w:b w:val="0"/>
          <w:bCs/>
          <w:color w:val="000000"/>
          <w:kern w:val="2"/>
          <w:sz w:val="24"/>
          <w:szCs w:val="24"/>
          <w:highlight w:val="none"/>
          <w:lang w:val="en-US" w:eastAsia="zh-CN" w:bidi="ar-SA"/>
        </w:rPr>
        <w:t>（8）本项目不接受联合体投标。</w:t>
      </w:r>
      <w:r>
        <w:rPr>
          <w:rFonts w:hint="eastAsia" w:ascii="仿宋" w:hAnsi="仿宋" w:eastAsia="仿宋" w:cs="仿宋"/>
          <w:color w:val="000000"/>
          <w:sz w:val="24"/>
          <w:szCs w:val="24"/>
          <w:highlight w:val="none"/>
          <w:lang w:val="en-US" w:eastAsia="zh-CN"/>
        </w:rPr>
        <w:t>【须提供承诺书】</w:t>
      </w:r>
    </w:p>
    <w:p w14:paraId="59BE582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2.落实政府采购政策需满足的资格要求：本项目专门面向中小企业；（根据要求提交《中小企业声明函》）</w:t>
      </w:r>
    </w:p>
    <w:p w14:paraId="57C670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本项目的</w:t>
      </w:r>
      <w:r>
        <w:rPr>
          <w:rFonts w:hint="eastAsia" w:ascii="仿宋" w:hAnsi="仿宋" w:eastAsia="仿宋" w:cs="仿宋"/>
          <w:color w:val="000000"/>
          <w:sz w:val="24"/>
          <w:szCs w:val="24"/>
          <w:highlight w:val="none"/>
          <w:lang w:val="en-US" w:eastAsia="zh-CN"/>
        </w:rPr>
        <w:t>特定</w:t>
      </w:r>
      <w:r>
        <w:rPr>
          <w:rFonts w:hint="eastAsia" w:ascii="仿宋" w:hAnsi="仿宋" w:eastAsia="仿宋" w:cs="仿宋"/>
          <w:color w:val="000000"/>
          <w:sz w:val="24"/>
          <w:szCs w:val="24"/>
          <w:highlight w:val="none"/>
        </w:rPr>
        <w:t>资格要求</w:t>
      </w:r>
      <w:r>
        <w:rPr>
          <w:rFonts w:hint="eastAsia" w:ascii="仿宋" w:hAnsi="仿宋" w:eastAsia="仿宋" w:cs="仿宋"/>
          <w:color w:val="000000"/>
          <w:sz w:val="24"/>
          <w:szCs w:val="24"/>
          <w:highlight w:val="none"/>
          <w:lang w:eastAsia="zh-CN"/>
        </w:rPr>
        <w:t>：</w:t>
      </w:r>
    </w:p>
    <w:p w14:paraId="103186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r>
        <w:rPr>
          <w:rStyle w:val="29"/>
          <w:rFonts w:hint="eastAsia" w:ascii="仿宋" w:hAnsi="仿宋" w:eastAsia="仿宋" w:cs="仿宋"/>
          <w:b w:val="0"/>
          <w:bCs/>
          <w:color w:val="000000"/>
          <w:kern w:val="2"/>
          <w:sz w:val="24"/>
          <w:szCs w:val="24"/>
          <w:highlight w:val="none"/>
          <w:lang w:val="en-US" w:eastAsia="zh-CN" w:bidi="ar-SA"/>
        </w:rPr>
        <w:t>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r>
        <w:rPr>
          <w:rFonts w:hint="eastAsia" w:ascii="仿宋" w:hAnsi="仿宋" w:eastAsia="仿宋" w:cs="仿宋"/>
          <w:color w:val="000000"/>
          <w:sz w:val="24"/>
          <w:szCs w:val="24"/>
          <w:highlight w:val="none"/>
          <w:lang w:val="en-US" w:eastAsia="zh-CN"/>
        </w:rPr>
        <w:t>【须提相关证件，项目负责人需提供无在建项目承诺书】</w:t>
      </w:r>
    </w:p>
    <w:p w14:paraId="0EABFF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p>
    <w:p w14:paraId="4C584B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九、技术部分</w:t>
      </w:r>
    </w:p>
    <w:p w14:paraId="21F8E1F7">
      <w:pPr>
        <w:spacing w:beforeAutospacing="0" w:afterAutospacing="0" w:line="320" w:lineRule="exact"/>
        <w:jc w:val="center"/>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lang w:val="en-US" w:eastAsia="zh-CN"/>
        </w:rPr>
        <w:t>（根据评分办法，格式自拟）</w:t>
      </w:r>
    </w:p>
    <w:p w14:paraId="312FB9B4">
      <w:pPr>
        <w:spacing w:beforeAutospacing="0" w:afterAutospacing="0" w:line="320" w:lineRule="exact"/>
        <w:ind w:firstLine="573"/>
        <w:rPr>
          <w:rFonts w:hint="eastAsia" w:ascii="仿宋" w:hAnsi="仿宋" w:eastAsia="仿宋" w:cs="仿宋"/>
          <w:b/>
          <w:sz w:val="24"/>
          <w:szCs w:val="24"/>
          <w:highlight w:val="none"/>
        </w:rPr>
      </w:pPr>
    </w:p>
    <w:p w14:paraId="1EC79D1F">
      <w:pPr>
        <w:spacing w:beforeAutospacing="0" w:afterAutospacing="0" w:line="320" w:lineRule="exact"/>
        <w:ind w:firstLine="573"/>
        <w:rPr>
          <w:rFonts w:hint="eastAsia" w:ascii="仿宋" w:hAnsi="仿宋" w:eastAsia="仿宋" w:cs="仿宋"/>
          <w:b/>
          <w:sz w:val="24"/>
          <w:szCs w:val="24"/>
          <w:highlight w:val="none"/>
        </w:rPr>
      </w:pPr>
    </w:p>
    <w:p w14:paraId="1FFB7735">
      <w:pPr>
        <w:spacing w:beforeAutospacing="0" w:afterAutospacing="0" w:line="320" w:lineRule="exact"/>
        <w:ind w:firstLine="573"/>
        <w:rPr>
          <w:rFonts w:hint="eastAsia" w:ascii="仿宋" w:hAnsi="仿宋" w:eastAsia="仿宋" w:cs="仿宋"/>
          <w:b/>
          <w:sz w:val="24"/>
          <w:szCs w:val="24"/>
          <w:highlight w:val="none"/>
        </w:rPr>
      </w:pPr>
    </w:p>
    <w:p w14:paraId="73111B73">
      <w:pPr>
        <w:spacing w:beforeAutospacing="0" w:afterAutospacing="0" w:line="320" w:lineRule="exact"/>
        <w:ind w:firstLine="573"/>
        <w:rPr>
          <w:rFonts w:hint="eastAsia" w:ascii="仿宋" w:hAnsi="仿宋" w:eastAsia="仿宋" w:cs="仿宋"/>
          <w:b/>
          <w:sz w:val="24"/>
          <w:szCs w:val="24"/>
          <w:highlight w:val="none"/>
        </w:rPr>
      </w:pPr>
    </w:p>
    <w:p w14:paraId="38D199E5">
      <w:pPr>
        <w:spacing w:beforeAutospacing="0" w:afterAutospacing="0" w:line="320" w:lineRule="exact"/>
        <w:ind w:firstLine="573"/>
        <w:rPr>
          <w:rFonts w:hint="eastAsia" w:ascii="仿宋" w:hAnsi="仿宋" w:eastAsia="仿宋" w:cs="仿宋"/>
          <w:b/>
          <w:sz w:val="24"/>
          <w:szCs w:val="24"/>
          <w:highlight w:val="none"/>
        </w:rPr>
      </w:pPr>
    </w:p>
    <w:p w14:paraId="31B6B57D">
      <w:pPr>
        <w:pStyle w:val="35"/>
        <w:outlineLvl w:val="9"/>
        <w:rPr>
          <w:rFonts w:hint="eastAsia" w:ascii="仿宋" w:hAnsi="仿宋" w:eastAsia="仿宋" w:cs="仿宋"/>
          <w:b/>
          <w:sz w:val="24"/>
          <w:szCs w:val="24"/>
          <w:highlight w:val="none"/>
        </w:rPr>
      </w:pPr>
    </w:p>
    <w:p w14:paraId="75883117">
      <w:pPr>
        <w:rPr>
          <w:rFonts w:hint="eastAsia" w:ascii="仿宋" w:hAnsi="仿宋" w:eastAsia="仿宋" w:cs="仿宋"/>
          <w:sz w:val="24"/>
          <w:szCs w:val="24"/>
          <w:highlight w:val="none"/>
        </w:rPr>
      </w:pPr>
    </w:p>
    <w:p w14:paraId="36BB6FD2">
      <w:pPr>
        <w:spacing w:beforeAutospacing="0" w:afterAutospacing="0" w:line="320" w:lineRule="exact"/>
        <w:ind w:firstLine="573"/>
        <w:rPr>
          <w:rFonts w:hint="eastAsia" w:ascii="仿宋" w:hAnsi="仿宋" w:eastAsia="仿宋" w:cs="仿宋"/>
          <w:b/>
          <w:sz w:val="24"/>
          <w:szCs w:val="24"/>
          <w:highlight w:val="none"/>
        </w:rPr>
      </w:pPr>
    </w:p>
    <w:p w14:paraId="488D6F3B">
      <w:pPr>
        <w:spacing w:beforeAutospacing="0" w:afterAutospacing="0" w:line="320" w:lineRule="exact"/>
        <w:ind w:firstLine="573"/>
        <w:rPr>
          <w:rFonts w:hint="eastAsia" w:ascii="仿宋" w:hAnsi="仿宋" w:eastAsia="仿宋" w:cs="仿宋"/>
          <w:b/>
          <w:sz w:val="24"/>
          <w:szCs w:val="24"/>
          <w:highlight w:val="none"/>
        </w:rPr>
      </w:pPr>
    </w:p>
    <w:p w14:paraId="62411AAD">
      <w:pPr>
        <w:spacing w:beforeAutospacing="0" w:afterAutospacing="0" w:line="320" w:lineRule="exact"/>
        <w:ind w:firstLine="573"/>
        <w:rPr>
          <w:rFonts w:hint="eastAsia" w:ascii="仿宋" w:hAnsi="仿宋" w:eastAsia="仿宋" w:cs="仿宋"/>
          <w:b/>
          <w:sz w:val="24"/>
          <w:szCs w:val="24"/>
          <w:highlight w:val="none"/>
        </w:rPr>
      </w:pPr>
    </w:p>
    <w:p w14:paraId="79F38D60">
      <w:pPr>
        <w:spacing w:beforeAutospacing="0" w:afterAutospacing="0" w:line="320" w:lineRule="exact"/>
        <w:ind w:firstLine="573"/>
        <w:rPr>
          <w:rFonts w:hint="eastAsia" w:ascii="仿宋" w:hAnsi="仿宋" w:eastAsia="仿宋" w:cs="仿宋"/>
          <w:b/>
          <w:sz w:val="24"/>
          <w:szCs w:val="24"/>
          <w:highlight w:val="none"/>
        </w:rPr>
      </w:pPr>
    </w:p>
    <w:p w14:paraId="336DE999">
      <w:pPr>
        <w:spacing w:beforeAutospacing="0" w:afterAutospacing="0" w:line="320" w:lineRule="exact"/>
        <w:ind w:firstLine="573"/>
        <w:rPr>
          <w:rFonts w:hint="eastAsia" w:ascii="仿宋" w:hAnsi="仿宋" w:eastAsia="仿宋" w:cs="仿宋"/>
          <w:b/>
          <w:sz w:val="24"/>
          <w:szCs w:val="24"/>
          <w:highlight w:val="none"/>
        </w:rPr>
      </w:pPr>
    </w:p>
    <w:p w14:paraId="58C4DA9B">
      <w:pPr>
        <w:spacing w:beforeAutospacing="0" w:afterAutospacing="0" w:line="320" w:lineRule="exact"/>
        <w:ind w:firstLine="573"/>
        <w:rPr>
          <w:rFonts w:hint="eastAsia" w:ascii="仿宋" w:hAnsi="仿宋" w:eastAsia="仿宋" w:cs="仿宋"/>
          <w:b/>
          <w:sz w:val="24"/>
          <w:szCs w:val="24"/>
          <w:highlight w:val="none"/>
        </w:rPr>
      </w:pPr>
    </w:p>
    <w:p w14:paraId="168D2BFC">
      <w:pPr>
        <w:spacing w:beforeAutospacing="0" w:afterAutospacing="0" w:line="320" w:lineRule="exact"/>
        <w:ind w:firstLine="573"/>
        <w:rPr>
          <w:rFonts w:hint="eastAsia" w:ascii="仿宋" w:hAnsi="仿宋" w:eastAsia="仿宋" w:cs="仿宋"/>
          <w:b/>
          <w:sz w:val="24"/>
          <w:szCs w:val="24"/>
          <w:highlight w:val="none"/>
        </w:rPr>
      </w:pPr>
    </w:p>
    <w:p w14:paraId="1BA021E2">
      <w:pPr>
        <w:spacing w:beforeAutospacing="0" w:afterAutospacing="0" w:line="320" w:lineRule="exact"/>
        <w:ind w:firstLine="573"/>
        <w:rPr>
          <w:rFonts w:hint="eastAsia" w:ascii="仿宋" w:hAnsi="仿宋" w:eastAsia="仿宋" w:cs="仿宋"/>
          <w:b/>
          <w:sz w:val="24"/>
          <w:szCs w:val="24"/>
          <w:highlight w:val="none"/>
        </w:rPr>
      </w:pPr>
    </w:p>
    <w:p w14:paraId="03DCBBFB">
      <w:pPr>
        <w:spacing w:beforeAutospacing="0" w:afterAutospacing="0" w:line="320" w:lineRule="exact"/>
        <w:ind w:firstLine="573"/>
        <w:rPr>
          <w:rFonts w:hint="eastAsia" w:ascii="仿宋" w:hAnsi="仿宋" w:eastAsia="仿宋" w:cs="仿宋"/>
          <w:b/>
          <w:sz w:val="24"/>
          <w:szCs w:val="24"/>
          <w:highlight w:val="none"/>
        </w:rPr>
      </w:pPr>
    </w:p>
    <w:p w14:paraId="66945F97">
      <w:pPr>
        <w:spacing w:beforeAutospacing="0" w:afterAutospacing="0" w:line="320" w:lineRule="exact"/>
        <w:ind w:firstLine="573"/>
        <w:rPr>
          <w:rFonts w:hint="eastAsia" w:ascii="仿宋" w:hAnsi="仿宋" w:eastAsia="仿宋" w:cs="仿宋"/>
          <w:b/>
          <w:sz w:val="24"/>
          <w:szCs w:val="24"/>
          <w:highlight w:val="none"/>
        </w:rPr>
      </w:pPr>
    </w:p>
    <w:p w14:paraId="3D2C2C5A">
      <w:pPr>
        <w:spacing w:beforeAutospacing="0" w:afterAutospacing="0" w:line="320" w:lineRule="exact"/>
        <w:ind w:firstLine="573"/>
        <w:rPr>
          <w:rFonts w:hint="eastAsia" w:ascii="仿宋" w:hAnsi="仿宋" w:eastAsia="仿宋" w:cs="仿宋"/>
          <w:b/>
          <w:sz w:val="24"/>
          <w:szCs w:val="24"/>
          <w:highlight w:val="none"/>
        </w:rPr>
      </w:pPr>
    </w:p>
    <w:p w14:paraId="69D70508">
      <w:pPr>
        <w:spacing w:beforeAutospacing="0" w:afterAutospacing="0" w:line="320" w:lineRule="exact"/>
        <w:ind w:firstLine="573"/>
        <w:rPr>
          <w:rFonts w:hint="eastAsia" w:ascii="仿宋" w:hAnsi="仿宋" w:eastAsia="仿宋" w:cs="仿宋"/>
          <w:b/>
          <w:sz w:val="24"/>
          <w:szCs w:val="24"/>
          <w:highlight w:val="none"/>
        </w:rPr>
      </w:pPr>
    </w:p>
    <w:p w14:paraId="0B5F5267">
      <w:pPr>
        <w:spacing w:beforeAutospacing="0" w:afterAutospacing="0" w:line="320" w:lineRule="exact"/>
        <w:ind w:firstLine="573"/>
        <w:rPr>
          <w:rFonts w:hint="eastAsia" w:ascii="仿宋" w:hAnsi="仿宋" w:eastAsia="仿宋" w:cs="仿宋"/>
          <w:b/>
          <w:sz w:val="24"/>
          <w:szCs w:val="24"/>
          <w:highlight w:val="none"/>
        </w:rPr>
      </w:pPr>
    </w:p>
    <w:p w14:paraId="46E1F0D3">
      <w:pPr>
        <w:spacing w:beforeAutospacing="0" w:afterAutospacing="0" w:line="320" w:lineRule="exact"/>
        <w:ind w:firstLine="573"/>
        <w:rPr>
          <w:rFonts w:hint="eastAsia" w:ascii="仿宋" w:hAnsi="仿宋" w:eastAsia="仿宋" w:cs="仿宋"/>
          <w:b/>
          <w:sz w:val="24"/>
          <w:szCs w:val="24"/>
          <w:highlight w:val="none"/>
        </w:rPr>
      </w:pPr>
    </w:p>
    <w:p w14:paraId="234FF2E4">
      <w:pPr>
        <w:spacing w:beforeAutospacing="0" w:afterAutospacing="0" w:line="320" w:lineRule="exact"/>
        <w:ind w:firstLine="573"/>
        <w:rPr>
          <w:rFonts w:hint="eastAsia" w:ascii="仿宋" w:hAnsi="仿宋" w:eastAsia="仿宋" w:cs="仿宋"/>
          <w:b/>
          <w:sz w:val="24"/>
          <w:szCs w:val="24"/>
          <w:highlight w:val="none"/>
        </w:rPr>
      </w:pPr>
    </w:p>
    <w:p w14:paraId="0DDFDC1F">
      <w:pPr>
        <w:spacing w:beforeAutospacing="0" w:afterAutospacing="0" w:line="320" w:lineRule="exact"/>
        <w:ind w:firstLine="573"/>
        <w:rPr>
          <w:rFonts w:hint="eastAsia" w:ascii="仿宋" w:hAnsi="仿宋" w:eastAsia="仿宋" w:cs="仿宋"/>
          <w:b/>
          <w:sz w:val="24"/>
          <w:szCs w:val="24"/>
          <w:highlight w:val="none"/>
        </w:rPr>
      </w:pPr>
    </w:p>
    <w:p w14:paraId="3D5CDD0A">
      <w:pPr>
        <w:spacing w:beforeAutospacing="0" w:afterAutospacing="0" w:line="320" w:lineRule="exact"/>
        <w:ind w:firstLine="573"/>
        <w:rPr>
          <w:rFonts w:hint="eastAsia" w:ascii="仿宋" w:hAnsi="仿宋" w:eastAsia="仿宋" w:cs="仿宋"/>
          <w:b/>
          <w:sz w:val="24"/>
          <w:szCs w:val="24"/>
          <w:highlight w:val="none"/>
        </w:rPr>
      </w:pPr>
    </w:p>
    <w:p w14:paraId="643E4B07">
      <w:pPr>
        <w:spacing w:beforeAutospacing="0" w:afterAutospacing="0" w:line="320" w:lineRule="exact"/>
        <w:ind w:firstLine="573"/>
        <w:rPr>
          <w:rFonts w:hint="eastAsia" w:ascii="仿宋" w:hAnsi="仿宋" w:eastAsia="仿宋" w:cs="仿宋"/>
          <w:b/>
          <w:sz w:val="24"/>
          <w:szCs w:val="24"/>
          <w:highlight w:val="none"/>
        </w:rPr>
      </w:pPr>
    </w:p>
    <w:p w14:paraId="17B8E37F">
      <w:pPr>
        <w:spacing w:beforeAutospacing="0" w:afterAutospacing="0" w:line="320" w:lineRule="exact"/>
        <w:ind w:firstLine="573"/>
        <w:rPr>
          <w:rFonts w:hint="eastAsia" w:ascii="仿宋" w:hAnsi="仿宋" w:eastAsia="仿宋" w:cs="仿宋"/>
          <w:b/>
          <w:sz w:val="24"/>
          <w:szCs w:val="24"/>
          <w:highlight w:val="none"/>
        </w:rPr>
      </w:pPr>
    </w:p>
    <w:p w14:paraId="14AB63A0">
      <w:pPr>
        <w:spacing w:beforeAutospacing="0" w:afterAutospacing="0" w:line="320" w:lineRule="exact"/>
        <w:ind w:firstLine="573"/>
        <w:rPr>
          <w:rFonts w:hint="eastAsia" w:ascii="仿宋" w:hAnsi="仿宋" w:eastAsia="仿宋" w:cs="仿宋"/>
          <w:b/>
          <w:sz w:val="24"/>
          <w:szCs w:val="24"/>
          <w:highlight w:val="none"/>
        </w:rPr>
      </w:pPr>
    </w:p>
    <w:p w14:paraId="0E027C16">
      <w:pPr>
        <w:spacing w:beforeAutospacing="0" w:afterAutospacing="0" w:line="320" w:lineRule="exact"/>
        <w:ind w:firstLine="573"/>
        <w:rPr>
          <w:rFonts w:hint="eastAsia" w:ascii="仿宋" w:hAnsi="仿宋" w:eastAsia="仿宋" w:cs="仿宋"/>
          <w:b/>
          <w:sz w:val="24"/>
          <w:szCs w:val="24"/>
          <w:highlight w:val="none"/>
        </w:rPr>
      </w:pPr>
    </w:p>
    <w:p w14:paraId="5417A53D">
      <w:pPr>
        <w:spacing w:beforeAutospacing="0" w:afterAutospacing="0" w:line="320" w:lineRule="exact"/>
        <w:ind w:firstLine="573"/>
        <w:rPr>
          <w:rFonts w:hint="eastAsia" w:ascii="仿宋" w:hAnsi="仿宋" w:eastAsia="仿宋" w:cs="仿宋"/>
          <w:b/>
          <w:sz w:val="24"/>
          <w:szCs w:val="24"/>
          <w:highlight w:val="none"/>
        </w:rPr>
      </w:pPr>
    </w:p>
    <w:p w14:paraId="4996FB4F">
      <w:pPr>
        <w:spacing w:beforeAutospacing="0" w:afterAutospacing="0" w:line="320" w:lineRule="exact"/>
        <w:ind w:firstLine="573"/>
        <w:rPr>
          <w:rFonts w:hint="eastAsia" w:ascii="仿宋" w:hAnsi="仿宋" w:eastAsia="仿宋" w:cs="仿宋"/>
          <w:b/>
          <w:sz w:val="24"/>
          <w:szCs w:val="24"/>
          <w:highlight w:val="none"/>
        </w:rPr>
      </w:pPr>
    </w:p>
    <w:p w14:paraId="6E5E1DA7">
      <w:pPr>
        <w:spacing w:beforeAutospacing="0" w:afterAutospacing="0" w:line="320" w:lineRule="exact"/>
        <w:ind w:firstLine="573"/>
        <w:rPr>
          <w:rFonts w:hint="eastAsia" w:ascii="仿宋" w:hAnsi="仿宋" w:eastAsia="仿宋" w:cs="仿宋"/>
          <w:b/>
          <w:sz w:val="24"/>
          <w:szCs w:val="24"/>
          <w:highlight w:val="none"/>
        </w:rPr>
      </w:pPr>
    </w:p>
    <w:p w14:paraId="62934D97">
      <w:pPr>
        <w:pStyle w:val="2"/>
        <w:rPr>
          <w:rFonts w:hint="eastAsia"/>
          <w:highlight w:val="none"/>
        </w:rPr>
      </w:pPr>
    </w:p>
    <w:p w14:paraId="02DF192B">
      <w:pPr>
        <w:jc w:val="center"/>
        <w:outlineLvl w:val="9"/>
        <w:rPr>
          <w:rStyle w:val="33"/>
          <w:rFonts w:hint="eastAsia" w:ascii="仿宋" w:hAnsi="仿宋" w:eastAsia="仿宋" w:cs="仿宋"/>
          <w:color w:val="000000"/>
          <w:sz w:val="32"/>
          <w:szCs w:val="32"/>
          <w:highlight w:val="none"/>
          <w:lang w:val="en-US" w:eastAsia="zh-CN"/>
        </w:rPr>
      </w:pPr>
      <w:bookmarkStart w:id="189" w:name="_Toc31271_WPSOffice_Level1"/>
      <w:bookmarkStart w:id="190" w:name="_Toc31134"/>
      <w:bookmarkStart w:id="191" w:name="_Toc9879"/>
    </w:p>
    <w:p w14:paraId="7FC7A339">
      <w:pPr>
        <w:jc w:val="center"/>
        <w:outlineLvl w:val="9"/>
        <w:rPr>
          <w:rStyle w:val="33"/>
          <w:rFonts w:hint="eastAsia" w:ascii="仿宋" w:hAnsi="仿宋" w:eastAsia="仿宋" w:cs="仿宋"/>
          <w:color w:val="000000"/>
          <w:sz w:val="32"/>
          <w:szCs w:val="32"/>
          <w:highlight w:val="none"/>
          <w:lang w:val="en-US" w:eastAsia="zh-CN"/>
        </w:rPr>
      </w:pPr>
    </w:p>
    <w:p w14:paraId="3978B837">
      <w:pPr>
        <w:jc w:val="center"/>
        <w:outlineLvl w:val="9"/>
        <w:rPr>
          <w:rStyle w:val="33"/>
          <w:rFonts w:hint="eastAsia" w:ascii="仿宋" w:hAnsi="仿宋" w:eastAsia="仿宋" w:cs="仿宋"/>
          <w:color w:val="000000"/>
          <w:sz w:val="32"/>
          <w:szCs w:val="32"/>
          <w:highlight w:val="none"/>
          <w:lang w:val="en-US" w:eastAsia="zh-CN"/>
        </w:rPr>
      </w:pPr>
    </w:p>
    <w:p w14:paraId="33FEBB63">
      <w:pPr>
        <w:jc w:val="center"/>
        <w:outlineLvl w:val="9"/>
        <w:rPr>
          <w:rStyle w:val="33"/>
          <w:rFonts w:hint="eastAsia" w:ascii="仿宋" w:hAnsi="仿宋" w:eastAsia="仿宋" w:cs="仿宋"/>
          <w:color w:val="000000"/>
          <w:sz w:val="32"/>
          <w:szCs w:val="32"/>
          <w:highlight w:val="none"/>
          <w:lang w:val="en-US" w:eastAsia="zh-CN"/>
        </w:rPr>
      </w:pPr>
    </w:p>
    <w:p w14:paraId="208BEC43">
      <w:pPr>
        <w:spacing w:before="91" w:beforeAutospacing="0" w:afterAutospacing="0" w:line="223" w:lineRule="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附件1：</w:t>
      </w:r>
    </w:p>
    <w:p w14:paraId="0516E7E0">
      <w:pPr>
        <w:numPr>
          <w:ilvl w:val="0"/>
          <w:numId w:val="0"/>
        </w:numPr>
        <w:jc w:val="both"/>
        <w:rPr>
          <w:rFonts w:hint="eastAsia" w:ascii="仿宋" w:hAnsi="仿宋" w:eastAsia="仿宋" w:cs="仿宋"/>
          <w:b/>
          <w:bCs/>
          <w:color w:val="000000"/>
          <w:sz w:val="28"/>
          <w:szCs w:val="28"/>
          <w:highlight w:val="none"/>
        </w:rPr>
      </w:pPr>
    </w:p>
    <w:p w14:paraId="0F9878A0">
      <w:pPr>
        <w:numPr>
          <w:ilvl w:val="0"/>
          <w:numId w:val="0"/>
        </w:num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中小企业声明函（符合本声明函填写）</w:t>
      </w:r>
    </w:p>
    <w:p w14:paraId="799D17A6">
      <w:pPr>
        <w:pStyle w:val="12"/>
        <w:rPr>
          <w:rFonts w:hint="eastAsia"/>
          <w:highlight w:val="none"/>
        </w:rPr>
      </w:pPr>
    </w:p>
    <w:p w14:paraId="4D0E8B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本公司</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（联合体）郑重声明，根据《政府采购促进中小企业发展管理办法》（财库〔2020〕[2020]46号）的规定，本公司</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（联合体）参加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（单位名称）的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名称）采购活动，工程的施工单位全部为符合政策要求的中小企业（或者：服务全部由符合政策要求的中小企业承接）。相关企业（含联合体中的中小企业、签订分包意向协议的中小企业）的具体情况如下： </w:t>
      </w:r>
    </w:p>
    <w:p w14:paraId="6E43E9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1.（标的名称），属于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（采购文件中明确的所属行业）；承建（承接）企业为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（企业名称），从业人员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万元，属于（中型企业、小型企业、微型企业）； </w:t>
      </w:r>
    </w:p>
    <w:p w14:paraId="6DB794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2.（标的名称），属于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（采购文件中明确的所属行业）；承建（承接）企业为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（企业名称），从业人员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万元，属于（中型企业、小型企业、微型企业）； </w:t>
      </w:r>
    </w:p>
    <w:p w14:paraId="1F18F9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 </w:t>
      </w:r>
    </w:p>
    <w:p w14:paraId="227518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以上企业，不属于大企业的分支机构，不存在控股股东为大企业的情形，也不存在与大企业的负责人为同一人的情形。 </w:t>
      </w:r>
    </w:p>
    <w:p w14:paraId="2AE77F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本企业对上述声明内容的真实性负责。如有虚假，将依法承担相应责任。</w:t>
      </w:r>
    </w:p>
    <w:p w14:paraId="4DDEF7C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highlight w:val="none"/>
        </w:rPr>
      </w:pPr>
    </w:p>
    <w:p w14:paraId="7A607860">
      <w:pPr>
        <w:spacing w:beforeAutospacing="0" w:afterAutospacing="0" w:line="251" w:lineRule="auto"/>
        <w:rPr>
          <w:rFonts w:hint="eastAsia" w:ascii="仿宋" w:hAnsi="仿宋" w:eastAsia="仿宋" w:cs="仿宋"/>
          <w:sz w:val="24"/>
          <w:szCs w:val="24"/>
          <w:highlight w:val="none"/>
        </w:rPr>
      </w:pPr>
    </w:p>
    <w:p w14:paraId="330DEF4D">
      <w:pPr>
        <w:spacing w:before="75" w:beforeAutospacing="0" w:afterAutospacing="0" w:line="360" w:lineRule="auto"/>
        <w:ind w:left="1"/>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企业名称：                      (电子</w:t>
      </w:r>
      <w:r>
        <w:rPr>
          <w:rFonts w:hint="eastAsia" w:ascii="仿宋" w:hAnsi="仿宋" w:eastAsia="仿宋" w:cs="仿宋"/>
          <w:sz w:val="24"/>
          <w:szCs w:val="24"/>
          <w:highlight w:val="none"/>
        </w:rPr>
        <w:t>签章)</w:t>
      </w:r>
    </w:p>
    <w:p w14:paraId="430D6300">
      <w:pPr>
        <w:spacing w:before="180" w:beforeAutospacing="0" w:afterAutospacing="0" w:line="360" w:lineRule="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日 期 ：</w:t>
      </w:r>
      <w:r>
        <w:rPr>
          <w:rFonts w:hint="eastAsia" w:ascii="仿宋" w:hAnsi="仿宋" w:eastAsia="仿宋" w:cs="仿宋"/>
          <w:spacing w:val="-7"/>
          <w:sz w:val="24"/>
          <w:szCs w:val="24"/>
          <w:highlight w:val="none"/>
        </w:rPr>
        <w:t xml:space="preserve"> </w:t>
      </w:r>
      <w:r>
        <w:rPr>
          <w:rFonts w:hint="eastAsia" w:ascii="仿宋" w:hAnsi="仿宋" w:eastAsia="仿宋" w:cs="仿宋"/>
          <w:spacing w:val="-4"/>
          <w:sz w:val="24"/>
          <w:szCs w:val="24"/>
          <w:highlight w:val="none"/>
        </w:rPr>
        <w:t xml:space="preserve">         年      月     日</w:t>
      </w:r>
    </w:p>
    <w:p w14:paraId="70BCB830">
      <w:pPr>
        <w:spacing w:beforeAutospacing="0" w:afterAutospacing="0" w:line="245" w:lineRule="auto"/>
        <w:rPr>
          <w:rFonts w:hint="eastAsia" w:ascii="仿宋" w:hAnsi="仿宋" w:eastAsia="仿宋" w:cs="仿宋"/>
          <w:sz w:val="24"/>
          <w:szCs w:val="24"/>
          <w:highlight w:val="none"/>
        </w:rPr>
      </w:pPr>
    </w:p>
    <w:p w14:paraId="7634CE9A">
      <w:pPr>
        <w:spacing w:beforeAutospacing="0" w:afterAutospacing="0" w:line="245" w:lineRule="auto"/>
        <w:rPr>
          <w:rFonts w:hint="eastAsia" w:ascii="仿宋" w:hAnsi="仿宋" w:eastAsia="仿宋" w:cs="仿宋"/>
          <w:sz w:val="24"/>
          <w:szCs w:val="24"/>
          <w:highlight w:val="none"/>
        </w:rPr>
      </w:pPr>
    </w:p>
    <w:p w14:paraId="362FD876">
      <w:pPr>
        <w:spacing w:before="75" w:beforeAutospacing="0" w:afterAutospacing="0" w:line="382" w:lineRule="auto"/>
        <w:ind w:left="6" w:hanging="6"/>
        <w:rPr>
          <w:rFonts w:hint="eastAsia" w:ascii="仿宋" w:hAnsi="仿宋" w:eastAsia="仿宋" w:cs="仿宋"/>
          <w:spacing w:val="16"/>
          <w:sz w:val="24"/>
          <w:szCs w:val="24"/>
          <w:highlight w:val="none"/>
        </w:rPr>
      </w:pPr>
      <w:r>
        <w:rPr>
          <w:rFonts w:hint="eastAsia" w:ascii="仿宋" w:hAnsi="仿宋" w:eastAsia="仿宋" w:cs="仿宋"/>
          <w:spacing w:val="16"/>
          <w:sz w:val="24"/>
          <w:szCs w:val="24"/>
          <w:highlight w:val="none"/>
        </w:rPr>
        <w:t>从业</w:t>
      </w:r>
      <w:r>
        <w:rPr>
          <w:rFonts w:hint="eastAsia" w:ascii="仿宋" w:hAnsi="仿宋" w:eastAsia="仿宋" w:cs="仿宋"/>
          <w:spacing w:val="14"/>
          <w:sz w:val="24"/>
          <w:szCs w:val="24"/>
          <w:highlight w:val="none"/>
        </w:rPr>
        <w:t>人</w:t>
      </w:r>
      <w:r>
        <w:rPr>
          <w:rFonts w:hint="eastAsia" w:ascii="仿宋" w:hAnsi="仿宋" w:eastAsia="仿宋" w:cs="仿宋"/>
          <w:spacing w:val="8"/>
          <w:sz w:val="24"/>
          <w:szCs w:val="24"/>
          <w:highlight w:val="none"/>
        </w:rPr>
        <w:t>员、营业收入、资产总额填报上一年度数据，无上一年度数据的新成立企业可</w:t>
      </w:r>
      <w:r>
        <w:rPr>
          <w:rFonts w:hint="eastAsia" w:ascii="仿宋" w:hAnsi="仿宋" w:eastAsia="仿宋" w:cs="仿宋"/>
          <w:spacing w:val="2"/>
          <w:sz w:val="24"/>
          <w:szCs w:val="24"/>
          <w:highlight w:val="none"/>
        </w:rPr>
        <w:t>不填报。</w:t>
      </w:r>
    </w:p>
    <w:p w14:paraId="0B0571A8">
      <w:pPr>
        <w:spacing w:before="91" w:beforeAutospacing="0" w:afterAutospacing="0" w:line="223" w:lineRule="auto"/>
        <w:rPr>
          <w:rFonts w:hint="default" w:ascii="仿宋" w:hAnsi="仿宋" w:eastAsia="仿宋" w:cs="仿宋"/>
          <w:kern w:val="0"/>
          <w:sz w:val="24"/>
          <w:szCs w:val="24"/>
          <w:highlight w:val="none"/>
          <w:lang w:val="en-US" w:eastAsia="zh-CN" w:bidi="ar-SA"/>
        </w:rPr>
      </w:pPr>
    </w:p>
    <w:p w14:paraId="500B0866">
      <w:pPr>
        <w:pStyle w:val="12"/>
        <w:rPr>
          <w:rFonts w:hint="default" w:ascii="仿宋" w:hAnsi="仿宋" w:eastAsia="仿宋" w:cs="仿宋"/>
          <w:kern w:val="0"/>
          <w:sz w:val="24"/>
          <w:szCs w:val="24"/>
          <w:highlight w:val="none"/>
          <w:lang w:val="en-US" w:eastAsia="zh-CN" w:bidi="ar-SA"/>
        </w:rPr>
      </w:pPr>
    </w:p>
    <w:p w14:paraId="264CD8AB">
      <w:pPr>
        <w:rPr>
          <w:rFonts w:hint="default" w:ascii="仿宋" w:hAnsi="仿宋" w:eastAsia="仿宋" w:cs="仿宋"/>
          <w:kern w:val="0"/>
          <w:sz w:val="24"/>
          <w:szCs w:val="24"/>
          <w:highlight w:val="none"/>
          <w:lang w:val="en-US" w:eastAsia="zh-CN" w:bidi="ar-SA"/>
        </w:rPr>
      </w:pPr>
    </w:p>
    <w:p w14:paraId="7CD9540D">
      <w:pPr>
        <w:pStyle w:val="12"/>
        <w:rPr>
          <w:rFonts w:hint="default" w:ascii="仿宋" w:hAnsi="仿宋" w:eastAsia="仿宋" w:cs="仿宋"/>
          <w:kern w:val="0"/>
          <w:sz w:val="24"/>
          <w:szCs w:val="24"/>
          <w:highlight w:val="none"/>
          <w:lang w:val="en-US" w:eastAsia="zh-CN" w:bidi="ar-SA"/>
        </w:rPr>
      </w:pPr>
    </w:p>
    <w:p w14:paraId="028C9F10">
      <w:pPr>
        <w:numPr>
          <w:ilvl w:val="0"/>
          <w:numId w:val="0"/>
        </w:numPr>
        <w:jc w:val="center"/>
        <w:rPr>
          <w:rFonts w:hint="eastAsia" w:ascii="仿宋" w:hAnsi="仿宋" w:eastAsia="仿宋" w:cs="仿宋"/>
          <w:b/>
          <w:bCs/>
          <w:color w:val="000000"/>
          <w:sz w:val="28"/>
          <w:szCs w:val="28"/>
          <w:highlight w:val="none"/>
        </w:rPr>
      </w:pPr>
      <w:bookmarkStart w:id="192" w:name="_Toc18207"/>
      <w:bookmarkStart w:id="193" w:name="_Toc9451_WPSOffice_Level1"/>
      <w:r>
        <w:rPr>
          <w:rFonts w:hint="eastAsia" w:ascii="仿宋" w:hAnsi="仿宋" w:eastAsia="仿宋" w:cs="仿宋"/>
          <w:b/>
          <w:bCs/>
          <w:color w:val="000000"/>
          <w:sz w:val="28"/>
          <w:szCs w:val="28"/>
          <w:highlight w:val="none"/>
        </w:rPr>
        <w:t>中小企业划型标准规定</w:t>
      </w:r>
      <w:bookmarkEnd w:id="192"/>
      <w:bookmarkEnd w:id="193"/>
    </w:p>
    <w:p w14:paraId="2E154F4D">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一、根据《</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"https://baike.so.com/doc/6614161-6827954.html" \t "https://baike.so.com/doc/_blank" </w:instrText>
      </w:r>
      <w:r>
        <w:rPr>
          <w:rFonts w:hint="eastAsia" w:ascii="仿宋" w:hAnsi="仿宋" w:eastAsia="仿宋" w:cs="仿宋"/>
          <w:color w:val="000000"/>
        </w:rPr>
        <w:fldChar w:fldCharType="separate"/>
      </w:r>
      <w:r>
        <w:rPr>
          <w:rFonts w:hint="eastAsia" w:ascii="仿宋" w:hAnsi="仿宋" w:eastAsia="仿宋" w:cs="仿宋"/>
          <w:bCs/>
          <w:color w:val="000000"/>
          <w:sz w:val="24"/>
        </w:rPr>
        <w:t>中华人民共和国中小企业促进法</w:t>
      </w:r>
      <w:r>
        <w:rPr>
          <w:rFonts w:hint="eastAsia" w:ascii="仿宋" w:hAnsi="仿宋" w:eastAsia="仿宋" w:cs="仿宋"/>
          <w:bCs/>
          <w:color w:val="000000"/>
          <w:sz w:val="24"/>
        </w:rPr>
        <w:fldChar w:fldCharType="end"/>
      </w:r>
      <w:r>
        <w:rPr>
          <w:rFonts w:hint="eastAsia" w:ascii="仿宋" w:hAnsi="仿宋" w:eastAsia="仿宋" w:cs="仿宋"/>
          <w:bCs/>
          <w:color w:val="000000"/>
          <w:sz w:val="24"/>
        </w:rPr>
        <w:t>》和《国务院关于进一步促进中小企业发展的若干意见》(国发〔2009〕36号)，制定本规定。</w:t>
      </w:r>
    </w:p>
    <w:p w14:paraId="71795DAC">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二、中小企业划分为中型、小型、微型三种类型，具体标准根据企业从业人员、营业收入、资产总额等指标，结合行业特点制定。</w:t>
      </w:r>
    </w:p>
    <w:p w14:paraId="41391EC4">
      <w:pPr>
        <w:pStyle w:val="25"/>
        <w:widowControl/>
        <w:spacing w:before="0" w:beforeAutospacing="0" w:after="0" w:afterAutospacing="0" w:line="500" w:lineRule="atLeast"/>
        <w:ind w:firstLine="480" w:firstLineChars="200"/>
        <w:rPr>
          <w:rFonts w:hint="eastAsia" w:ascii="仿宋" w:hAnsi="仿宋" w:eastAsia="仿宋" w:cs="仿宋"/>
          <w:b/>
          <w:bCs w:val="0"/>
          <w:color w:val="000000"/>
          <w:sz w:val="24"/>
        </w:rPr>
      </w:pPr>
      <w:r>
        <w:rPr>
          <w:rFonts w:hint="eastAsia" w:ascii="仿宋" w:hAnsi="仿宋" w:eastAsia="仿宋" w:cs="仿宋"/>
          <w:bCs/>
          <w:color w:val="000000"/>
          <w:sz w:val="24"/>
        </w:rPr>
        <w:t>三、本规定适用的行业包括：农、林、</w:t>
      </w:r>
      <w:r>
        <w:rPr>
          <w:rFonts w:hint="eastAsia" w:ascii="仿宋" w:hAnsi="仿宋" w:eastAsia="仿宋" w:cs="仿宋"/>
          <w:b w:val="0"/>
          <w:bCs/>
          <w:color w:val="000000"/>
          <w:sz w:val="24"/>
        </w:rPr>
        <w:t>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8B41201">
      <w:pPr>
        <w:pStyle w:val="25"/>
        <w:widowControl/>
        <w:spacing w:before="0" w:beforeAutospacing="0" w:after="0" w:afterAutospacing="0" w:line="500" w:lineRule="atLeast"/>
        <w:ind w:firstLine="480" w:firstLineChars="200"/>
        <w:outlineLvl w:val="0"/>
        <w:rPr>
          <w:rFonts w:hint="eastAsia" w:ascii="仿宋" w:hAnsi="仿宋" w:eastAsia="仿宋" w:cs="仿宋"/>
          <w:b w:val="0"/>
          <w:bCs/>
          <w:color w:val="000000"/>
          <w:sz w:val="24"/>
        </w:rPr>
      </w:pPr>
      <w:bookmarkStart w:id="194" w:name="_Toc17531"/>
      <w:r>
        <w:rPr>
          <w:rFonts w:hint="eastAsia" w:ascii="仿宋" w:hAnsi="仿宋" w:eastAsia="仿宋" w:cs="仿宋"/>
          <w:b w:val="0"/>
          <w:bCs/>
          <w:color w:val="000000"/>
          <w:sz w:val="24"/>
        </w:rPr>
        <w:t>四、各行业划型标准为：</w:t>
      </w:r>
      <w:bookmarkEnd w:id="194"/>
    </w:p>
    <w:p w14:paraId="4AF202D2">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(一)农、林、牧、渔业。营业收入20000万元以下的为中小微型企业。其中，营业收入500万元及以上的为中型企业，营业收入50万元及以上的为小型企业，营业收入50万元以下的为微型企业。</w:t>
      </w:r>
    </w:p>
    <w:p w14:paraId="6DE323FA">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3CCA17">
      <w:pPr>
        <w:pStyle w:val="25"/>
        <w:widowControl/>
        <w:spacing w:before="0" w:beforeAutospacing="0" w:after="0" w:afterAutospacing="0" w:line="500" w:lineRule="atLeast"/>
        <w:ind w:firstLine="482" w:firstLineChars="200"/>
        <w:rPr>
          <w:rFonts w:hint="eastAsia" w:ascii="仿宋" w:hAnsi="仿宋" w:eastAsia="仿宋" w:cs="仿宋"/>
          <w:b/>
          <w:bCs w:val="0"/>
          <w:color w:val="000000"/>
          <w:sz w:val="24"/>
        </w:rPr>
      </w:pPr>
      <w:r>
        <w:rPr>
          <w:rFonts w:hint="eastAsia" w:ascii="仿宋" w:hAnsi="仿宋" w:eastAsia="仿宋" w:cs="仿宋"/>
          <w:b/>
          <w:bCs w:val="0"/>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7827CA">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D3AF5B">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AE756E">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FB53D9">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97D046">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5A93AB">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DEE4E9">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A9A087">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F7327E">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FC0AC6">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1F1C28">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Cs/>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w:t>
      </w:r>
      <w:r>
        <w:rPr>
          <w:rFonts w:hint="eastAsia" w:ascii="仿宋" w:hAnsi="仿宋" w:eastAsia="仿宋" w:cs="仿宋"/>
          <w:b w:val="0"/>
          <w:bCs/>
          <w:color w:val="000000"/>
          <w:sz w:val="24"/>
        </w:rPr>
        <w:t>下或营业收入500万元以下的为微型企业。</w:t>
      </w:r>
    </w:p>
    <w:p w14:paraId="0AEB820B">
      <w:pPr>
        <w:pStyle w:val="25"/>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1498DD">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 w:val="0"/>
          <w:bCs/>
          <w:color w:val="000000"/>
          <w:sz w:val="24"/>
        </w:rPr>
        <w:t>(十六)其他未列明行业。从业人员300人以下的为中小微型企业。其中，从业人员100人及以上的为中型企业；</w:t>
      </w:r>
      <w:r>
        <w:rPr>
          <w:rFonts w:hint="eastAsia" w:ascii="仿宋" w:hAnsi="仿宋" w:eastAsia="仿宋" w:cs="仿宋"/>
          <w:bCs/>
          <w:color w:val="000000"/>
          <w:sz w:val="24"/>
        </w:rPr>
        <w:t>从业人员10人及以上的为小型企业；从业人员10人以下的为微型企业。</w:t>
      </w:r>
    </w:p>
    <w:p w14:paraId="592E0D6A">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五、企业类型的划分以统计部门的统计数据为依据。</w:t>
      </w:r>
    </w:p>
    <w:p w14:paraId="4A71F246">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六、本规定适用于在中华人民共和国境内依法设立的各类所有制和各种组织形式的企业。个体工商户和本规定以外的行业，参照本规定进行划型。</w:t>
      </w:r>
    </w:p>
    <w:p w14:paraId="655B9118">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505E4983">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八、本规定由工业和信息化部、国家统计局会同有关部门根据《</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"https://baike.so.com/doc/5401471-5639092.html" \t "https://baike.so.com/doc/_blank" </w:instrText>
      </w:r>
      <w:r>
        <w:rPr>
          <w:rFonts w:hint="eastAsia" w:ascii="仿宋" w:hAnsi="仿宋" w:eastAsia="仿宋" w:cs="仿宋"/>
          <w:color w:val="000000"/>
        </w:rPr>
        <w:fldChar w:fldCharType="separate"/>
      </w:r>
      <w:r>
        <w:rPr>
          <w:rFonts w:hint="eastAsia" w:ascii="仿宋" w:hAnsi="仿宋" w:eastAsia="仿宋" w:cs="仿宋"/>
          <w:bCs/>
          <w:color w:val="000000"/>
          <w:sz w:val="24"/>
        </w:rPr>
        <w:t>国民经济行业分类</w:t>
      </w:r>
      <w:r>
        <w:rPr>
          <w:rFonts w:hint="eastAsia" w:ascii="仿宋" w:hAnsi="仿宋" w:eastAsia="仿宋" w:cs="仿宋"/>
          <w:bCs/>
          <w:color w:val="000000"/>
          <w:sz w:val="24"/>
        </w:rPr>
        <w:fldChar w:fldCharType="end"/>
      </w:r>
      <w:r>
        <w:rPr>
          <w:rFonts w:hint="eastAsia" w:ascii="仿宋" w:hAnsi="仿宋" w:eastAsia="仿宋" w:cs="仿宋"/>
          <w:bCs/>
          <w:color w:val="000000"/>
          <w:sz w:val="24"/>
        </w:rPr>
        <w:t>》修订情况和企业发展变化情况适时修订。</w:t>
      </w:r>
    </w:p>
    <w:p w14:paraId="126361E1">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九、本规定由工业和信息化部、国家统计局会同有关部门负责解释。</w:t>
      </w:r>
    </w:p>
    <w:p w14:paraId="5EF39C11">
      <w:pPr>
        <w:pStyle w:val="25"/>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十、本规定自发布之日起执行，原国家经贸委、原国家计委、财政部和国家统计局2003年颁布的《中小企业标准暂行规定》同时废止。</w:t>
      </w:r>
      <w:bookmarkStart w:id="195" w:name="1120129-1185072-3"/>
      <w:bookmarkEnd w:id="195"/>
    </w:p>
    <w:p w14:paraId="0ACB1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highlight w:val="yellow"/>
        </w:rPr>
        <w:sectPr>
          <w:footerReference r:id="rId7" w:type="default"/>
          <w:pgSz w:w="11907" w:h="16840"/>
          <w:pgMar w:top="1440" w:right="1800" w:bottom="1440" w:left="1800" w:header="0" w:footer="916" w:gutter="0"/>
          <w:pgBorders>
            <w:top w:val="none" w:sz="0" w:space="0"/>
            <w:left w:val="none" w:sz="0" w:space="0"/>
            <w:bottom w:val="none" w:sz="0" w:space="0"/>
            <w:right w:val="none" w:sz="0" w:space="0"/>
          </w:pgBorders>
          <w:pgNumType w:fmt="decimal" w:start="1"/>
          <w:cols w:space="720" w:num="1"/>
          <w:docGrid w:linePitch="1" w:charSpace="0"/>
        </w:sectPr>
      </w:pPr>
    </w:p>
    <w:p w14:paraId="2622425B">
      <w:pPr>
        <w:spacing w:before="91" w:beforeAutospacing="0" w:afterAutospacing="0" w:line="223" w:lineRule="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附件2：</w:t>
      </w:r>
    </w:p>
    <w:p w14:paraId="699390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352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监狱企业声明函</w:t>
      </w:r>
    </w:p>
    <w:p w14:paraId="322920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341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(监狱企业适用)</w:t>
      </w:r>
    </w:p>
    <w:p w14:paraId="1B8724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 w:firstLine="562"/>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本公司郑重声明，根据《关于政府采购支持监狱企业发展有关问题的通知》 (财库[2014]68号) 的规定，本公司为监狱企业。</w:t>
      </w:r>
    </w:p>
    <w:p w14:paraId="6102BC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 w:right="24" w:firstLine="566"/>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本公司参加______单位的______项目采购活动，采购活动提供本企业 (填写 制造的货物， 由本企业承担工程、提供服务) 。</w:t>
      </w:r>
    </w:p>
    <w:p w14:paraId="6C9047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6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本条所称货物不包括使用大型企业注册商标的货物和服务。</w:t>
      </w:r>
    </w:p>
    <w:p w14:paraId="670B62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6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本公司对上述声明的真实性负责。如有虚假，将依法承担相应责任。</w:t>
      </w:r>
    </w:p>
    <w:p w14:paraId="2032098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7DF4983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供应商 ( 电子签章) ：</w:t>
      </w:r>
    </w:p>
    <w:p w14:paraId="0A29F2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法定代表人或其授权代表(电子签章或电子签名)：____________</w:t>
      </w:r>
    </w:p>
    <w:p w14:paraId="56F32A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1"/>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日 期 ：            年      月     日</w:t>
      </w:r>
    </w:p>
    <w:p w14:paraId="6A87A8D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74EC534D">
      <w:pPr>
        <w:pStyle w:val="12"/>
        <w:rPr>
          <w:rFonts w:hint="eastAsia"/>
          <w:highlight w:val="none"/>
          <w:lang w:val="en-US" w:eastAsia="zh-CN"/>
        </w:rPr>
      </w:pPr>
    </w:p>
    <w:p w14:paraId="408FE09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02F700E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附件3：</w:t>
      </w:r>
    </w:p>
    <w:p w14:paraId="2466B7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2949"/>
        <w:textAlignment w:val="auto"/>
        <w:outlineLvl w:val="2"/>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残疾人福利性单位声明函</w:t>
      </w:r>
    </w:p>
    <w:p w14:paraId="5919331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6739231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5D53DF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24" w:firstLine="50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本单位郑重声明，根据《财政部民政部中国残疾人联合会关于促进残疾人就 业政府采购政策的通知》(财库〔2017〕141号) 的规定，本单位为符合条件的残 疾人福利</w:t>
      </w:r>
    </w:p>
    <w:p w14:paraId="33CA35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0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本单位对上述声明的真实性负责。如有虚假，将依法承担相应责任。</w:t>
      </w:r>
    </w:p>
    <w:p w14:paraId="56C1BBA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4B7E6E3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226E32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单位名称：                       (电子签章)</w:t>
      </w:r>
    </w:p>
    <w:p w14:paraId="597F1D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1"/>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日 期 ：            年      月     日</w:t>
      </w:r>
    </w:p>
    <w:p w14:paraId="7688D2E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4C0ABE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注：．供应商根据情况自行选择，不享受相关政策的供应商无需提供附件 </w:t>
      </w:r>
    </w:p>
    <w:p w14:paraId="3F07C4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sectPr>
          <w:footerReference r:id="rId8" w:type="default"/>
          <w:pgSz w:w="11907" w:h="16840"/>
          <w:pgMar w:top="1440" w:right="1800" w:bottom="1440" w:left="1800" w:header="0" w:footer="916" w:gutter="0"/>
          <w:pgNumType w:fmt="decimal"/>
          <w:cols w:space="720" w:num="1"/>
          <w:docGrid w:linePitch="0" w:charSpace="0"/>
        </w:sectPr>
      </w:pPr>
    </w:p>
    <w:bookmarkEnd w:id="189"/>
    <w:bookmarkEnd w:id="190"/>
    <w:p w14:paraId="119F29D3">
      <w:pPr>
        <w:jc w:val="left"/>
        <w:outlineLvl w:val="0"/>
        <w:rPr>
          <w:rStyle w:val="33"/>
          <w:rFonts w:hint="eastAsia" w:ascii="仿宋" w:hAnsi="仿宋" w:eastAsia="仿宋" w:cs="仿宋"/>
          <w:highlight w:val="none"/>
          <w:lang w:val="en-US" w:eastAsia="zh-CN"/>
        </w:rPr>
      </w:pPr>
      <w:r>
        <w:rPr>
          <w:rStyle w:val="33"/>
          <w:rFonts w:hint="eastAsia" w:ascii="仿宋" w:hAnsi="仿宋" w:eastAsia="仿宋" w:cs="仿宋"/>
          <w:highlight w:val="none"/>
          <w:lang w:val="en-US" w:eastAsia="zh-CN"/>
        </w:rPr>
        <w:t xml:space="preserve">          </w:t>
      </w:r>
      <w:bookmarkStart w:id="196" w:name="_Toc10275"/>
      <w:r>
        <w:rPr>
          <w:rStyle w:val="33"/>
          <w:rFonts w:hint="eastAsia" w:ascii="仿宋" w:hAnsi="仿宋" w:eastAsia="仿宋" w:cs="仿宋"/>
          <w:color w:val="000000"/>
          <w:sz w:val="32"/>
          <w:szCs w:val="32"/>
          <w:highlight w:val="none"/>
          <w:lang w:val="en-US" w:eastAsia="zh-CN"/>
        </w:rPr>
        <w:t>第四章  供应商的资格要求</w:t>
      </w:r>
      <w:bookmarkEnd w:id="196"/>
    </w:p>
    <w:bookmarkEnd w:id="191"/>
    <w:p w14:paraId="73DFC26E">
      <w:pPr>
        <w:rPr>
          <w:rFonts w:hint="eastAsia" w:ascii="仿宋" w:hAnsi="仿宋" w:eastAsia="仿宋" w:cs="仿宋"/>
          <w:color w:val="000000"/>
          <w:sz w:val="24"/>
          <w:szCs w:val="24"/>
          <w:highlight w:val="none"/>
        </w:rPr>
      </w:pPr>
    </w:p>
    <w:p w14:paraId="246340B5">
      <w:pPr>
        <w:pStyle w:val="72"/>
        <w:ind w:right="-82" w:rightChars="-24"/>
        <w:rPr>
          <w:rFonts w:hint="eastAsia" w:ascii="仿宋" w:hAnsi="仿宋" w:eastAsia="仿宋" w:cs="仿宋"/>
          <w:sz w:val="24"/>
          <w:szCs w:val="24"/>
          <w:highlight w:val="none"/>
          <w:lang w:eastAsia="zh-CN"/>
        </w:rPr>
      </w:pPr>
      <w:bookmarkStart w:id="197" w:name="_Toc217446093"/>
      <w:r>
        <w:rPr>
          <w:rFonts w:hint="eastAsia" w:ascii="仿宋" w:hAnsi="仿宋" w:eastAsia="仿宋" w:cs="仿宋"/>
          <w:sz w:val="24"/>
          <w:szCs w:val="24"/>
          <w:highlight w:val="none"/>
          <w:lang w:eastAsia="zh-CN"/>
        </w:rPr>
        <w:t>1、符合《中华人民共和国政府采购法》第二十二条及磋商文件要求的供应商资格要求。</w:t>
      </w:r>
    </w:p>
    <w:bookmarkEnd w:id="197"/>
    <w:p w14:paraId="262C8EB4">
      <w:pPr>
        <w:pStyle w:val="34"/>
        <w:numPr>
          <w:ilvl w:val="0"/>
          <w:numId w:val="0"/>
        </w:numPr>
        <w:spacing w:beforeAutospacing="0" w:afterAutospacing="0" w:line="400" w:lineRule="exact"/>
        <w:jc w:val="center"/>
        <w:rPr>
          <w:rFonts w:hint="eastAsia" w:ascii="仿宋" w:hAnsi="仿宋" w:eastAsia="仿宋" w:cs="仿宋"/>
          <w:color w:val="000000"/>
          <w:sz w:val="24"/>
          <w:szCs w:val="24"/>
          <w:highlight w:val="none"/>
        </w:rPr>
      </w:pPr>
      <w:bookmarkStart w:id="198" w:name="_Toc17293"/>
      <w:bookmarkEnd w:id="198"/>
      <w:r>
        <w:rPr>
          <w:rFonts w:hint="eastAsia" w:ascii="仿宋" w:hAnsi="仿宋" w:eastAsia="仿宋" w:cs="仿宋"/>
          <w:color w:val="000000"/>
          <w:sz w:val="24"/>
          <w:szCs w:val="24"/>
          <w:highlight w:val="none"/>
        </w:rPr>
        <w:br w:type="page"/>
      </w:r>
      <w:bookmarkStart w:id="199" w:name="_Toc22251"/>
      <w:r>
        <w:rPr>
          <w:rFonts w:hint="eastAsia" w:ascii="仿宋" w:hAnsi="仿宋" w:eastAsia="仿宋" w:cs="仿宋"/>
          <w:b/>
          <w:bCs/>
          <w:color w:val="000000"/>
          <w:sz w:val="36"/>
          <w:szCs w:val="36"/>
          <w:highlight w:val="none"/>
          <w:lang w:val="en-US" w:eastAsia="zh-CN"/>
        </w:rPr>
        <w:t xml:space="preserve">第五章  </w:t>
      </w:r>
      <w:r>
        <w:rPr>
          <w:rFonts w:hint="eastAsia" w:ascii="仿宋" w:hAnsi="仿宋" w:eastAsia="仿宋" w:cs="仿宋"/>
          <w:color w:val="000000"/>
          <w:sz w:val="36"/>
          <w:szCs w:val="36"/>
          <w:highlight w:val="none"/>
          <w:lang w:val="en-US" w:eastAsia="zh-CN"/>
        </w:rPr>
        <w:t>采购项目采购需求</w:t>
      </w:r>
      <w:bookmarkEnd w:id="199"/>
    </w:p>
    <w:p w14:paraId="19F075D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bookmarkStart w:id="200" w:name="_Hlt101846155"/>
      <w:bookmarkEnd w:id="200"/>
      <w:bookmarkStart w:id="201" w:name="_Toc30882"/>
      <w:bookmarkEnd w:id="201"/>
      <w:bookmarkStart w:id="202" w:name="_Toc31291"/>
      <w:bookmarkEnd w:id="202"/>
      <w:bookmarkStart w:id="203" w:name="_Toc217446097"/>
      <w:bookmarkStart w:id="204" w:name="_Toc208849007"/>
      <w:bookmarkStart w:id="205" w:name="_Toc183682415"/>
      <w:bookmarkStart w:id="206" w:name="_Toc183582280"/>
    </w:p>
    <w:p w14:paraId="65EB0B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一、工程概况</w:t>
      </w:r>
    </w:p>
    <w:p w14:paraId="0E00EB7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1.工程名称：乌鲁木齐市第八幼儿园2025年园舍维修改造项目</w:t>
      </w:r>
    </w:p>
    <w:p w14:paraId="46F579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2.建设单位：乌鲁木齐市第八幼儿园</w:t>
      </w:r>
    </w:p>
    <w:p w14:paraId="752F1A4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3.建设规模及工程内容：乌鲁木齐市第八幼儿园室内外装饰装修、安装等全部内容进行维修改造。</w:t>
      </w:r>
    </w:p>
    <w:p w14:paraId="344386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二、工程招标及专业工程发包范围</w:t>
      </w:r>
    </w:p>
    <w:p w14:paraId="72593D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工程招标范围：由建设单位提供的工程量清单等范围内全部工作内容。</w:t>
      </w:r>
    </w:p>
    <w:p w14:paraId="6458FD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三、编制依据</w:t>
      </w:r>
    </w:p>
    <w:p w14:paraId="52B2EFC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1.《建设工程工程量清单计价规范》GB50500-2013、《房屋建筑与装饰工程工程量计算规范》GB 50854-2013、《通用安装工程工程量计算规范》GB50856-2013及相关解释和勘误；</w:t>
      </w:r>
    </w:p>
    <w:p w14:paraId="7A94275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2.《新疆维吾尔自治区建设工程工程量清单计价管理办法》（新建标【2018】8号）；</w:t>
      </w:r>
    </w:p>
    <w:p w14:paraId="0222DB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3.新建标[2016]2号文《关于建筑业营业税改增值税调整新疆建设工程计价依据的实施意见》、关于实施建筑业增值税新税率调整建设工程计价依据的通知》（新建标【2019】4号）；</w:t>
      </w:r>
    </w:p>
    <w:p w14:paraId="56E1C1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4.关于印发自治区贯彻实施2013版《房屋建筑与装饰工程工程量计算规范》和《市政工程工程量计算规范》补充规定的通知（新建标[2014]9号）；</w:t>
      </w:r>
    </w:p>
    <w:p w14:paraId="5DF480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5.招标范围内选用的标准（包括标准图集）、施工验收的现行规范、规定等技术资料；</w:t>
      </w:r>
    </w:p>
    <w:p w14:paraId="337C92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四、工程质量、材料、施工等的特殊要求</w:t>
      </w:r>
    </w:p>
    <w:p w14:paraId="7EA1B3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1.工程质量标准：满足相应规范及要求。</w:t>
      </w:r>
    </w:p>
    <w:p w14:paraId="0C3A5A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2.主要材料要求：满足相应规范及要求。</w:t>
      </w:r>
    </w:p>
    <w:p w14:paraId="4B15F3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3.施工要求：满足相应规范及要求。</w:t>
      </w:r>
    </w:p>
    <w:p w14:paraId="79F87A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五、其他需要说明的问题：</w:t>
      </w:r>
    </w:p>
    <w:p w14:paraId="7B007B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1.工程量清单中项目名称、内容及项目特征叙述不到位的,由投标人根据施工组织设计、现场踏勘情况及相关规范考虑在报价中。</w:t>
      </w:r>
    </w:p>
    <w:p w14:paraId="3724EA0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2.本工程综合单价未考虑风险因素。</w:t>
      </w:r>
    </w:p>
    <w:p w14:paraId="4D0BE12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3.本工程暂列金额为6000.00（不含税金）。</w:t>
      </w:r>
    </w:p>
    <w:p w14:paraId="1C4ABBA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4.本工程未考虑建设工程智慧工地基础配置费用。</w:t>
      </w:r>
    </w:p>
    <w:p w14:paraId="13701F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highlight w:val="none"/>
        </w:rPr>
      </w:pPr>
      <w:r>
        <w:rPr>
          <w:rFonts w:hint="eastAsia" w:ascii="仿宋" w:hAnsi="仿宋" w:eastAsia="仿宋" w:cs="仿宋"/>
          <w:color w:val="000000"/>
          <w:sz w:val="24"/>
          <w:szCs w:val="24"/>
          <w:highlight w:val="none"/>
          <w:lang w:val="en-US" w:eastAsia="zh-CN"/>
        </w:rPr>
        <w:t>5.本工程的利润及管理费按取费文件规定的费率上限计取。</w:t>
      </w:r>
      <w:r>
        <w:rPr>
          <w:rFonts w:hint="eastAsia" w:ascii="仿宋" w:hAnsi="仿宋" w:eastAsia="仿宋" w:cs="仿宋"/>
          <w:highlight w:val="none"/>
        </w:rPr>
        <w:br w:type="page"/>
      </w:r>
    </w:p>
    <w:p w14:paraId="6A0D2294">
      <w:pPr>
        <w:pStyle w:val="34"/>
        <w:bidi w:val="0"/>
        <w:jc w:val="center"/>
        <w:rPr>
          <w:rFonts w:hint="eastAsia" w:ascii="仿宋" w:hAnsi="仿宋" w:eastAsia="仿宋" w:cs="仿宋"/>
          <w:highlight w:val="none"/>
        </w:rPr>
      </w:pPr>
      <w:bookmarkStart w:id="207" w:name="_Toc3627"/>
      <w:r>
        <w:rPr>
          <w:rFonts w:hint="eastAsia" w:ascii="仿宋" w:hAnsi="仿宋" w:eastAsia="仿宋" w:cs="仿宋"/>
          <w:highlight w:val="none"/>
        </w:rPr>
        <w:t>第</w:t>
      </w:r>
      <w:r>
        <w:rPr>
          <w:rFonts w:hint="eastAsia" w:ascii="仿宋" w:hAnsi="仿宋" w:eastAsia="仿宋" w:cs="仿宋"/>
          <w:highlight w:val="none"/>
          <w:lang w:val="en-US" w:eastAsia="zh-CN"/>
        </w:rPr>
        <w:t>六</w:t>
      </w:r>
      <w:r>
        <w:rPr>
          <w:rFonts w:hint="eastAsia" w:ascii="仿宋" w:hAnsi="仿宋" w:eastAsia="仿宋" w:cs="仿宋"/>
          <w:highlight w:val="none"/>
        </w:rPr>
        <w:t xml:space="preserve">章 </w:t>
      </w:r>
      <w:r>
        <w:rPr>
          <w:rFonts w:hint="eastAsia" w:ascii="仿宋" w:hAnsi="仿宋" w:eastAsia="仿宋" w:cs="仿宋"/>
          <w:highlight w:val="none"/>
          <w:lang w:val="en-US" w:eastAsia="zh-CN"/>
        </w:rPr>
        <w:t xml:space="preserve"> </w:t>
      </w:r>
      <w:r>
        <w:rPr>
          <w:rFonts w:hint="eastAsia" w:ascii="仿宋" w:hAnsi="仿宋" w:eastAsia="仿宋" w:cs="仿宋"/>
          <w:highlight w:val="none"/>
        </w:rPr>
        <w:t>评标办法</w:t>
      </w:r>
      <w:bookmarkEnd w:id="207"/>
    </w:p>
    <w:bookmarkEnd w:id="203"/>
    <w:bookmarkEnd w:id="204"/>
    <w:bookmarkEnd w:id="205"/>
    <w:bookmarkEnd w:id="206"/>
    <w:p w14:paraId="0D9B9651">
      <w:pPr>
        <w:pStyle w:val="35"/>
        <w:pageBreakBefore w:val="0"/>
        <w:widowControl w:val="0"/>
        <w:kinsoku/>
        <w:wordWrap/>
        <w:overflowPunct/>
        <w:topLinePunct w:val="0"/>
        <w:autoSpaceDE/>
        <w:autoSpaceDN/>
        <w:bidi w:val="0"/>
        <w:snapToGrid/>
        <w:spacing w:before="0" w:beforeAutospacing="0" w:after="0" w:afterAutospacing="0"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总则</w:t>
      </w:r>
    </w:p>
    <w:p w14:paraId="1D9B99A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 根据《</w:t>
      </w:r>
      <w:r>
        <w:rPr>
          <w:rFonts w:hint="eastAsia" w:ascii="仿宋" w:hAnsi="仿宋" w:eastAsia="仿宋" w:cs="仿宋"/>
          <w:color w:val="000000"/>
          <w:sz w:val="24"/>
          <w:szCs w:val="24"/>
          <w:highlight w:val="none"/>
          <w:lang w:eastAsia="zh-CN"/>
        </w:rPr>
        <w:t>中华人民共和国政府采购法</w:t>
      </w:r>
      <w:r>
        <w:rPr>
          <w:rFonts w:hint="eastAsia" w:ascii="仿宋" w:hAnsi="仿宋" w:eastAsia="仿宋" w:cs="仿宋"/>
          <w:color w:val="000000"/>
          <w:sz w:val="24"/>
          <w:szCs w:val="24"/>
          <w:highlight w:val="none"/>
        </w:rPr>
        <w:t>》和《</w:t>
      </w:r>
      <w:r>
        <w:rPr>
          <w:rFonts w:hint="eastAsia" w:ascii="仿宋" w:hAnsi="仿宋" w:eastAsia="仿宋" w:cs="仿宋"/>
          <w:color w:val="000000"/>
          <w:sz w:val="24"/>
          <w:szCs w:val="24"/>
          <w:highlight w:val="none"/>
          <w:lang w:val="en-US" w:eastAsia="zh-CN"/>
        </w:rPr>
        <w:t>政府采购实施条例</w:t>
      </w:r>
      <w:r>
        <w:rPr>
          <w:rFonts w:hint="eastAsia" w:ascii="仿宋" w:hAnsi="仿宋" w:eastAsia="仿宋" w:cs="仿宋"/>
          <w:color w:val="000000"/>
          <w:sz w:val="24"/>
          <w:szCs w:val="24"/>
          <w:highlight w:val="none"/>
        </w:rPr>
        <w:t>》等法律规章，结合采购项目特点制定本评标办法。</w:t>
      </w:r>
    </w:p>
    <w:p w14:paraId="12D9891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1.2 </w:t>
      </w:r>
      <w:r>
        <w:rPr>
          <w:rFonts w:hint="eastAsia" w:ascii="仿宋" w:hAnsi="仿宋" w:eastAsia="仿宋" w:cs="仿宋"/>
          <w:bCs/>
          <w:color w:val="000000"/>
          <w:sz w:val="24"/>
          <w:szCs w:val="24"/>
          <w:highlight w:val="none"/>
        </w:rPr>
        <w:t>评标工作由</w:t>
      </w:r>
      <w:r>
        <w:rPr>
          <w:rFonts w:hint="eastAsia" w:ascii="仿宋" w:hAnsi="仿宋" w:eastAsia="仿宋" w:cs="仿宋"/>
          <w:bCs/>
          <w:color w:val="000000"/>
          <w:sz w:val="24"/>
          <w:szCs w:val="24"/>
          <w:highlight w:val="none"/>
          <w:lang w:eastAsia="zh-CN"/>
        </w:rPr>
        <w:t>采购</w:t>
      </w:r>
      <w:r>
        <w:rPr>
          <w:rFonts w:hint="eastAsia" w:ascii="仿宋" w:hAnsi="仿宋" w:eastAsia="仿宋" w:cs="仿宋"/>
          <w:bCs/>
          <w:color w:val="000000"/>
          <w:sz w:val="24"/>
          <w:szCs w:val="24"/>
          <w:highlight w:val="none"/>
        </w:rPr>
        <w:t>人负责组织，具体评标事务由</w:t>
      </w:r>
      <w:r>
        <w:rPr>
          <w:rFonts w:hint="eastAsia" w:ascii="仿宋" w:hAnsi="仿宋" w:eastAsia="仿宋" w:cs="仿宋"/>
          <w:bCs/>
          <w:color w:val="000000"/>
          <w:sz w:val="24"/>
          <w:szCs w:val="24"/>
          <w:highlight w:val="none"/>
          <w:lang w:eastAsia="zh-CN"/>
        </w:rPr>
        <w:t>采购</w:t>
      </w:r>
      <w:r>
        <w:rPr>
          <w:rFonts w:hint="eastAsia" w:ascii="仿宋" w:hAnsi="仿宋" w:eastAsia="仿宋" w:cs="仿宋"/>
          <w:bCs/>
          <w:color w:val="000000"/>
          <w:sz w:val="24"/>
          <w:szCs w:val="24"/>
          <w:highlight w:val="none"/>
        </w:rPr>
        <w:t>人依法组建的</w:t>
      </w:r>
      <w:r>
        <w:rPr>
          <w:rFonts w:hint="eastAsia" w:ascii="仿宋" w:hAnsi="仿宋" w:eastAsia="仿宋" w:cs="仿宋"/>
          <w:bCs/>
          <w:color w:val="000000"/>
          <w:sz w:val="24"/>
          <w:szCs w:val="24"/>
          <w:highlight w:val="none"/>
          <w:lang w:eastAsia="zh-CN"/>
        </w:rPr>
        <w:t>磋商小组</w:t>
      </w:r>
      <w:r>
        <w:rPr>
          <w:rFonts w:hint="eastAsia" w:ascii="仿宋" w:hAnsi="仿宋" w:eastAsia="仿宋" w:cs="仿宋"/>
          <w:bCs/>
          <w:color w:val="000000"/>
          <w:sz w:val="24"/>
          <w:szCs w:val="24"/>
          <w:highlight w:val="none"/>
        </w:rPr>
        <w:t>负责。</w:t>
      </w:r>
      <w:r>
        <w:rPr>
          <w:rFonts w:hint="eastAsia" w:ascii="仿宋" w:hAnsi="仿宋" w:eastAsia="仿宋" w:cs="仿宋"/>
          <w:bCs/>
          <w:color w:val="000000"/>
          <w:sz w:val="24"/>
          <w:szCs w:val="24"/>
          <w:highlight w:val="none"/>
          <w:lang w:eastAsia="zh-CN"/>
        </w:rPr>
        <w:t>磋商小组</w:t>
      </w:r>
      <w:r>
        <w:rPr>
          <w:rFonts w:hint="eastAsia" w:ascii="仿宋" w:hAnsi="仿宋" w:eastAsia="仿宋" w:cs="仿宋"/>
          <w:bCs/>
          <w:color w:val="000000"/>
          <w:sz w:val="24"/>
          <w:szCs w:val="24"/>
          <w:highlight w:val="none"/>
        </w:rPr>
        <w:t>由采购人代表和有关技术、经济等方面的专家组成。</w:t>
      </w:r>
    </w:p>
    <w:p w14:paraId="0DE3B35E">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 评标工作应遵循公平、公正、科学及择优的原则，并以相同的评标程序和标准对待所有的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w:t>
      </w:r>
    </w:p>
    <w:p w14:paraId="6E71264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1.4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规定的评标方法和标准进行评标，并独立履行下列职责：</w:t>
      </w:r>
    </w:p>
    <w:p w14:paraId="7C40C3F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（1）审查</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是否符合</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要求，并作出评价；</w:t>
      </w:r>
    </w:p>
    <w:p w14:paraId="645E03E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（2）要求投标供应商对</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有关事项作出解释或者澄清；</w:t>
      </w:r>
    </w:p>
    <w:p w14:paraId="13CA979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候选供应商名单，或者受采购人委托按照事先确定的办法直接确定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供应商；</w:t>
      </w:r>
    </w:p>
    <w:p w14:paraId="3F0776F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08" w:name="_Toc217446098"/>
      <w:r>
        <w:rPr>
          <w:rFonts w:hint="eastAsia" w:ascii="仿宋" w:hAnsi="仿宋" w:eastAsia="仿宋" w:cs="仿宋"/>
          <w:color w:val="000000"/>
          <w:sz w:val="24"/>
          <w:szCs w:val="24"/>
          <w:highlight w:val="none"/>
        </w:rPr>
        <w:t>（4）向采购单位或者有关部门报告非法干预评标工作的行为。</w:t>
      </w:r>
    </w:p>
    <w:p w14:paraId="5979931C">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 评标过程严格保密。</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的评标过程或合同授予决定施加影响的任何行为都可能导致其投标被拒绝。</w:t>
      </w:r>
    </w:p>
    <w:p w14:paraId="051057E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决定</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的响应性依据</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本身的内容，而不寻求外部的证据。</w:t>
      </w:r>
    </w:p>
    <w:p w14:paraId="7AE081A8">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发现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表述不明确或需要说明的事项，可提请采购单位书面解释说明。发现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违反有关法律、法规和规章的，可以拒绝评标，并向采购单位书面说明情况。</w:t>
      </w:r>
    </w:p>
    <w:p w14:paraId="58EDAA9F">
      <w:pPr>
        <w:pageBreakBefore w:val="0"/>
        <w:widowControl w:val="0"/>
        <w:kinsoku/>
        <w:wordWrap/>
        <w:overflowPunct/>
        <w:topLinePunct w:val="0"/>
        <w:autoSpaceDE/>
        <w:autoSpaceDN/>
        <w:bidi w:val="0"/>
        <w:snapToGrid/>
        <w:spacing w:beforeAutospacing="0" w:afterAutospacing="0" w:line="360" w:lineRule="auto"/>
        <w:ind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w:t>
      </w:r>
      <w:r>
        <w:rPr>
          <w:rFonts w:hint="eastAsia" w:ascii="仿宋" w:hAnsi="仿宋" w:eastAsia="仿宋" w:cs="仿宋"/>
          <w:color w:val="000000"/>
          <w:sz w:val="24"/>
          <w:szCs w:val="24"/>
          <w:highlight w:val="none"/>
        </w:rPr>
        <w:t xml:space="preserve">. </w:t>
      </w:r>
      <w:r>
        <w:rPr>
          <w:rFonts w:hint="eastAsia" w:ascii="仿宋" w:hAnsi="仿宋" w:eastAsia="仿宋" w:cs="仿宋"/>
          <w:b/>
          <w:color w:val="000000"/>
          <w:sz w:val="24"/>
          <w:szCs w:val="24"/>
          <w:highlight w:val="none"/>
        </w:rPr>
        <w:t>评标方法</w:t>
      </w:r>
    </w:p>
    <w:p w14:paraId="7CABFB0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本项目评标方法为：综合评分法。</w:t>
      </w:r>
    </w:p>
    <w:bookmarkEnd w:id="208"/>
    <w:p w14:paraId="00C191ED">
      <w:pPr>
        <w:pageBreakBefore w:val="0"/>
        <w:widowControl w:val="0"/>
        <w:numPr>
          <w:ilvl w:val="0"/>
          <w:numId w:val="4"/>
        </w:numPr>
        <w:kinsoku/>
        <w:wordWrap/>
        <w:overflowPunct/>
        <w:topLinePunct w:val="0"/>
        <w:autoSpaceDE/>
        <w:autoSpaceDN/>
        <w:bidi w:val="0"/>
        <w:snapToGrid/>
        <w:spacing w:beforeAutospacing="0" w:afterAutospacing="0" w:line="360" w:lineRule="auto"/>
        <w:ind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评标程序</w:t>
      </w:r>
    </w:p>
    <w:p w14:paraId="62129724">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w:t>
      </w:r>
      <w:r>
        <w:rPr>
          <w:rFonts w:hint="eastAsia" w:ascii="仿宋" w:hAnsi="仿宋" w:eastAsia="仿宋" w:cs="仿宋"/>
          <w:color w:val="000000"/>
          <w:sz w:val="24"/>
          <w:szCs w:val="24"/>
          <w:highlight w:val="none"/>
          <w:lang w:val="en-US" w:eastAsia="zh-CN"/>
        </w:rPr>
        <w:t>资格审查</w:t>
      </w:r>
    </w:p>
    <w:p w14:paraId="5DA7080A">
      <w:pPr>
        <w:spacing w:beforeAutospacing="0" w:afterAutospacing="0"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《资格审查标准》</w:t>
      </w:r>
    </w:p>
    <w:tbl>
      <w:tblPr>
        <w:tblStyle w:val="2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1029"/>
        <w:gridCol w:w="8002"/>
      </w:tblGrid>
      <w:tr w14:paraId="4ABF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9" w:type="dxa"/>
            <w:shd w:val="clear" w:color="auto" w:fill="FFFFFF"/>
            <w:vAlign w:val="top"/>
          </w:tcPr>
          <w:p w14:paraId="65741EE9">
            <w:pPr>
              <w:pageBreakBefore w:val="0"/>
              <w:widowControl w:val="0"/>
              <w:kinsoku/>
              <w:wordWrap/>
              <w:overflowPunct/>
              <w:topLinePunct w:val="0"/>
              <w:autoSpaceDE/>
              <w:autoSpaceDN/>
              <w:bidi w:val="0"/>
              <w:snapToGrid/>
              <w:spacing w:beforeAutospacing="0" w:afterAutospacing="0"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002" w:type="dxa"/>
            <w:shd w:val="clear" w:color="auto" w:fill="FFFFFF"/>
            <w:vAlign w:val="top"/>
          </w:tcPr>
          <w:p w14:paraId="3576B839">
            <w:pPr>
              <w:pageBreakBefore w:val="0"/>
              <w:widowControl w:val="0"/>
              <w:kinsoku/>
              <w:wordWrap/>
              <w:overflowPunct/>
              <w:topLinePunct w:val="0"/>
              <w:autoSpaceDE/>
              <w:autoSpaceDN/>
              <w:bidi w:val="0"/>
              <w:snapToGrid/>
              <w:spacing w:beforeAutospacing="0" w:afterAutospacing="0"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标准</w:t>
            </w:r>
          </w:p>
        </w:tc>
      </w:tr>
      <w:tr w14:paraId="00FAB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029" w:type="dxa"/>
            <w:shd w:val="clear" w:color="auto" w:fill="FFFFFF"/>
            <w:vAlign w:val="center"/>
          </w:tcPr>
          <w:p w14:paraId="0C5894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8002" w:type="dxa"/>
            <w:shd w:val="clear" w:color="auto" w:fill="FFFFFF"/>
            <w:vAlign w:val="center"/>
          </w:tcPr>
          <w:p w14:paraId="5EDB063F">
            <w:pPr>
              <w:pageBreakBefore w:val="0"/>
              <w:widowControl w:val="0"/>
              <w:kinsoku/>
              <w:wordWrap/>
              <w:overflowPunct/>
              <w:topLinePunct w:val="0"/>
              <w:autoSpaceDE/>
              <w:autoSpaceDN/>
              <w:bidi w:val="0"/>
              <w:snapToGrid/>
              <w:spacing w:beforeAutospacing="0" w:afterAutospacing="0" w:line="360" w:lineRule="auto"/>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zh-CN" w:eastAsia="zh-CN"/>
              </w:rPr>
              <w:t>供应商须具有独立承担民事责任的能力；【法人或者其他组织投标需提供营业执照等证明文件，自然人投标需提供自然人的身份证明】</w:t>
            </w:r>
          </w:p>
        </w:tc>
      </w:tr>
      <w:tr w14:paraId="62D32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29" w:type="dxa"/>
            <w:shd w:val="clear" w:color="auto" w:fill="FFFFFF"/>
            <w:vAlign w:val="center"/>
          </w:tcPr>
          <w:p w14:paraId="71A024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002" w:type="dxa"/>
            <w:shd w:val="clear" w:color="auto" w:fill="FFFFFF"/>
            <w:vAlign w:val="center"/>
          </w:tcPr>
          <w:p w14:paraId="5C346A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具有良好的商业信誉和健全的财务会计制度；【须提供银行出具的近1年内资信证明或2024年度经第三方审计机构出具的财务报告，</w:t>
            </w:r>
            <w:r>
              <w:rPr>
                <w:rFonts w:hint="default" w:ascii="仿宋" w:hAnsi="仿宋" w:eastAsia="仿宋" w:cs="仿宋"/>
                <w:color w:val="000000"/>
                <w:sz w:val="24"/>
                <w:szCs w:val="24"/>
                <w:highlight w:val="none"/>
                <w:lang w:val="en-US" w:eastAsia="zh-CN"/>
              </w:rPr>
              <w:t>新成立企业（注册未满1年）提供财务状况声明函</w:t>
            </w:r>
            <w:r>
              <w:rPr>
                <w:rFonts w:hint="eastAsia" w:ascii="仿宋" w:hAnsi="仿宋" w:eastAsia="仿宋" w:cs="仿宋"/>
                <w:color w:val="000000"/>
                <w:sz w:val="24"/>
                <w:szCs w:val="24"/>
                <w:highlight w:val="none"/>
                <w:lang w:val="en-US" w:eastAsia="zh-CN"/>
              </w:rPr>
              <w:t>】</w:t>
            </w:r>
          </w:p>
        </w:tc>
      </w:tr>
      <w:tr w14:paraId="0EF1C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29" w:type="dxa"/>
            <w:shd w:val="clear" w:color="auto" w:fill="FFFFFF"/>
            <w:vAlign w:val="center"/>
          </w:tcPr>
          <w:p w14:paraId="0249E3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8002" w:type="dxa"/>
            <w:shd w:val="clear" w:color="auto" w:fill="FFFFFF"/>
            <w:vAlign w:val="center"/>
          </w:tcPr>
          <w:p w14:paraId="1BB157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具有履行合同所必需的设备和专业技术能力；【①相关设备或设施的购置发票或单据；②提供具有履行合同所必需的专业技术能力相关证明材料】</w:t>
            </w:r>
          </w:p>
        </w:tc>
      </w:tr>
      <w:tr w14:paraId="2B7C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029" w:type="dxa"/>
            <w:shd w:val="clear" w:color="auto" w:fill="FFFFFF"/>
            <w:vAlign w:val="center"/>
          </w:tcPr>
          <w:p w14:paraId="7945D6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8002" w:type="dxa"/>
            <w:shd w:val="clear" w:color="auto" w:fill="FFFFFF"/>
            <w:vAlign w:val="center"/>
          </w:tcPr>
          <w:p w14:paraId="7AD310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有依法缴纳税收和社会保障资金的良好记录；【须提供：①近12个月内（任意1个月）已依法缴纳税收的凭据；②近12个月内（任意1个月）已依法缴纳社会保险的凭据。（依法免税或不需要缴纳社会保障资金的供应商，应提供相应证明文件，新成立企业无需提供。）】</w:t>
            </w:r>
          </w:p>
        </w:tc>
      </w:tr>
      <w:tr w14:paraId="28686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9" w:type="dxa"/>
            <w:shd w:val="clear" w:color="auto" w:fill="FFFFFF"/>
            <w:vAlign w:val="center"/>
          </w:tcPr>
          <w:p w14:paraId="095DC7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8002" w:type="dxa"/>
            <w:shd w:val="clear" w:color="auto" w:fill="FFFFFF"/>
            <w:vAlign w:val="center"/>
          </w:tcPr>
          <w:p w14:paraId="7A0EE9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参与投标的单位前三年内，在经营活动中没有重大违法记录；【需提供书面声明（供应商自行承诺并承担后果，声明不实的，按《中华人民共和国政府采购法》有关提供虚假材料的有关规定给予处罚。）】</w:t>
            </w:r>
          </w:p>
        </w:tc>
      </w:tr>
      <w:tr w14:paraId="1764E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029" w:type="dxa"/>
            <w:shd w:val="clear" w:color="auto" w:fill="FFFFFF"/>
            <w:vAlign w:val="center"/>
          </w:tcPr>
          <w:p w14:paraId="65E9DA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8002" w:type="dxa"/>
            <w:shd w:val="clear" w:color="auto" w:fill="FFFFFF"/>
            <w:vAlign w:val="center"/>
          </w:tcPr>
          <w:p w14:paraId="6ACD5F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法律、行政法规规定的其他条件；【须提供承诺书】</w:t>
            </w:r>
          </w:p>
        </w:tc>
      </w:tr>
      <w:tr w14:paraId="4E60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29" w:type="dxa"/>
            <w:shd w:val="clear" w:color="auto" w:fill="FFFFFF"/>
            <w:vAlign w:val="center"/>
          </w:tcPr>
          <w:p w14:paraId="11407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8002" w:type="dxa"/>
            <w:shd w:val="clear" w:color="auto" w:fill="FFFFFF"/>
            <w:vAlign w:val="top"/>
          </w:tcPr>
          <w:p w14:paraId="728927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其他说明：单位负责人为同一人或者存在直接控股、管理关系的不同供应商，不得参加同一合同项下的政府采购活动。【须提供承诺书或说明】</w:t>
            </w:r>
          </w:p>
        </w:tc>
      </w:tr>
      <w:tr w14:paraId="424C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29" w:type="dxa"/>
            <w:shd w:val="clear" w:color="auto" w:fill="FFFFFF"/>
            <w:vAlign w:val="center"/>
          </w:tcPr>
          <w:p w14:paraId="7642EB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8002" w:type="dxa"/>
            <w:shd w:val="clear" w:color="auto" w:fill="FFFFFF"/>
            <w:vAlign w:val="top"/>
          </w:tcPr>
          <w:p w14:paraId="7C6447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本项目不接受联合体投标。【须提供承诺书】</w:t>
            </w:r>
          </w:p>
        </w:tc>
      </w:tr>
      <w:tr w14:paraId="02C4A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29" w:type="dxa"/>
            <w:shd w:val="clear" w:color="auto" w:fill="FFFFFF"/>
            <w:vAlign w:val="center"/>
          </w:tcPr>
          <w:p w14:paraId="45DA88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8002" w:type="dxa"/>
            <w:shd w:val="clear" w:color="auto" w:fill="FFFFFF"/>
            <w:vAlign w:val="top"/>
          </w:tcPr>
          <w:p w14:paraId="395264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落实政府采购政策需满足的资格要求：本项目专门面向中小企业；（根据要求提交《中小企业声明函》）</w:t>
            </w:r>
          </w:p>
        </w:tc>
      </w:tr>
      <w:tr w14:paraId="24FDA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29" w:type="dxa"/>
            <w:shd w:val="clear" w:color="auto" w:fill="FFFFFF"/>
            <w:vAlign w:val="center"/>
          </w:tcPr>
          <w:p w14:paraId="478141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8002" w:type="dxa"/>
            <w:shd w:val="clear" w:color="auto" w:fill="FFFFFF"/>
            <w:vAlign w:val="top"/>
          </w:tcPr>
          <w:p w14:paraId="1CAD4D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的特定资格要求：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须提相关证件，项目负责人需提供无在建项目承诺书】</w:t>
            </w:r>
          </w:p>
        </w:tc>
      </w:tr>
      <w:tr w14:paraId="79AA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29" w:type="dxa"/>
            <w:shd w:val="clear" w:color="auto" w:fill="FFFFFF"/>
            <w:vAlign w:val="center"/>
          </w:tcPr>
          <w:p w14:paraId="5D8E2AD4">
            <w:pPr>
              <w:pageBreakBefore w:val="0"/>
              <w:widowControl w:val="0"/>
              <w:kinsoku/>
              <w:wordWrap/>
              <w:overflowPunct/>
              <w:topLinePunct w:val="0"/>
              <w:autoSpaceDE/>
              <w:autoSpaceDN/>
              <w:bidi w:val="0"/>
              <w:snapToGrid/>
              <w:spacing w:beforeAutospacing="0" w:afterAutospacing="0"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c>
          <w:tcPr>
            <w:tcW w:w="8002" w:type="dxa"/>
            <w:shd w:val="clear" w:color="auto" w:fill="FFFFFF"/>
            <w:vAlign w:val="top"/>
          </w:tcPr>
          <w:p w14:paraId="178DDAE9">
            <w:pPr>
              <w:pageBreakBefore w:val="0"/>
              <w:widowControl w:val="0"/>
              <w:kinsoku/>
              <w:wordWrap/>
              <w:overflowPunct/>
              <w:topLinePunct w:val="0"/>
              <w:autoSpaceDE/>
              <w:autoSpaceDN/>
              <w:bidi w:val="0"/>
              <w:snapToGrid/>
              <w:spacing w:beforeAutospacing="0" w:afterAutospacing="0"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中有一项未通过上述审查标准，</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小组将认定整个</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不响应</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而予以无效处理，并且不允许</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通过修改或撤销其不符合要求的差异或保留，使之成为具有响应性的投标。</w:t>
            </w:r>
          </w:p>
        </w:tc>
      </w:tr>
    </w:tbl>
    <w:p w14:paraId="149CA307">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09" w:name="_Toc217446099"/>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符合性检查。依据</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的规定，从</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的有效性、完整性和对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的响应程度进行审查，以确定是否对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的实质性要求作出响应。</w:t>
      </w:r>
      <w:r>
        <w:rPr>
          <w:rFonts w:hint="eastAsia" w:ascii="仿宋" w:hAnsi="仿宋" w:eastAsia="仿宋" w:cs="仿宋"/>
          <w:color w:val="000000"/>
          <w:sz w:val="24"/>
          <w:szCs w:val="24"/>
          <w:highlight w:val="none"/>
          <w:lang w:eastAsia="zh-CN"/>
        </w:rPr>
        <w:t>供应商响应文件</w:t>
      </w:r>
      <w:r>
        <w:rPr>
          <w:rFonts w:hint="eastAsia" w:ascii="仿宋" w:hAnsi="仿宋" w:eastAsia="仿宋" w:cs="仿宋"/>
          <w:color w:val="000000"/>
          <w:sz w:val="24"/>
          <w:szCs w:val="24"/>
          <w:highlight w:val="none"/>
        </w:rPr>
        <w:t>属于下列情况之一的，在符合性检查时按照无效投标处理：</w:t>
      </w:r>
    </w:p>
    <w:tbl>
      <w:tblPr>
        <w:tblStyle w:val="26"/>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687"/>
        <w:gridCol w:w="5943"/>
        <w:gridCol w:w="642"/>
        <w:gridCol w:w="589"/>
      </w:tblGrid>
      <w:tr w14:paraId="56B83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38" w:type="dxa"/>
            <w:vMerge w:val="restart"/>
            <w:vAlign w:val="center"/>
          </w:tcPr>
          <w:p w14:paraId="32E4BC60">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w:t>
            </w:r>
          </w:p>
        </w:tc>
        <w:tc>
          <w:tcPr>
            <w:tcW w:w="6630" w:type="dxa"/>
            <w:gridSpan w:val="2"/>
            <w:vMerge w:val="restart"/>
            <w:vAlign w:val="center"/>
          </w:tcPr>
          <w:p w14:paraId="73481BF4">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评   审   内   容</w:t>
            </w:r>
          </w:p>
        </w:tc>
        <w:tc>
          <w:tcPr>
            <w:tcW w:w="1231" w:type="dxa"/>
            <w:gridSpan w:val="2"/>
            <w:vAlign w:val="center"/>
          </w:tcPr>
          <w:p w14:paraId="2F4705B7">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评审</w:t>
            </w:r>
          </w:p>
          <w:p w14:paraId="4AF5E0D6">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方法</w:t>
            </w:r>
          </w:p>
        </w:tc>
      </w:tr>
      <w:tr w14:paraId="5198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38" w:type="dxa"/>
            <w:vMerge w:val="continue"/>
            <w:vAlign w:val="center"/>
          </w:tcPr>
          <w:p w14:paraId="427E18A5">
            <w:pPr>
              <w:widowControl/>
              <w:spacing w:beforeAutospacing="0" w:afterAutospacing="0" w:line="240" w:lineRule="auto"/>
              <w:ind w:firstLine="480"/>
              <w:jc w:val="left"/>
              <w:rPr>
                <w:rFonts w:hint="eastAsia" w:ascii="仿宋" w:hAnsi="仿宋" w:eastAsia="仿宋" w:cs="仿宋"/>
                <w:color w:val="000000"/>
                <w:kern w:val="2"/>
                <w:sz w:val="24"/>
                <w:szCs w:val="24"/>
                <w:highlight w:val="none"/>
                <w:lang w:val="en-US" w:eastAsia="zh-CN" w:bidi="ar-SA"/>
              </w:rPr>
            </w:pPr>
          </w:p>
        </w:tc>
        <w:tc>
          <w:tcPr>
            <w:tcW w:w="6630" w:type="dxa"/>
            <w:gridSpan w:val="2"/>
            <w:vMerge w:val="continue"/>
            <w:vAlign w:val="center"/>
          </w:tcPr>
          <w:p w14:paraId="77EE236C">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42" w:type="dxa"/>
            <w:vAlign w:val="center"/>
          </w:tcPr>
          <w:p w14:paraId="619B2BEC">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符合</w:t>
            </w:r>
          </w:p>
        </w:tc>
        <w:tc>
          <w:tcPr>
            <w:tcW w:w="589" w:type="dxa"/>
            <w:vAlign w:val="center"/>
          </w:tcPr>
          <w:p w14:paraId="1A9FA844">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不符合</w:t>
            </w:r>
          </w:p>
        </w:tc>
      </w:tr>
      <w:tr w14:paraId="4089D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63E7DDAF">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34F726C5">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w:t>
            </w:r>
          </w:p>
        </w:tc>
        <w:tc>
          <w:tcPr>
            <w:tcW w:w="5943" w:type="dxa"/>
            <w:vAlign w:val="center"/>
          </w:tcPr>
          <w:p w14:paraId="2CCED26D">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按照采购文件规定和要求加密、签章;</w:t>
            </w:r>
          </w:p>
        </w:tc>
        <w:tc>
          <w:tcPr>
            <w:tcW w:w="642" w:type="dxa"/>
            <w:vAlign w:val="center"/>
          </w:tcPr>
          <w:p w14:paraId="06D2BDA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12672B96">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7583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038" w:type="dxa"/>
            <w:vMerge w:val="continue"/>
            <w:vAlign w:val="center"/>
          </w:tcPr>
          <w:p w14:paraId="3DE4E361">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783F6D5F">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w:t>
            </w:r>
          </w:p>
        </w:tc>
        <w:tc>
          <w:tcPr>
            <w:tcW w:w="5943" w:type="dxa"/>
            <w:vAlign w:val="center"/>
          </w:tcPr>
          <w:p w14:paraId="3CEEA99E">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按照磋商文件规定交纳投标保证金、电子</w:t>
            </w:r>
            <w:r>
              <w:rPr>
                <w:rFonts w:hint="eastAsia" w:ascii="仿宋" w:hAnsi="仿宋" w:eastAsia="仿宋" w:cs="仿宋"/>
                <w:kern w:val="0"/>
                <w:sz w:val="24"/>
                <w:szCs w:val="24"/>
                <w:highlight w:val="none"/>
                <w:lang w:val="en-US" w:eastAsia="zh-CN" w:bidi="ar"/>
              </w:rPr>
              <w:t>保函</w:t>
            </w:r>
            <w:r>
              <w:rPr>
                <w:rFonts w:hint="eastAsia" w:ascii="仿宋" w:hAnsi="仿宋" w:eastAsia="仿宋" w:cs="仿宋"/>
                <w:color w:val="000000"/>
                <w:kern w:val="2"/>
                <w:sz w:val="24"/>
                <w:szCs w:val="24"/>
                <w:highlight w:val="none"/>
                <w:lang w:val="en-US" w:eastAsia="zh-CN" w:bidi="ar-SA"/>
              </w:rPr>
              <w:t>；</w:t>
            </w:r>
          </w:p>
        </w:tc>
        <w:tc>
          <w:tcPr>
            <w:tcW w:w="642" w:type="dxa"/>
            <w:vAlign w:val="center"/>
          </w:tcPr>
          <w:p w14:paraId="4FFB7DF5">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33530ABB">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5EE6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638F7977">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0F11B8CC">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w:t>
            </w:r>
          </w:p>
        </w:tc>
        <w:tc>
          <w:tcPr>
            <w:tcW w:w="5943" w:type="dxa"/>
            <w:vAlign w:val="center"/>
          </w:tcPr>
          <w:p w14:paraId="612F9868">
            <w:pPr>
              <w:pStyle w:val="82"/>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投标报价不</w:t>
            </w:r>
            <w:r>
              <w:rPr>
                <w:rFonts w:hint="eastAsia" w:ascii="仿宋" w:hAnsi="仿宋" w:eastAsia="仿宋" w:cs="仿宋"/>
                <w:sz w:val="24"/>
                <w:szCs w:val="24"/>
                <w:highlight w:val="none"/>
                <w:lang w:val="en-US" w:eastAsia="zh-CN"/>
              </w:rPr>
              <w:t>得</w:t>
            </w:r>
            <w:r>
              <w:rPr>
                <w:rFonts w:hint="eastAsia" w:ascii="仿宋" w:hAnsi="仿宋" w:eastAsia="仿宋" w:cs="仿宋"/>
                <w:sz w:val="24"/>
                <w:szCs w:val="24"/>
                <w:highlight w:val="none"/>
              </w:rPr>
              <w:t>高于设定的</w:t>
            </w:r>
            <w:r>
              <w:rPr>
                <w:rFonts w:hint="eastAsia" w:ascii="仿宋" w:hAnsi="仿宋" w:eastAsia="仿宋" w:cs="仿宋"/>
                <w:color w:val="000000"/>
                <w:kern w:val="2"/>
                <w:sz w:val="24"/>
                <w:szCs w:val="24"/>
                <w:highlight w:val="none"/>
                <w:lang w:val="en-US" w:eastAsia="zh-CN" w:bidi="ar-SA"/>
              </w:rPr>
              <w:t>预算金额（</w:t>
            </w:r>
            <w:r>
              <w:rPr>
                <w:rFonts w:hint="eastAsia" w:ascii="仿宋" w:hAnsi="仿宋" w:eastAsia="仿宋" w:cs="仿宋"/>
                <w:color w:val="000000"/>
                <w:sz w:val="24"/>
                <w:szCs w:val="24"/>
                <w:highlight w:val="none"/>
              </w:rPr>
              <w:t>最高限价</w:t>
            </w:r>
            <w:r>
              <w:rPr>
                <w:rFonts w:hint="eastAsia" w:ascii="仿宋" w:hAnsi="仿宋" w:eastAsia="仿宋" w:cs="仿宋"/>
                <w:color w:val="000000"/>
                <w:kern w:val="2"/>
                <w:sz w:val="24"/>
                <w:szCs w:val="24"/>
                <w:highlight w:val="none"/>
                <w:lang w:val="en-US" w:eastAsia="zh-CN" w:bidi="ar-SA"/>
              </w:rPr>
              <w:t>）；</w:t>
            </w:r>
          </w:p>
        </w:tc>
        <w:tc>
          <w:tcPr>
            <w:tcW w:w="642" w:type="dxa"/>
            <w:vAlign w:val="center"/>
          </w:tcPr>
          <w:p w14:paraId="4BE1F9D3">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41A1E2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127B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04891A5A">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7D35F0C9">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5943" w:type="dxa"/>
            <w:vAlign w:val="center"/>
          </w:tcPr>
          <w:p w14:paraId="2E20FA16">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工期符合磋商文件规定期限；</w:t>
            </w:r>
          </w:p>
        </w:tc>
        <w:tc>
          <w:tcPr>
            <w:tcW w:w="642" w:type="dxa"/>
            <w:vAlign w:val="center"/>
          </w:tcPr>
          <w:p w14:paraId="479F10A9">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EFF2EF0">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2860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38" w:type="dxa"/>
            <w:vMerge w:val="continue"/>
            <w:vAlign w:val="center"/>
          </w:tcPr>
          <w:p w14:paraId="0E36215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2A5C439D">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5943" w:type="dxa"/>
            <w:vAlign w:val="center"/>
          </w:tcPr>
          <w:p w14:paraId="1B1FCD41">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按照磋商文件规定的格式要求编制响应文件，实质性响应磋商文件内容；</w:t>
            </w:r>
          </w:p>
        </w:tc>
        <w:tc>
          <w:tcPr>
            <w:tcW w:w="642" w:type="dxa"/>
            <w:vAlign w:val="center"/>
          </w:tcPr>
          <w:p w14:paraId="1AA85519">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5D7229EE">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4DE14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39C3AEB3">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3F4231C2">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5943" w:type="dxa"/>
            <w:vAlign w:val="center"/>
          </w:tcPr>
          <w:p w14:paraId="02F1447B">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响应文件不得附有采购人不能接受的条件；</w:t>
            </w:r>
          </w:p>
        </w:tc>
        <w:tc>
          <w:tcPr>
            <w:tcW w:w="642" w:type="dxa"/>
            <w:vAlign w:val="center"/>
          </w:tcPr>
          <w:p w14:paraId="350AED4D">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17ED14A">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29808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0F6F2F06">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6F9F9800">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7</w:t>
            </w:r>
          </w:p>
        </w:tc>
        <w:tc>
          <w:tcPr>
            <w:tcW w:w="5943" w:type="dxa"/>
            <w:vAlign w:val="center"/>
          </w:tcPr>
          <w:p w14:paraId="44D606C4">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响应文件实质性响应磋商文件要求。</w:t>
            </w:r>
          </w:p>
        </w:tc>
        <w:tc>
          <w:tcPr>
            <w:tcW w:w="642" w:type="dxa"/>
            <w:vAlign w:val="center"/>
          </w:tcPr>
          <w:p w14:paraId="6D5BC6F1">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89C7076">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1333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8899" w:type="dxa"/>
            <w:gridSpan w:val="5"/>
            <w:vAlign w:val="center"/>
          </w:tcPr>
          <w:p w14:paraId="67D62B40">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备注：如果响应文件中有一项未通过上述审查标准，磋商小组将认定整个响应文件不响应磋商文件而予以无效处理，并且不允许供应商通过修改或撤销其不符合要求的差异或保留，使之成为具有响应性的投标。</w:t>
            </w:r>
          </w:p>
        </w:tc>
      </w:tr>
    </w:tbl>
    <w:p w14:paraId="14A08A20">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符合性检查过程中，如果出现</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成员意见不一致的情况，按照少数服从多数的原则确定，但不得违背政府采购基本原则和</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w:t>
      </w:r>
    </w:p>
    <w:p w14:paraId="1CA1118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10" w:name="_Toc217446104"/>
      <w:bookmarkStart w:id="211" w:name="_Toc183682422"/>
      <w:bookmarkStart w:id="212" w:name="_Toc183582287"/>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澄清有关问题。对</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中含义不明确、同类问题表述不一致或者有明显文字和计算错误的内容，</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可以书面形式（应当由</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作出必要的澄清、说明或者纠正。</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的澄清、说明或者补正应当采用书面形式，由其授权的代表签字，并不得超出</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的范围或者改变</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的实质性内容。</w:t>
      </w:r>
    </w:p>
    <w:bookmarkEnd w:id="210"/>
    <w:bookmarkEnd w:id="211"/>
    <w:bookmarkEnd w:id="212"/>
    <w:p w14:paraId="52AAEE8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4磋商。</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lang w:val="en-US" w:eastAsia="zh-CN"/>
        </w:rPr>
        <w:t>所有成员按响应文件递交逆顺序集中与通过符合性检查的单一供应商分别进行磋商，并给予所有通过符合性检查的供应商平等的磋商机会。</w:t>
      </w:r>
    </w:p>
    <w:p w14:paraId="13B591E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3.4.1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F99302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3.4.2磋商文件不能够详细列明采购标的的技术、服务要求的，须经磋商由供应商提供的最终供货方案或解决方案的，磋商结束后，磋商小组应当按照少数服从多数的原则投票推荐3家以上供应商的供货方案或者解决方案，并要求其在规定时间内提交最后报价。最后报价是供应商响应文件的有效组成部分。</w:t>
      </w:r>
    </w:p>
    <w:p w14:paraId="03ECFA4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5比较、评价。</w:t>
      </w:r>
      <w:r>
        <w:rPr>
          <w:rFonts w:hint="eastAsia" w:ascii="仿宋" w:hAnsi="仿宋" w:eastAsia="仿宋" w:cs="仿宋"/>
          <w:color w:val="000000"/>
          <w:sz w:val="24"/>
          <w:szCs w:val="24"/>
          <w:highlight w:val="none"/>
        </w:rPr>
        <w:t>经磋商确定最终采购需求和提交最后报价的供应商后，由磋商小组采用综合评分法对提交最后报价的供应商的响应文件和最后报价进行综合评分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候选供应商名单</w:t>
      </w:r>
      <w:r>
        <w:rPr>
          <w:rFonts w:hint="eastAsia" w:ascii="仿宋" w:hAnsi="仿宋" w:eastAsia="仿宋" w:cs="仿宋"/>
          <w:color w:val="000000"/>
          <w:sz w:val="24"/>
          <w:szCs w:val="24"/>
          <w:highlight w:val="none"/>
          <w:lang w:eastAsia="zh-CN"/>
        </w:rPr>
        <w:t>。</w:t>
      </w:r>
    </w:p>
    <w:p w14:paraId="3D93C52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本项目</w:t>
      </w:r>
      <w:r>
        <w:rPr>
          <w:rFonts w:hint="eastAsia" w:ascii="仿宋" w:hAnsi="仿宋" w:eastAsia="仿宋" w:cs="仿宋"/>
          <w:color w:val="000000"/>
          <w:sz w:val="24"/>
          <w:szCs w:val="24"/>
          <w:highlight w:val="none"/>
        </w:rPr>
        <w:t>采用综合评分法，评标结果按评审后得分由高到低顺序排列。得分相同的，按投标报价由低到高顺序排列。得分且投标报价相同的</w:t>
      </w:r>
      <w:r>
        <w:rPr>
          <w:rFonts w:hint="eastAsia" w:ascii="仿宋" w:hAnsi="仿宋" w:eastAsia="仿宋" w:cs="仿宋"/>
          <w:color w:val="000000"/>
          <w:sz w:val="24"/>
          <w:szCs w:val="24"/>
          <w:highlight w:val="none"/>
          <w:lang w:eastAsia="zh-CN"/>
        </w:rPr>
        <w:t>排序</w:t>
      </w:r>
      <w:r>
        <w:rPr>
          <w:rFonts w:hint="eastAsia" w:ascii="仿宋" w:hAnsi="仿宋" w:eastAsia="仿宋" w:cs="仿宋"/>
          <w:color w:val="000000"/>
          <w:sz w:val="24"/>
          <w:szCs w:val="24"/>
          <w:highlight w:val="none"/>
        </w:rPr>
        <w:t>并列。</w:t>
      </w:r>
    </w:p>
    <w:p w14:paraId="18725D5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编写评标报告。评标报告是</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根据全体评标成员签字的原始评标记录和评标结果编写的报告，其主要内容包括：</w:t>
      </w:r>
    </w:p>
    <w:p w14:paraId="75ACFFCD">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项目概况</w:t>
      </w:r>
      <w:r>
        <w:rPr>
          <w:rFonts w:hint="eastAsia" w:ascii="仿宋" w:hAnsi="仿宋" w:eastAsia="仿宋" w:cs="仿宋"/>
          <w:color w:val="000000"/>
          <w:sz w:val="24"/>
          <w:szCs w:val="24"/>
          <w:highlight w:val="none"/>
        </w:rPr>
        <w:t>、开标日期和地点；</w:t>
      </w:r>
    </w:p>
    <w:p w14:paraId="679E2A28">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（2）购买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名单和</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成员名单；</w:t>
      </w:r>
    </w:p>
    <w:p w14:paraId="2103C8E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（3）评标方法和标准；</w:t>
      </w:r>
    </w:p>
    <w:p w14:paraId="6F184D3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（4）开标记录和评标情况及说明，包括投标无效</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名单及原因；</w:t>
      </w:r>
    </w:p>
    <w:p w14:paraId="0ECA567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（5）评标结果和</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候选供应商排序</w:t>
      </w:r>
      <w:r>
        <w:rPr>
          <w:rFonts w:hint="eastAsia" w:ascii="仿宋" w:hAnsi="仿宋" w:eastAsia="仿宋" w:cs="仿宋"/>
          <w:color w:val="000000"/>
          <w:sz w:val="24"/>
          <w:szCs w:val="24"/>
          <w:highlight w:val="none"/>
          <w:lang w:eastAsia="zh-CN"/>
        </w:rPr>
        <w:t>。</w:t>
      </w:r>
    </w:p>
    <w:p w14:paraId="6AD098C2">
      <w:pPr>
        <w:pStyle w:val="35"/>
        <w:pageBreakBefore w:val="0"/>
        <w:widowControl w:val="0"/>
        <w:kinsoku/>
        <w:wordWrap/>
        <w:overflowPunct/>
        <w:topLinePunct w:val="0"/>
        <w:autoSpaceDE/>
        <w:autoSpaceDN/>
        <w:bidi w:val="0"/>
        <w:snapToGrid/>
        <w:spacing w:before="0" w:beforeAutospacing="0" w:after="0" w:afterAutospacing="0" w:line="360" w:lineRule="auto"/>
        <w:ind w:firstLine="482" w:firstLineChars="200"/>
        <w:rPr>
          <w:rFonts w:hint="eastAsia" w:ascii="仿宋" w:hAnsi="仿宋" w:eastAsia="仿宋" w:cs="仿宋"/>
          <w:color w:val="000000"/>
          <w:sz w:val="24"/>
          <w:szCs w:val="24"/>
          <w:highlight w:val="none"/>
        </w:rPr>
      </w:pPr>
      <w:bookmarkStart w:id="213" w:name="_Toc217446103"/>
      <w:bookmarkEnd w:id="213"/>
      <w:r>
        <w:rPr>
          <w:rFonts w:hint="eastAsia" w:ascii="仿宋" w:hAnsi="仿宋" w:eastAsia="仿宋" w:cs="仿宋"/>
          <w:color w:val="000000"/>
          <w:sz w:val="24"/>
          <w:szCs w:val="24"/>
          <w:highlight w:val="none"/>
        </w:rPr>
        <w:t>4. 评标细则及标准</w:t>
      </w:r>
    </w:p>
    <w:p w14:paraId="4A9C902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4.1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只对通过</w:t>
      </w:r>
      <w:r>
        <w:rPr>
          <w:rFonts w:hint="eastAsia" w:ascii="仿宋" w:hAnsi="仿宋" w:eastAsia="仿宋" w:cs="仿宋"/>
          <w:color w:val="000000"/>
          <w:sz w:val="24"/>
          <w:szCs w:val="24"/>
          <w:highlight w:val="none"/>
          <w:lang w:eastAsia="zh-CN"/>
        </w:rPr>
        <w:t>符合性检查</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的要求采用相同的评标程序、评分办法及标准进行评价和比较。</w:t>
      </w:r>
    </w:p>
    <w:p w14:paraId="48309F50">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4.2 本次综合评分的因素是：价格、服务、信誉、业绩、对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的响应程度和（如涉及）节能、环境标志产品及</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规范性等。</w:t>
      </w:r>
    </w:p>
    <w:p w14:paraId="1E2C9764">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4.3 除价格因素外，</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成员应依据</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规定的评分标准和方法独立对其他因素进行比较打分。</w:t>
      </w:r>
    </w:p>
    <w:p w14:paraId="0521CEA5">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4.4 在评标过程中，</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有下列情况之一，</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成员应当按照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规定的非实质性偏离进行扣分：</w:t>
      </w:r>
    </w:p>
    <w:p w14:paraId="7EAE1D6C">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（1）文字表述的内容含义不明确，或者同类问题表述不一致，或者有明显文字和计算错误，或者提供的技术信息和数据资料不完整，</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拒不或在规定的时间内没有进行澄清、说明或补正或澄清、说明、补正的内容也不能说明问题的；</w:t>
      </w:r>
    </w:p>
    <w:p w14:paraId="20B2405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未编制目录、页码；</w:t>
      </w:r>
    </w:p>
    <w:p w14:paraId="58423A9E">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（3）认定的与</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第五章规定的技术、商务和其他规定要求不符的非实质性偏离</w:t>
      </w:r>
      <w:r>
        <w:rPr>
          <w:rFonts w:hint="eastAsia" w:ascii="仿宋" w:hAnsi="仿宋" w:eastAsia="仿宋" w:cs="仿宋"/>
          <w:color w:val="000000"/>
          <w:sz w:val="24"/>
          <w:szCs w:val="24"/>
          <w:highlight w:val="none"/>
          <w:lang w:eastAsia="zh-CN"/>
        </w:rPr>
        <w:t>；</w:t>
      </w:r>
    </w:p>
    <w:p w14:paraId="228877D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（4）认定的其他非实质性偏离。</w:t>
      </w:r>
    </w:p>
    <w:p w14:paraId="089630A1">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4.5综合评分明细表</w:t>
      </w:r>
    </w:p>
    <w:p w14:paraId="63AD9DB0">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4.5.1综合评分明细表的制定以科学合理、降低</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自由裁量权为原则</w:t>
      </w:r>
      <w:r>
        <w:rPr>
          <w:rFonts w:hint="eastAsia" w:ascii="仿宋" w:hAnsi="仿宋" w:eastAsia="仿宋" w:cs="仿宋"/>
          <w:color w:val="000000"/>
          <w:sz w:val="24"/>
          <w:szCs w:val="24"/>
          <w:highlight w:val="none"/>
          <w:lang w:eastAsia="zh-CN"/>
        </w:rPr>
        <w:t>。</w:t>
      </w:r>
    </w:p>
    <w:p w14:paraId="0C46E945">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w:t>
      </w:r>
      <w:r>
        <w:rPr>
          <w:rFonts w:hint="eastAsia" w:ascii="仿宋" w:hAnsi="仿宋" w:eastAsia="仿宋" w:cs="仿宋"/>
          <w:color w:val="000000"/>
          <w:sz w:val="24"/>
          <w:szCs w:val="24"/>
          <w:highlight w:val="none"/>
          <w:lang w:val="en-US" w:eastAsia="zh-CN"/>
        </w:rPr>
        <w:t>2磋商小组将按照下述评分标准对通过符合性检查的响应文件进行详细评审，供应商评审得分等于所有评委评分的算术平均值，结果保留两位小数。</w:t>
      </w:r>
    </w:p>
    <w:p w14:paraId="22506D67">
      <w:pPr>
        <w:pStyle w:val="48"/>
        <w:pageBreakBefore w:val="0"/>
        <w:widowControl w:val="0"/>
        <w:tabs>
          <w:tab w:val="left" w:pos="600"/>
        </w:tabs>
        <w:kinsoku/>
        <w:wordWrap/>
        <w:overflowPunct/>
        <w:topLinePunct w:val="0"/>
        <w:autoSpaceDE/>
        <w:autoSpaceDN/>
        <w:bidi w:val="0"/>
        <w:snapToGrid/>
        <w:spacing w:beforeAutospacing="0" w:afterAutospacing="0"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评标因素权重表：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093"/>
        <w:gridCol w:w="2376"/>
        <w:gridCol w:w="2863"/>
      </w:tblGrid>
      <w:tr w14:paraId="35C4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4AC2CF1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序号</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EBA70CD">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1</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6E66E5D1">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2</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5B5F7F47">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4</w:t>
            </w:r>
          </w:p>
        </w:tc>
      </w:tr>
      <w:tr w14:paraId="0484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427BFFA5">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评标因素</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9BC67CA">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投标报价</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7B671E4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技术、商务部分</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4D9DA330">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合计</w:t>
            </w:r>
          </w:p>
        </w:tc>
      </w:tr>
      <w:tr w14:paraId="7D7B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00F825D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权重</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37B85C4A">
            <w:pPr>
              <w:pageBreakBefore w:val="0"/>
              <w:kinsoku/>
              <w:overflowPunct/>
              <w:topLinePunct w:val="0"/>
              <w:bidi w:val="0"/>
              <w:spacing w:line="500" w:lineRule="exact"/>
              <w:jc w:val="center"/>
              <w:rPr>
                <w:rFonts w:hint="eastAsia" w:ascii="方正仿宋_GBK" w:hAnsi="方正仿宋_GBK" w:eastAsia="方正仿宋_GBK" w:cs="方正仿宋_GBK"/>
                <w:b/>
                <w:bCs/>
                <w:color w:val="000000"/>
                <w:sz w:val="24"/>
                <w:highlight w:val="none"/>
                <w:u w:val="none"/>
              </w:rPr>
            </w:pPr>
            <w:r>
              <w:rPr>
                <w:rFonts w:hint="eastAsia" w:ascii="方正仿宋_GBK" w:hAnsi="方正仿宋_GBK" w:eastAsia="方正仿宋_GBK" w:cs="方正仿宋_GBK"/>
                <w:b/>
                <w:bCs/>
                <w:color w:val="000000"/>
                <w:sz w:val="24"/>
                <w:highlight w:val="none"/>
                <w:u w:val="none"/>
                <w:lang w:val="en-US" w:eastAsia="zh-CN"/>
              </w:rPr>
              <w:t>10</w:t>
            </w:r>
            <w:r>
              <w:rPr>
                <w:rFonts w:hint="eastAsia" w:ascii="方正仿宋_GBK" w:hAnsi="方正仿宋_GBK" w:eastAsia="方正仿宋_GBK" w:cs="方正仿宋_GBK"/>
                <w:b/>
                <w:bCs/>
                <w:color w:val="000000"/>
                <w:sz w:val="24"/>
                <w:highlight w:val="none"/>
                <w:u w:val="none"/>
              </w:rPr>
              <w:t>%</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6EE035C3">
            <w:pPr>
              <w:pageBreakBefore w:val="0"/>
              <w:kinsoku/>
              <w:overflowPunct/>
              <w:topLinePunct w:val="0"/>
              <w:bidi w:val="0"/>
              <w:spacing w:line="500" w:lineRule="exact"/>
              <w:jc w:val="center"/>
              <w:rPr>
                <w:rFonts w:hint="eastAsia" w:ascii="方正仿宋_GBK" w:hAnsi="方正仿宋_GBK" w:eastAsia="方正仿宋_GBK" w:cs="方正仿宋_GBK"/>
                <w:b/>
                <w:bCs/>
                <w:color w:val="000000"/>
                <w:sz w:val="24"/>
                <w:highlight w:val="none"/>
                <w:u w:val="none"/>
              </w:rPr>
            </w:pPr>
            <w:r>
              <w:rPr>
                <w:rFonts w:hint="eastAsia" w:ascii="方正仿宋_GBK" w:hAnsi="方正仿宋_GBK" w:eastAsia="方正仿宋_GBK" w:cs="方正仿宋_GBK"/>
                <w:b/>
                <w:bCs/>
                <w:color w:val="000000"/>
                <w:sz w:val="24"/>
                <w:highlight w:val="none"/>
                <w:u w:val="none"/>
                <w:lang w:val="en-US" w:eastAsia="zh-CN"/>
              </w:rPr>
              <w:t>90</w:t>
            </w:r>
            <w:r>
              <w:rPr>
                <w:rFonts w:hint="eastAsia" w:ascii="方正仿宋_GBK" w:hAnsi="方正仿宋_GBK" w:eastAsia="方正仿宋_GBK" w:cs="方正仿宋_GBK"/>
                <w:b/>
                <w:bCs/>
                <w:color w:val="000000"/>
                <w:sz w:val="24"/>
                <w:highlight w:val="none"/>
                <w:u w:val="none"/>
              </w:rPr>
              <w:t>%</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3977C7CD">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100%</w:t>
            </w:r>
          </w:p>
        </w:tc>
      </w:tr>
    </w:tbl>
    <w:p w14:paraId="557FD01F">
      <w:pPr>
        <w:pStyle w:val="3"/>
        <w:pageBreakBefore w:val="0"/>
        <w:tabs>
          <w:tab w:val="left" w:pos="600"/>
        </w:tabs>
        <w:kinsoku/>
        <w:overflowPunct/>
        <w:topLinePunct w:val="0"/>
        <w:bidi w:val="0"/>
        <w:spacing w:line="500" w:lineRule="exact"/>
        <w:ind w:firstLine="0"/>
        <w:jc w:val="center"/>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rPr>
        <w:t>技术、商务部分评分标准（</w:t>
      </w:r>
      <w:r>
        <w:rPr>
          <w:rFonts w:hint="eastAsia" w:ascii="方正仿宋_GBK" w:hAnsi="方正仿宋_GBK" w:eastAsia="方正仿宋_GBK" w:cs="方正仿宋_GBK"/>
          <w:b/>
          <w:bCs/>
          <w:color w:val="000000"/>
          <w:sz w:val="24"/>
          <w:szCs w:val="24"/>
          <w:highlight w:val="none"/>
          <w:lang w:val="en-US" w:eastAsia="zh-CN"/>
        </w:rPr>
        <w:t>90</w:t>
      </w:r>
      <w:r>
        <w:rPr>
          <w:rFonts w:hint="eastAsia" w:ascii="方正仿宋_GBK" w:hAnsi="方正仿宋_GBK" w:eastAsia="方正仿宋_GBK" w:cs="方正仿宋_GBK"/>
          <w:b/>
          <w:bCs/>
          <w:color w:val="000000"/>
          <w:sz w:val="24"/>
          <w:szCs w:val="24"/>
          <w:highlight w:val="none"/>
        </w:rPr>
        <w:t>分）</w:t>
      </w:r>
    </w:p>
    <w:tbl>
      <w:tblPr>
        <w:tblStyle w:val="26"/>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932"/>
        <w:gridCol w:w="1302"/>
        <w:gridCol w:w="6115"/>
      </w:tblGrid>
      <w:tr w14:paraId="214E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1CC63CA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序号</w:t>
            </w:r>
          </w:p>
        </w:tc>
        <w:tc>
          <w:tcPr>
            <w:tcW w:w="519" w:type="pct"/>
            <w:tcBorders>
              <w:top w:val="single" w:color="auto" w:sz="4" w:space="0"/>
              <w:left w:val="single" w:color="auto" w:sz="4" w:space="0"/>
              <w:bottom w:val="single" w:color="auto" w:sz="4" w:space="0"/>
              <w:right w:val="single" w:color="auto" w:sz="4" w:space="0"/>
            </w:tcBorders>
            <w:noWrap w:val="0"/>
            <w:vAlign w:val="center"/>
          </w:tcPr>
          <w:p w14:paraId="1B058C68">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内容</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21388E30">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分值</w:t>
            </w:r>
          </w:p>
          <w:p w14:paraId="70B1A7F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
                <w:bCs w:val="0"/>
                <w:color w:val="000000"/>
                <w:sz w:val="24"/>
                <w:szCs w:val="24"/>
                <w:highlight w:val="none"/>
                <w:u w:val="none"/>
              </w:rPr>
              <w:t>（</w:t>
            </w:r>
            <w:r>
              <w:rPr>
                <w:rFonts w:hint="eastAsia" w:ascii="仿宋" w:hAnsi="仿宋" w:eastAsia="仿宋" w:cs="仿宋"/>
                <w:b/>
                <w:bCs w:val="0"/>
                <w:color w:val="000000"/>
                <w:sz w:val="24"/>
                <w:szCs w:val="24"/>
                <w:highlight w:val="none"/>
                <w:u w:val="none"/>
                <w:lang w:val="en-US" w:eastAsia="zh-CN"/>
              </w:rPr>
              <w:t>90</w:t>
            </w:r>
            <w:r>
              <w:rPr>
                <w:rFonts w:hint="eastAsia" w:ascii="仿宋" w:hAnsi="仿宋" w:eastAsia="仿宋" w:cs="仿宋"/>
                <w:b/>
                <w:bCs w:val="0"/>
                <w:color w:val="000000"/>
                <w:sz w:val="24"/>
                <w:szCs w:val="24"/>
                <w:highlight w:val="none"/>
                <w:u w:val="none"/>
              </w:rPr>
              <w:t>分）</w:t>
            </w:r>
          </w:p>
        </w:tc>
        <w:tc>
          <w:tcPr>
            <w:tcW w:w="3405" w:type="pct"/>
            <w:tcBorders>
              <w:top w:val="single" w:color="auto" w:sz="4" w:space="0"/>
              <w:left w:val="single" w:color="auto" w:sz="4" w:space="0"/>
              <w:bottom w:val="single" w:color="auto" w:sz="4" w:space="0"/>
              <w:right w:val="single" w:color="auto" w:sz="4" w:space="0"/>
            </w:tcBorders>
            <w:noWrap w:val="0"/>
            <w:vAlign w:val="center"/>
          </w:tcPr>
          <w:p w14:paraId="780DA263">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评分规则</w:t>
            </w:r>
          </w:p>
        </w:tc>
      </w:tr>
      <w:tr w14:paraId="0A7E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54C2DAC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519" w:type="pct"/>
            <w:tcBorders>
              <w:top w:val="single" w:color="auto" w:sz="4" w:space="0"/>
              <w:left w:val="single" w:color="auto" w:sz="4" w:space="0"/>
              <w:bottom w:val="single" w:color="auto" w:sz="4" w:space="0"/>
              <w:right w:val="single" w:color="auto" w:sz="4" w:space="0"/>
            </w:tcBorders>
            <w:noWrap w:val="0"/>
            <w:vAlign w:val="center"/>
          </w:tcPr>
          <w:p w14:paraId="56B51CA3">
            <w:pPr>
              <w:keepNext w:val="0"/>
              <w:keepLines w:val="0"/>
              <w:pageBreakBefore w:val="0"/>
              <w:kinsoku/>
              <w:wordWrap/>
              <w:overflowPunct/>
              <w:topLinePunct w:val="0"/>
              <w:bidi w:val="0"/>
              <w:snapToGrid/>
              <w:spacing w:line="240" w:lineRule="auto"/>
              <w:jc w:val="center"/>
              <w:rPr>
                <w:rFonts w:hint="eastAsia" w:ascii="仿宋" w:hAnsi="仿宋" w:eastAsia="仿宋" w:cs="仿宋"/>
                <w:color w:val="000000"/>
                <w:sz w:val="24"/>
                <w:szCs w:val="24"/>
                <w:highlight w:val="none"/>
                <w:u w:val="none"/>
              </w:rPr>
            </w:pPr>
            <w:r>
              <w:rPr>
                <w:rFonts w:hint="eastAsia" w:ascii="仿宋" w:hAnsi="仿宋" w:eastAsia="仿宋" w:cs="仿宋"/>
                <w:bCs/>
                <w:color w:val="000000"/>
                <w:sz w:val="24"/>
                <w:szCs w:val="24"/>
                <w:highlight w:val="none"/>
                <w:u w:val="none"/>
              </w:rPr>
              <w:t>供应商类似业绩</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4892D5B7">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zh-CN"/>
              </w:rPr>
              <w:t>分</w:t>
            </w:r>
          </w:p>
        </w:tc>
        <w:tc>
          <w:tcPr>
            <w:tcW w:w="3405" w:type="pct"/>
            <w:tcBorders>
              <w:top w:val="single" w:color="auto" w:sz="4" w:space="0"/>
              <w:left w:val="single" w:color="auto" w:sz="4" w:space="0"/>
              <w:bottom w:val="single" w:color="auto" w:sz="4" w:space="0"/>
              <w:right w:val="single" w:color="auto" w:sz="4" w:space="0"/>
            </w:tcBorders>
            <w:noWrap w:val="0"/>
            <w:vAlign w:val="center"/>
          </w:tcPr>
          <w:p w14:paraId="7679CDEA">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的近三年（2022年05月01日-至今）类似业绩进行评审，每提供一个业绩得2分，本项最多得10分。注：须提供中标通知书或项目合同关键页(名称页、金额页及盖章页)复印件加盖供应商公章。不提供证明不得分。</w:t>
            </w:r>
          </w:p>
        </w:tc>
      </w:tr>
      <w:tr w14:paraId="00A8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2FC2ED1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519" w:type="pct"/>
            <w:tcBorders>
              <w:top w:val="single" w:color="auto" w:sz="4" w:space="0"/>
              <w:left w:val="single" w:color="auto" w:sz="4" w:space="0"/>
              <w:bottom w:val="single" w:color="auto" w:sz="4" w:space="0"/>
              <w:right w:val="single" w:color="auto" w:sz="4" w:space="0"/>
            </w:tcBorders>
            <w:noWrap w:val="0"/>
            <w:vAlign w:val="center"/>
          </w:tcPr>
          <w:p w14:paraId="071CD4ED">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项目负责人</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3909336">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7分</w:t>
            </w:r>
          </w:p>
        </w:tc>
        <w:tc>
          <w:tcPr>
            <w:tcW w:w="3405" w:type="pct"/>
            <w:tcBorders>
              <w:top w:val="single" w:color="auto" w:sz="4" w:space="0"/>
              <w:left w:val="single" w:color="auto" w:sz="4" w:space="0"/>
              <w:bottom w:val="single" w:color="auto" w:sz="4" w:space="0"/>
              <w:right w:val="single" w:color="auto" w:sz="4" w:space="0"/>
            </w:tcBorders>
            <w:noWrap w:val="0"/>
            <w:vAlign w:val="center"/>
          </w:tcPr>
          <w:p w14:paraId="06DDB68A">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①具备建筑类中级及以上职称的,得3分； </w:t>
            </w:r>
          </w:p>
          <w:p w14:paraId="4CDB6B9F">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lang w:val="en-US" w:eastAsia="zh-CN"/>
              </w:rPr>
              <w:t>②项目负责人业绩近三年（2022年05月01日-至今）类似项目业绩1项得2分，最多得4分（须提供中标（成交）通知书或合同，业绩证明材料须体现项目负责人）。</w:t>
            </w:r>
          </w:p>
        </w:tc>
      </w:tr>
      <w:tr w14:paraId="11D2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772755A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19" w:type="pct"/>
            <w:tcBorders>
              <w:top w:val="single" w:color="auto" w:sz="4" w:space="0"/>
              <w:left w:val="single" w:color="auto" w:sz="4" w:space="0"/>
              <w:bottom w:val="single" w:color="auto" w:sz="4" w:space="0"/>
              <w:right w:val="single" w:color="auto" w:sz="4" w:space="0"/>
            </w:tcBorders>
            <w:noWrap w:val="0"/>
            <w:vAlign w:val="center"/>
          </w:tcPr>
          <w:p w14:paraId="140C611B">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施工工期保证措施</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2B2DF4DD">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25分</w:t>
            </w:r>
          </w:p>
        </w:tc>
        <w:tc>
          <w:tcPr>
            <w:tcW w:w="3405" w:type="pct"/>
            <w:tcBorders>
              <w:top w:val="single" w:color="auto" w:sz="4" w:space="0"/>
              <w:left w:val="single" w:color="auto" w:sz="4" w:space="0"/>
              <w:bottom w:val="single" w:color="auto" w:sz="4" w:space="0"/>
              <w:right w:val="single" w:color="auto" w:sz="4" w:space="0"/>
            </w:tcBorders>
            <w:noWrap w:val="0"/>
            <w:vAlign w:val="center"/>
          </w:tcPr>
          <w:p w14:paraId="12B19123">
            <w:pPr>
              <w:keepNext w:val="0"/>
              <w:keepLines w:val="0"/>
              <w:pageBreakBefore w:val="0"/>
              <w:numPr>
                <w:ilvl w:val="0"/>
                <w:numId w:val="0"/>
              </w:numPr>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lang w:val="en-US" w:eastAsia="zh-CN" w:bidi="ar-SA"/>
              </w:rPr>
              <w:t>1、</w:t>
            </w:r>
            <w:r>
              <w:rPr>
                <w:rFonts w:hint="eastAsia" w:ascii="仿宋" w:hAnsi="仿宋" w:eastAsia="仿宋" w:cs="仿宋"/>
                <w:bCs/>
                <w:color w:val="000000"/>
                <w:sz w:val="24"/>
                <w:szCs w:val="24"/>
                <w:highlight w:val="none"/>
                <w:u w:val="none"/>
                <w:lang w:val="en-US" w:eastAsia="zh-CN"/>
              </w:rPr>
              <w:t xml:space="preserve">供应商根据本项目的特点和要求，制定进度控制，至少包括：（1）进度控制目标；（2）进度控制流程；（3）进度控制方法；（4）进度控制措施；（5）进度变更控制；以上（1）-（5）施工进度计划满足施工需求且进度计划合理，与本项目实际情况完全匹配每项得5分，满分25分，每一项内容存在缺陷不符合本项目特点的扣3分。 </w:t>
            </w:r>
          </w:p>
          <w:p w14:paraId="77F69F49">
            <w:pPr>
              <w:pStyle w:val="22"/>
              <w:numPr>
                <w:ilvl w:val="0"/>
                <w:numId w:val="0"/>
              </w:numP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r w14:paraId="5058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497C15A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519" w:type="pct"/>
            <w:tcBorders>
              <w:top w:val="single" w:color="auto" w:sz="4" w:space="0"/>
              <w:left w:val="single" w:color="auto" w:sz="4" w:space="0"/>
              <w:bottom w:val="single" w:color="auto" w:sz="4" w:space="0"/>
              <w:right w:val="single" w:color="auto" w:sz="4" w:space="0"/>
            </w:tcBorders>
            <w:noWrap w:val="0"/>
            <w:vAlign w:val="center"/>
          </w:tcPr>
          <w:p w14:paraId="22486D7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质量管理及质量保证措施</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60E7F40">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16分</w:t>
            </w:r>
          </w:p>
        </w:tc>
        <w:tc>
          <w:tcPr>
            <w:tcW w:w="3405" w:type="pct"/>
            <w:tcBorders>
              <w:top w:val="single" w:color="auto" w:sz="4" w:space="0"/>
              <w:left w:val="single" w:color="auto" w:sz="4" w:space="0"/>
              <w:bottom w:val="single" w:color="auto" w:sz="4" w:space="0"/>
              <w:right w:val="single" w:color="auto" w:sz="4" w:space="0"/>
            </w:tcBorders>
            <w:noWrap w:val="0"/>
            <w:vAlign w:val="center"/>
          </w:tcPr>
          <w:p w14:paraId="0EA3EA15">
            <w:pPr>
              <w:keepNext w:val="0"/>
              <w:keepLines w:val="0"/>
              <w:pageBreakBefore w:val="0"/>
              <w:numPr>
                <w:ilvl w:val="0"/>
                <w:numId w:val="0"/>
              </w:numPr>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lang w:val="en-US" w:eastAsia="zh-CN" w:bidi="ar-SA"/>
              </w:rPr>
              <w:t>1、</w:t>
            </w:r>
            <w:r>
              <w:rPr>
                <w:rFonts w:hint="eastAsia" w:ascii="仿宋" w:hAnsi="仿宋" w:eastAsia="仿宋" w:cs="仿宋"/>
                <w:bCs/>
                <w:color w:val="000000"/>
                <w:sz w:val="24"/>
                <w:szCs w:val="24"/>
                <w:highlight w:val="none"/>
                <w:u w:val="none"/>
                <w:lang w:val="en-US" w:eastAsia="zh-CN"/>
              </w:rPr>
              <w:t xml:space="preserve">根据各供应商提供的质量保证措施进行评审，措施内容至少包含：（1）质量管理目标；（2）质量管理体系；（3）施工原材料质量保证措施；（4）工程施工的质量保证措施。以上（1）-（4）项措施方案完整、科学合理且具有针对性，并且能够满足项目需求的每项得2.5分；每一项内容存在缺陷不符合本项目特点的扣1.5分。本项最多得10分。 </w:t>
            </w:r>
          </w:p>
          <w:p w14:paraId="20FB5777">
            <w:pPr>
              <w:pStyle w:val="22"/>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p w14:paraId="3AA74E8A">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工程保修服务方案：（1）本工程所使用产品及材料均节能、环保材料；（2）维修能力证明；（3）根据提供的工程实际情况提供保修服务。以上（1）-（3）能提供承诺函的每项得2分，本项最多得6分；未提供不得分。</w:t>
            </w:r>
          </w:p>
        </w:tc>
      </w:tr>
      <w:tr w14:paraId="0211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6D8BCDC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519" w:type="pct"/>
            <w:tcBorders>
              <w:top w:val="single" w:color="auto" w:sz="4" w:space="0"/>
              <w:left w:val="single" w:color="auto" w:sz="4" w:space="0"/>
              <w:bottom w:val="single" w:color="auto" w:sz="4" w:space="0"/>
              <w:right w:val="single" w:color="auto" w:sz="4" w:space="0"/>
            </w:tcBorders>
            <w:noWrap w:val="0"/>
            <w:vAlign w:val="center"/>
          </w:tcPr>
          <w:p w14:paraId="3028B3D5">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施工安全及文明施工措施、应急预案</w:t>
            </w:r>
          </w:p>
          <w:p w14:paraId="623CF3E2">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22453F8A">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17分</w:t>
            </w:r>
          </w:p>
        </w:tc>
        <w:tc>
          <w:tcPr>
            <w:tcW w:w="3405" w:type="pct"/>
            <w:tcBorders>
              <w:top w:val="single" w:color="auto" w:sz="4" w:space="0"/>
              <w:left w:val="single" w:color="auto" w:sz="4" w:space="0"/>
              <w:bottom w:val="single" w:color="auto" w:sz="4" w:space="0"/>
              <w:right w:val="single" w:color="auto" w:sz="4" w:space="0"/>
            </w:tcBorders>
            <w:noWrap w:val="0"/>
            <w:vAlign w:val="center"/>
          </w:tcPr>
          <w:p w14:paraId="1EEC9851">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 xml:space="preserve">1、安全生产管理目标、管理制度、现场文明施工措施。符合工程实际情况，切实可行的，每项3分，满分得9分，每一项存在缺陷或有不利于项目实施的，扣1.5分，未提供，不得分。 </w:t>
            </w:r>
          </w:p>
          <w:p w14:paraId="4A7DE685">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应急预案内容至少包含：（1）应急预案的方针与原则；（2）应急保证措施；（3）应急事故发生处理流程；（4）应急设备配置。以上（1）-（4）应急预案完整、科学合理且具有针对性，并且能够满足项目需求得8分，每缺少一项内容扣2分，每一项内容存在缺陷不符合本项目特点的扣1分。</w:t>
            </w:r>
          </w:p>
          <w:p w14:paraId="4C351B4F">
            <w:pPr>
              <w:pStyle w:val="22"/>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r w14:paraId="471C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11E1039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519" w:type="pct"/>
            <w:tcBorders>
              <w:top w:val="single" w:color="auto" w:sz="4" w:space="0"/>
              <w:left w:val="single" w:color="auto" w:sz="4" w:space="0"/>
              <w:bottom w:val="single" w:color="auto" w:sz="4" w:space="0"/>
              <w:right w:val="single" w:color="auto" w:sz="4" w:space="0"/>
            </w:tcBorders>
            <w:noWrap w:val="0"/>
            <w:vAlign w:val="center"/>
          </w:tcPr>
          <w:p w14:paraId="4EF3A04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施工实施方案</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55EA184">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15分</w:t>
            </w:r>
          </w:p>
        </w:tc>
        <w:tc>
          <w:tcPr>
            <w:tcW w:w="3405" w:type="pct"/>
            <w:tcBorders>
              <w:top w:val="single" w:color="auto" w:sz="4" w:space="0"/>
              <w:left w:val="single" w:color="auto" w:sz="4" w:space="0"/>
              <w:bottom w:val="single" w:color="auto" w:sz="4" w:space="0"/>
              <w:right w:val="single" w:color="auto" w:sz="4" w:space="0"/>
            </w:tcBorders>
            <w:noWrap w:val="0"/>
            <w:vAlign w:val="center"/>
          </w:tcPr>
          <w:p w14:paraId="64843527">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根据供应商提供的项目施工方案进行评审，方案内容至少包含：（1）项目部各职能机构设置；（2）本项目施工的具体方法与流程；（3）施工环节的注意事项及施工现场管控措施；（4）施工组织管理体系；（5）针对本项目施工过程的重难点分析及应对措施。以上（1）-（5）施工方案完整、科学合理且具有针对性，并且能够满足项目需求每项得3分，每一项内容存在缺陷不符合本项目特点扣1.5分。</w:t>
            </w:r>
          </w:p>
          <w:p w14:paraId="721317CC">
            <w:pPr>
              <w:pStyle w:val="22"/>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bl>
    <w:p w14:paraId="123A236E">
      <w:pPr>
        <w:pStyle w:val="48"/>
        <w:tabs>
          <w:tab w:val="left" w:pos="600"/>
        </w:tabs>
        <w:spacing w:beforeAutospacing="0" w:afterAutospacing="0" w:line="360" w:lineRule="auto"/>
        <w:ind w:left="0" w:leftChars="0" w:firstLine="0" w:firstLineChars="0"/>
        <w:jc w:val="center"/>
        <w:rPr>
          <w:rFonts w:hint="eastAsia" w:ascii="仿宋" w:hAnsi="仿宋" w:eastAsia="仿宋" w:cs="仿宋"/>
          <w:b/>
          <w:bCs/>
          <w:sz w:val="24"/>
          <w:szCs w:val="24"/>
          <w:highlight w:val="none"/>
        </w:rPr>
      </w:pPr>
    </w:p>
    <w:p w14:paraId="5A275A4B">
      <w:pPr>
        <w:pStyle w:val="48"/>
        <w:tabs>
          <w:tab w:val="left" w:pos="600"/>
        </w:tabs>
        <w:spacing w:beforeAutospacing="0" w:afterAutospacing="0" w:line="360" w:lineRule="auto"/>
        <w:ind w:left="0" w:leftChars="0" w:firstLine="0" w:firstLineChars="0"/>
        <w:jc w:val="center"/>
        <w:rPr>
          <w:rFonts w:hint="eastAsia" w:ascii="仿宋" w:hAnsi="仿宋" w:eastAsia="仿宋" w:cs="仿宋"/>
          <w:b/>
          <w:bCs/>
          <w:sz w:val="24"/>
          <w:szCs w:val="24"/>
          <w:highlight w:val="none"/>
        </w:rPr>
      </w:pPr>
    </w:p>
    <w:p w14:paraId="6329AFE9">
      <w:pPr>
        <w:pStyle w:val="48"/>
        <w:tabs>
          <w:tab w:val="left" w:pos="600"/>
        </w:tabs>
        <w:spacing w:beforeAutospacing="0" w:afterAutospacing="0" w:line="360" w:lineRule="auto"/>
        <w:ind w:left="0" w:leftChars="0"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报价部分评分标准（</w:t>
      </w: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分）</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4"/>
        <w:gridCol w:w="1748"/>
        <w:gridCol w:w="5720"/>
      </w:tblGrid>
      <w:tr w14:paraId="4B075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44" w:type="dxa"/>
            <w:vAlign w:val="center"/>
          </w:tcPr>
          <w:p w14:paraId="51D9D714">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序号</w:t>
            </w:r>
          </w:p>
        </w:tc>
        <w:tc>
          <w:tcPr>
            <w:tcW w:w="1748" w:type="dxa"/>
            <w:vAlign w:val="center"/>
          </w:tcPr>
          <w:p w14:paraId="245B6B4A">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评审项目</w:t>
            </w:r>
          </w:p>
        </w:tc>
        <w:tc>
          <w:tcPr>
            <w:tcW w:w="5720" w:type="dxa"/>
            <w:vAlign w:val="center"/>
          </w:tcPr>
          <w:p w14:paraId="1D226287">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评分标准</w:t>
            </w:r>
          </w:p>
        </w:tc>
      </w:tr>
      <w:tr w14:paraId="5A19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444" w:type="dxa"/>
            <w:vMerge w:val="restart"/>
            <w:vAlign w:val="center"/>
          </w:tcPr>
          <w:p w14:paraId="6EBF7795">
            <w:pPr>
              <w:autoSpaceDE w:val="0"/>
              <w:autoSpaceDN w:val="0"/>
              <w:jc w:val="center"/>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w:t>
            </w:r>
          </w:p>
        </w:tc>
        <w:tc>
          <w:tcPr>
            <w:tcW w:w="1748" w:type="dxa"/>
            <w:vMerge w:val="restart"/>
            <w:vAlign w:val="center"/>
          </w:tcPr>
          <w:p w14:paraId="1D1D9064">
            <w:pPr>
              <w:autoSpaceDE w:val="0"/>
              <w:autoSpaceDN w:val="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投标报价</w:t>
            </w:r>
          </w:p>
        </w:tc>
        <w:tc>
          <w:tcPr>
            <w:tcW w:w="5720" w:type="dxa"/>
            <w:vAlign w:val="center"/>
          </w:tcPr>
          <w:p w14:paraId="30B5F7BF">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评标基准价即满足磋商文件要求且投标价格最低的投标报价。</w:t>
            </w:r>
          </w:p>
          <w:p w14:paraId="572E00BB">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投标报价得分=（评标基准价/投标报价）×</w:t>
            </w:r>
            <w:r>
              <w:rPr>
                <w:rFonts w:hint="eastAsia" w:ascii="仿宋" w:hAnsi="仿宋" w:eastAsia="仿宋" w:cs="仿宋"/>
                <w:sz w:val="24"/>
                <w:szCs w:val="24"/>
                <w:highlight w:val="none"/>
              </w:rPr>
              <w:t>报价部分权重×100</w:t>
            </w:r>
          </w:p>
        </w:tc>
      </w:tr>
      <w:tr w14:paraId="16AC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1444" w:type="dxa"/>
            <w:vMerge w:val="continue"/>
            <w:vAlign w:val="center"/>
          </w:tcPr>
          <w:p w14:paraId="5821FB24">
            <w:pPr>
              <w:autoSpaceDE w:val="0"/>
              <w:autoSpaceDN w:val="0"/>
              <w:jc w:val="center"/>
              <w:rPr>
                <w:rFonts w:hint="eastAsia" w:ascii="仿宋" w:hAnsi="仿宋" w:eastAsia="仿宋" w:cs="仿宋"/>
                <w:bCs/>
                <w:sz w:val="24"/>
                <w:szCs w:val="24"/>
                <w:highlight w:val="none"/>
                <w:lang w:val="zh-CN"/>
              </w:rPr>
            </w:pPr>
          </w:p>
        </w:tc>
        <w:tc>
          <w:tcPr>
            <w:tcW w:w="1748" w:type="dxa"/>
            <w:vMerge w:val="continue"/>
            <w:vAlign w:val="center"/>
          </w:tcPr>
          <w:p w14:paraId="4F843E5D">
            <w:pPr>
              <w:autoSpaceDE w:val="0"/>
              <w:autoSpaceDN w:val="0"/>
              <w:jc w:val="center"/>
              <w:rPr>
                <w:rFonts w:hint="eastAsia" w:ascii="仿宋" w:hAnsi="仿宋" w:eastAsia="仿宋" w:cs="仿宋"/>
                <w:sz w:val="24"/>
                <w:szCs w:val="24"/>
                <w:highlight w:val="none"/>
                <w:lang w:val="zh-CN"/>
              </w:rPr>
            </w:pPr>
          </w:p>
        </w:tc>
        <w:tc>
          <w:tcPr>
            <w:tcW w:w="5720" w:type="dxa"/>
            <w:vAlign w:val="center"/>
          </w:tcPr>
          <w:p w14:paraId="59A1E733">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因落实政府采购政策进行价格调整的，以调整后的价格计算评标基准价和投标报价。</w:t>
            </w:r>
          </w:p>
        </w:tc>
      </w:tr>
      <w:tr w14:paraId="245C6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44" w:type="dxa"/>
            <w:vAlign w:val="center"/>
          </w:tcPr>
          <w:p w14:paraId="2596E82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政府采购价格折扣优惠政策说明</w:t>
            </w:r>
          </w:p>
        </w:tc>
        <w:tc>
          <w:tcPr>
            <w:tcW w:w="1748" w:type="dxa"/>
            <w:vAlign w:val="center"/>
          </w:tcPr>
          <w:p w14:paraId="0102FE6A">
            <w:pPr>
              <w:jc w:val="center"/>
              <w:rPr>
                <w:rFonts w:hint="eastAsia" w:ascii="仿宋" w:hAnsi="仿宋" w:eastAsia="仿宋" w:cs="仿宋"/>
                <w:sz w:val="24"/>
                <w:szCs w:val="24"/>
                <w:highlight w:val="none"/>
              </w:rPr>
            </w:pPr>
            <w:r>
              <w:rPr>
                <w:rFonts w:hint="eastAsia" w:ascii="仿宋" w:hAnsi="仿宋" w:eastAsia="仿宋" w:cs="仿宋"/>
                <w:color w:val="auto"/>
                <w:sz w:val="24"/>
                <w:highlight w:val="none"/>
              </w:rPr>
              <w:t>中小企业</w:t>
            </w:r>
          </w:p>
        </w:tc>
        <w:tc>
          <w:tcPr>
            <w:tcW w:w="5720" w:type="dxa"/>
            <w:vAlign w:val="center"/>
          </w:tcPr>
          <w:p w14:paraId="7F86212A">
            <w:pP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eastAsia="zh-CN"/>
              </w:rPr>
              <w:t>专门面向中小企业采购的项目或者采购包，不再执行价格评审优惠的扶持政策</w:t>
            </w:r>
          </w:p>
        </w:tc>
      </w:tr>
      <w:tr w14:paraId="5F44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8912" w:type="dxa"/>
            <w:gridSpan w:val="3"/>
            <w:vAlign w:val="center"/>
          </w:tcPr>
          <w:p w14:paraId="3B0B6CE2">
            <w:pP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评分注意事项：</w:t>
            </w:r>
          </w:p>
          <w:p w14:paraId="0EBB535F">
            <w:pP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 xml:space="preserve">    </w:t>
            </w:r>
            <w:r>
              <w:rPr>
                <w:rFonts w:hint="eastAsia" w:ascii="仿宋" w:hAnsi="仿宋" w:eastAsia="仿宋" w:cs="仿宋"/>
                <w:sz w:val="24"/>
                <w:szCs w:val="24"/>
                <w:highlight w:val="none"/>
                <w:lang w:val="zh-CN"/>
              </w:rPr>
              <w:t>因落实政府采购政策进行价格调整的，磋商小组应记录价格调整的依据、计算过程及计算结果。</w:t>
            </w:r>
          </w:p>
        </w:tc>
      </w:tr>
    </w:tbl>
    <w:p w14:paraId="5F8CB649">
      <w:pPr>
        <w:pStyle w:val="48"/>
        <w:tabs>
          <w:tab w:val="left" w:pos="600"/>
        </w:tabs>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4.5.3供应商总分=报价部分得分+技术</w:t>
      </w:r>
      <w:r>
        <w:rPr>
          <w:rFonts w:hint="eastAsia" w:ascii="仿宋" w:hAnsi="仿宋" w:eastAsia="仿宋" w:cs="仿宋"/>
          <w:sz w:val="24"/>
          <w:szCs w:val="24"/>
          <w:highlight w:val="none"/>
          <w:lang w:val="en-US" w:eastAsia="zh-CN"/>
        </w:rPr>
        <w:t>部分得分+</w:t>
      </w:r>
      <w:r>
        <w:rPr>
          <w:rFonts w:hint="eastAsia" w:ascii="仿宋" w:hAnsi="仿宋" w:eastAsia="仿宋" w:cs="仿宋"/>
          <w:sz w:val="24"/>
          <w:szCs w:val="24"/>
          <w:highlight w:val="none"/>
        </w:rPr>
        <w:t>商务部分得分，结果保留两位小数。</w:t>
      </w:r>
    </w:p>
    <w:p w14:paraId="44B6C32B">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color w:val="000000"/>
          <w:sz w:val="24"/>
          <w:szCs w:val="24"/>
          <w:highlight w:val="none"/>
        </w:rPr>
      </w:pPr>
      <w:bookmarkStart w:id="214" w:name="_Toc217446060"/>
      <w:r>
        <w:rPr>
          <w:rFonts w:hint="eastAsia" w:ascii="仿宋" w:hAnsi="仿宋" w:eastAsia="仿宋" w:cs="仿宋"/>
          <w:color w:val="000000"/>
          <w:sz w:val="24"/>
          <w:szCs w:val="24"/>
          <w:highlight w:val="none"/>
        </w:rPr>
        <w:t>5. 废标</w:t>
      </w:r>
    </w:p>
    <w:p w14:paraId="5A5C72B0">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本次政府采购活动中，出现下列情形之一的，予以废标：</w:t>
      </w:r>
    </w:p>
    <w:p w14:paraId="1507734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（1）符合专业条件的供应商或者对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作实质响应的供应商不足三家的；</w:t>
      </w:r>
    </w:p>
    <w:p w14:paraId="1C7CDEAC">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（2）出现影响采购公正的违法、违规行为的；</w:t>
      </w:r>
    </w:p>
    <w:p w14:paraId="012F133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的报价均超过了采购预算，采购人不能支付的；</w:t>
      </w:r>
    </w:p>
    <w:p w14:paraId="08CF8664">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（4）因重大变故，采购任务取消的。</w:t>
      </w:r>
    </w:p>
    <w:p w14:paraId="7F8ACA91">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废标后，采购代理机构应在</w:t>
      </w:r>
      <w:r>
        <w:rPr>
          <w:rFonts w:hint="eastAsia" w:ascii="仿宋" w:hAnsi="仿宋" w:eastAsia="仿宋" w:cs="仿宋"/>
          <w:color w:val="000000"/>
          <w:sz w:val="24"/>
          <w:szCs w:val="24"/>
          <w:highlight w:val="none"/>
          <w:lang w:val="en-US" w:eastAsia="zh-CN"/>
        </w:rPr>
        <w:t>发布采购公告的媒体上发布废标</w:t>
      </w:r>
      <w:r>
        <w:rPr>
          <w:rFonts w:hint="eastAsia" w:ascii="仿宋" w:hAnsi="仿宋" w:eastAsia="仿宋" w:cs="仿宋"/>
          <w:color w:val="000000"/>
          <w:sz w:val="24"/>
          <w:szCs w:val="24"/>
          <w:highlight w:val="none"/>
        </w:rPr>
        <w:t>公告，并公告废标的详细理由。</w:t>
      </w:r>
    </w:p>
    <w:bookmarkEnd w:id="214"/>
    <w:p w14:paraId="025417C6">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color w:val="000000"/>
          <w:sz w:val="24"/>
          <w:szCs w:val="24"/>
          <w:highlight w:val="none"/>
        </w:rPr>
      </w:pPr>
      <w:bookmarkStart w:id="215" w:name="_Toc217446061"/>
      <w:r>
        <w:rPr>
          <w:rFonts w:hint="eastAsia" w:ascii="仿宋" w:hAnsi="仿宋" w:eastAsia="仿宋" w:cs="仿宋"/>
          <w:color w:val="000000"/>
          <w:sz w:val="24"/>
          <w:szCs w:val="24"/>
          <w:highlight w:val="none"/>
        </w:rPr>
        <w:t>6. 定标</w:t>
      </w:r>
    </w:p>
    <w:bookmarkEnd w:id="215"/>
    <w:p w14:paraId="40E7337A">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 定标原则：本项目根据</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推荐的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候选人名单，按顺序确定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p>
    <w:p w14:paraId="5A2CF427">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bookmarkStart w:id="216" w:name="_Toc217446062"/>
      <w:bookmarkEnd w:id="216"/>
      <w:r>
        <w:rPr>
          <w:rFonts w:hint="eastAsia" w:ascii="仿宋" w:hAnsi="仿宋" w:eastAsia="仿宋" w:cs="仿宋"/>
          <w:color w:val="000000"/>
          <w:sz w:val="24"/>
          <w:szCs w:val="24"/>
          <w:highlight w:val="none"/>
        </w:rPr>
        <w:t>6.2. 定标程序</w:t>
      </w:r>
    </w:p>
    <w:p w14:paraId="0C5B4CB5">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6.2.1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将评标情况写出书面报告，推荐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候选人，并按照综合得分高低标明排列顺序。</w:t>
      </w:r>
      <w:r>
        <w:rPr>
          <w:rFonts w:hint="eastAsia" w:ascii="仿宋" w:hAnsi="仿宋" w:eastAsia="仿宋" w:cs="仿宋"/>
          <w:color w:val="000000"/>
          <w:sz w:val="24"/>
          <w:szCs w:val="24"/>
          <w:highlight w:val="none"/>
          <w:lang w:eastAsia="zh-CN"/>
        </w:rPr>
        <w:t>本项目</w:t>
      </w:r>
      <w:r>
        <w:rPr>
          <w:rFonts w:hint="eastAsia" w:ascii="仿宋" w:hAnsi="仿宋" w:eastAsia="仿宋" w:cs="仿宋"/>
          <w:color w:val="000000"/>
          <w:sz w:val="24"/>
          <w:szCs w:val="24"/>
          <w:highlight w:val="none"/>
        </w:rPr>
        <w:t>采用综合评分法，评标结果按评审后得分由高到低顺序排列。得分相同的，按投标报价由低到高顺序排列。得分且投标报价相同的</w:t>
      </w:r>
      <w:r>
        <w:rPr>
          <w:rFonts w:hint="eastAsia" w:ascii="仿宋" w:hAnsi="仿宋" w:eastAsia="仿宋" w:cs="仿宋"/>
          <w:color w:val="000000"/>
          <w:sz w:val="24"/>
          <w:szCs w:val="24"/>
          <w:highlight w:val="none"/>
          <w:lang w:eastAsia="zh-CN"/>
        </w:rPr>
        <w:t>排序</w:t>
      </w:r>
      <w:r>
        <w:rPr>
          <w:rFonts w:hint="eastAsia" w:ascii="仿宋" w:hAnsi="仿宋" w:eastAsia="仿宋" w:cs="仿宋"/>
          <w:color w:val="000000"/>
          <w:sz w:val="24"/>
          <w:szCs w:val="24"/>
          <w:highlight w:val="none"/>
        </w:rPr>
        <w:t>并列。</w:t>
      </w:r>
    </w:p>
    <w:p w14:paraId="393B8488">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6.2.2 </w:t>
      </w:r>
      <w:r>
        <w:rPr>
          <w:rFonts w:hint="eastAsia" w:ascii="仿宋" w:hAnsi="仿宋" w:eastAsia="仿宋" w:cs="仿宋"/>
          <w:color w:val="000000"/>
          <w:sz w:val="24"/>
          <w:szCs w:val="24"/>
          <w:highlight w:val="none"/>
          <w:lang w:val="en-US" w:eastAsia="zh-CN"/>
        </w:rPr>
        <w:t>采购代理机构</w:t>
      </w:r>
      <w:r>
        <w:rPr>
          <w:rFonts w:hint="eastAsia" w:ascii="仿宋" w:hAnsi="仿宋" w:eastAsia="仿宋" w:cs="仿宋"/>
          <w:color w:val="000000"/>
          <w:sz w:val="24"/>
          <w:szCs w:val="24"/>
          <w:highlight w:val="none"/>
        </w:rPr>
        <w:t>在评标结束后</w:t>
      </w:r>
      <w:r>
        <w:rPr>
          <w:rFonts w:hint="eastAsia" w:ascii="仿宋" w:hAnsi="仿宋" w:eastAsia="仿宋" w:cs="仿宋"/>
          <w:color w:val="000000"/>
          <w:sz w:val="24"/>
          <w:szCs w:val="24"/>
          <w:highlight w:val="none"/>
          <w:lang w:val="en-US" w:eastAsia="zh-CN"/>
        </w:rPr>
        <w:t>两</w:t>
      </w:r>
      <w:r>
        <w:rPr>
          <w:rFonts w:hint="eastAsia" w:ascii="仿宋" w:hAnsi="仿宋" w:eastAsia="仿宋" w:cs="仿宋"/>
          <w:color w:val="000000"/>
          <w:sz w:val="24"/>
          <w:szCs w:val="24"/>
          <w:highlight w:val="none"/>
        </w:rPr>
        <w:t>个工作日内将评标报告送</w:t>
      </w:r>
      <w:r>
        <w:rPr>
          <w:rFonts w:hint="eastAsia" w:ascii="仿宋" w:hAnsi="仿宋" w:eastAsia="仿宋" w:cs="仿宋"/>
          <w:color w:val="000000"/>
          <w:sz w:val="24"/>
          <w:szCs w:val="24"/>
          <w:highlight w:val="none"/>
          <w:lang w:val="en-US" w:eastAsia="zh-CN"/>
        </w:rPr>
        <w:t>至</w:t>
      </w:r>
      <w:r>
        <w:rPr>
          <w:rFonts w:hint="eastAsia" w:ascii="仿宋" w:hAnsi="仿宋" w:eastAsia="仿宋" w:cs="仿宋"/>
          <w:color w:val="000000"/>
          <w:sz w:val="24"/>
          <w:szCs w:val="24"/>
          <w:highlight w:val="none"/>
        </w:rPr>
        <w:t>采购人。</w:t>
      </w:r>
    </w:p>
    <w:p w14:paraId="6679892D">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6.2.3 采购人应当自收到评审报告之日起5个工作日内在评审报告推荐的成交候选人中按顺序确定成交供应商。</w:t>
      </w:r>
    </w:p>
    <w:p w14:paraId="4FAD2D07">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6.2.4 根据采购人确定的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人在</w:t>
      </w:r>
      <w:r>
        <w:rPr>
          <w:rFonts w:hint="eastAsia" w:ascii="仿宋" w:hAnsi="仿宋" w:eastAsia="仿宋" w:cs="仿宋"/>
          <w:color w:val="000000"/>
          <w:sz w:val="24"/>
          <w:szCs w:val="24"/>
          <w:highlight w:val="none"/>
          <w:lang w:val="en-US" w:eastAsia="zh-CN"/>
        </w:rPr>
        <w:t>采购公告发布的媒体上</w:t>
      </w:r>
      <w:r>
        <w:rPr>
          <w:rFonts w:hint="eastAsia" w:ascii="仿宋" w:hAnsi="仿宋" w:eastAsia="仿宋" w:cs="仿宋"/>
          <w:color w:val="000000"/>
          <w:sz w:val="24"/>
          <w:szCs w:val="24"/>
          <w:highlight w:val="none"/>
        </w:rPr>
        <w:t>发布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公告，同时向</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人发出</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w:t>
      </w:r>
    </w:p>
    <w:p w14:paraId="52E7E6B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6.2.5 采购单位不退回</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和其他投标资料。</w:t>
      </w:r>
    </w:p>
    <w:bookmarkEnd w:id="209"/>
    <w:p w14:paraId="781B1840">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bCs w:val="0"/>
          <w:color w:val="000000"/>
          <w:sz w:val="24"/>
          <w:szCs w:val="24"/>
          <w:highlight w:val="none"/>
        </w:rPr>
      </w:pPr>
      <w:bookmarkStart w:id="217" w:name="_Toc217446105"/>
      <w:bookmarkEnd w:id="217"/>
      <w:bookmarkStart w:id="218" w:name="_Toc183582297"/>
      <w:bookmarkEnd w:id="218"/>
      <w:bookmarkStart w:id="219" w:name="_Toc208849022"/>
      <w:bookmarkEnd w:id="219"/>
      <w:bookmarkStart w:id="220" w:name="_Toc183682432"/>
      <w:bookmarkEnd w:id="220"/>
      <w:r>
        <w:rPr>
          <w:rFonts w:hint="eastAsia" w:ascii="仿宋" w:hAnsi="仿宋" w:eastAsia="仿宋" w:cs="仿宋"/>
          <w:bCs w:val="0"/>
          <w:color w:val="000000"/>
          <w:sz w:val="24"/>
          <w:szCs w:val="24"/>
          <w:highlight w:val="none"/>
        </w:rPr>
        <w:t xml:space="preserve">7. </w:t>
      </w:r>
      <w:r>
        <w:rPr>
          <w:rFonts w:hint="eastAsia" w:ascii="仿宋" w:hAnsi="仿宋" w:eastAsia="仿宋" w:cs="仿宋"/>
          <w:color w:val="000000"/>
          <w:sz w:val="24"/>
          <w:szCs w:val="24"/>
          <w:highlight w:val="none"/>
        </w:rPr>
        <w:t>评标专家在政府采购活动中承担以下义务：</w:t>
      </w:r>
    </w:p>
    <w:p w14:paraId="388EAB26">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 遵纪守法，客观、公正、廉洁地履行职责。</w:t>
      </w:r>
    </w:p>
    <w:p w14:paraId="052ABADF">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24178C5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7.3 保守秘密。不得透露采购文件咨询情况，不得</w:t>
      </w:r>
      <w:r>
        <w:rPr>
          <w:rFonts w:hint="eastAsia" w:ascii="仿宋" w:hAnsi="仿宋" w:eastAsia="仿宋" w:cs="仿宋"/>
          <w:color w:val="000000"/>
          <w:sz w:val="24"/>
          <w:szCs w:val="24"/>
          <w:highlight w:val="none"/>
          <w:lang w:eastAsia="zh-CN"/>
        </w:rPr>
        <w:t>泄露</w:t>
      </w:r>
      <w:r>
        <w:rPr>
          <w:rFonts w:hint="eastAsia" w:ascii="仿宋" w:hAnsi="仿宋" w:eastAsia="仿宋" w:cs="仿宋"/>
          <w:color w:val="000000"/>
          <w:sz w:val="24"/>
          <w:szCs w:val="24"/>
          <w:highlight w:val="none"/>
        </w:rPr>
        <w:t>供应商的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及知悉的商业秘密，不得向供应商透露评审情况。</w:t>
      </w:r>
    </w:p>
    <w:p w14:paraId="42282952">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7.4 发现供应商在政府采购活动中有不正当竞争或恶意串通等违规行为，及时向政府采购评审工作的组织者或财政部门报告并加以制止。</w:t>
      </w:r>
    </w:p>
    <w:p w14:paraId="00BB1DC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343D932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7.5 解答有关方面对政府采购评审工作中有关问题的询问，配合采购人或者政府采购代理机构答复供应商质疑，配合财政部门的投诉处理工作等事宜。</w:t>
      </w:r>
    </w:p>
    <w:p w14:paraId="1F24D25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7.6 法律、法规和规章规定的其他义务。</w:t>
      </w:r>
    </w:p>
    <w:p w14:paraId="13029F12">
      <w:pPr>
        <w:pageBreakBefore w:val="0"/>
        <w:widowControl/>
        <w:kinsoku/>
        <w:wordWrap/>
        <w:overflowPunct/>
        <w:topLinePunct w:val="0"/>
        <w:autoSpaceDE w:val="0"/>
        <w:autoSpaceDN w:val="0"/>
        <w:bidi w:val="0"/>
        <w:snapToGrid/>
        <w:spacing w:beforeAutospacing="0" w:afterAutospacing="0" w:line="360" w:lineRule="auto"/>
        <w:ind w:right="0"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8</w:t>
      </w:r>
      <w:r>
        <w:rPr>
          <w:rFonts w:hint="eastAsia" w:ascii="仿宋" w:hAnsi="仿宋" w:eastAsia="仿宋" w:cs="仿宋"/>
          <w:color w:val="000000"/>
          <w:sz w:val="24"/>
          <w:szCs w:val="24"/>
          <w:highlight w:val="none"/>
        </w:rPr>
        <w:t xml:space="preserve">. </w:t>
      </w:r>
      <w:r>
        <w:rPr>
          <w:rFonts w:hint="eastAsia" w:ascii="仿宋" w:hAnsi="仿宋" w:eastAsia="仿宋" w:cs="仿宋"/>
          <w:b/>
          <w:color w:val="000000"/>
          <w:sz w:val="24"/>
          <w:szCs w:val="24"/>
          <w:highlight w:val="none"/>
        </w:rPr>
        <w:t>评审专家在政府采购活动中应当遵守以下工作纪律：</w:t>
      </w:r>
    </w:p>
    <w:p w14:paraId="57F29371">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0FEC80A6">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0447D30B">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有利害关系主要是指三年内曾在参加该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项目供应商中任职(包括一般工作)或担任顾问，配偶或直系亲属在参加该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项目的供应商中任职或担任顾问，与参加该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项目供应商发生过法律纠纷，以及其他可能影响公正评审的情况。</w:t>
      </w:r>
    </w:p>
    <w:p w14:paraId="36261208">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8.3 评审或咨询过程中关闭通讯设备，不得与外界联系。因发生不可预见情况，确实需要与外界联系的，应当有在场工作人员陪同。</w:t>
      </w:r>
    </w:p>
    <w:p w14:paraId="46C3689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8.4 评审过程中，不得发表影响评审公正的倾向性、歧视性言论；不得征询或者接受</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人的倾向性意见；不得以任何明示或暗示的方式要求参加该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项目的供应商以澄清、说明或补正为借口，表达与其原</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原意不同的新意见；不得以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文件没有规定的方法和标准作为评审的依据；不得违反规定的评审格式评分和撰写评审意见；不得拒绝对自己的评审意见签字确认。</w:t>
      </w:r>
    </w:p>
    <w:p w14:paraId="0E7DFB5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34B61A9D">
      <w:pPr>
        <w:pStyle w:val="34"/>
        <w:keepNext/>
        <w:keepLines/>
        <w:pageBreakBefore w:val="0"/>
        <w:widowControl w:val="0"/>
        <w:kinsoku/>
        <w:wordWrap/>
        <w:overflowPunct/>
        <w:topLinePunct w:val="0"/>
        <w:autoSpaceDE/>
        <w:autoSpaceDN/>
        <w:bidi w:val="0"/>
        <w:snapToGrid/>
        <w:spacing w:before="0" w:beforeAutospacing="0" w:after="340" w:afterAutospacing="0" w:line="579" w:lineRule="auto"/>
        <w:jc w:val="center"/>
        <w:rPr>
          <w:rFonts w:hint="eastAsia" w:ascii="仿宋" w:hAnsi="仿宋" w:eastAsia="仿宋" w:cs="仿宋"/>
          <w:b w:val="0"/>
          <w:bCs w:val="0"/>
          <w:color w:val="000000"/>
          <w:sz w:val="24"/>
          <w:highlight w:val="none"/>
        </w:rPr>
      </w:pPr>
      <w:bookmarkStart w:id="221" w:name="_Toc26290"/>
      <w:bookmarkEnd w:id="221"/>
      <w:bookmarkStart w:id="222" w:name="_Toc19219"/>
      <w:bookmarkEnd w:id="222"/>
      <w:bookmarkStart w:id="223" w:name="_Toc20328_WPSOffice_Level1"/>
      <w:bookmarkEnd w:id="223"/>
      <w:r>
        <w:rPr>
          <w:rFonts w:hint="eastAsia" w:ascii="仿宋" w:hAnsi="仿宋" w:eastAsia="仿宋" w:cs="仿宋"/>
          <w:b w:val="0"/>
          <w:bCs w:val="0"/>
          <w:color w:val="000000"/>
          <w:sz w:val="24"/>
          <w:highlight w:val="none"/>
        </w:rPr>
        <w:br w:type="page"/>
      </w:r>
      <w:bookmarkStart w:id="224" w:name="_Toc81"/>
      <w:r>
        <w:rPr>
          <w:rFonts w:hint="eastAsia" w:ascii="仿宋" w:hAnsi="仿宋" w:eastAsia="仿宋" w:cs="仿宋"/>
          <w:color w:val="000000"/>
          <w:sz w:val="36"/>
          <w:szCs w:val="36"/>
          <w:highlight w:val="none"/>
        </w:rPr>
        <w:t>第</w:t>
      </w:r>
      <w:r>
        <w:rPr>
          <w:rFonts w:hint="eastAsia" w:ascii="仿宋" w:hAnsi="仿宋" w:eastAsia="仿宋" w:cs="仿宋"/>
          <w:color w:val="000000"/>
          <w:sz w:val="36"/>
          <w:szCs w:val="36"/>
          <w:highlight w:val="none"/>
          <w:lang w:val="en-US" w:eastAsia="zh-CN"/>
        </w:rPr>
        <w:t>七</w:t>
      </w:r>
      <w:r>
        <w:rPr>
          <w:rFonts w:hint="eastAsia" w:ascii="仿宋" w:hAnsi="仿宋" w:eastAsia="仿宋" w:cs="仿宋"/>
          <w:color w:val="000000"/>
          <w:sz w:val="36"/>
          <w:szCs w:val="36"/>
          <w:highlight w:val="none"/>
        </w:rPr>
        <w:t>章  合同主要条款</w:t>
      </w:r>
      <w:bookmarkEnd w:id="224"/>
    </w:p>
    <w:p w14:paraId="06B0E682">
      <w:pPr>
        <w:keepNext/>
        <w:keepLines/>
        <w:widowControl w:val="0"/>
        <w:spacing w:before="260" w:after="260" w:line="416" w:lineRule="auto"/>
        <w:jc w:val="center"/>
        <w:outlineLvl w:val="2"/>
        <w:rPr>
          <w:rFonts w:hint="eastAsia" w:ascii="仿宋" w:hAnsi="仿宋" w:eastAsia="仿宋" w:cs="仿宋"/>
          <w:b/>
          <w:bCs/>
          <w:color w:val="000000"/>
          <w:kern w:val="44"/>
          <w:sz w:val="36"/>
          <w:szCs w:val="36"/>
          <w:highlight w:val="none"/>
          <w:lang w:val="en-US" w:eastAsia="zh-CN" w:bidi="ar-SA"/>
        </w:rPr>
      </w:pPr>
      <w:r>
        <w:rPr>
          <w:rFonts w:hint="eastAsia" w:ascii="仿宋" w:hAnsi="仿宋" w:eastAsia="仿宋" w:cs="仿宋"/>
          <w:b/>
          <w:bCs/>
          <w:color w:val="000000"/>
          <w:kern w:val="44"/>
          <w:sz w:val="36"/>
          <w:szCs w:val="36"/>
          <w:highlight w:val="none"/>
          <w:lang w:val="en-US" w:eastAsia="zh-CN" w:bidi="ar-SA"/>
        </w:rPr>
        <w:t>（实际以签订为准）</w:t>
      </w:r>
    </w:p>
    <w:p w14:paraId="52A5C2E0">
      <w:pPr>
        <w:jc w:val="center"/>
        <w:rPr>
          <w:rFonts w:eastAsia="华文中宋"/>
          <w:b/>
          <w:color w:val="000000"/>
          <w:sz w:val="52"/>
          <w:szCs w:val="52"/>
        </w:rPr>
      </w:pPr>
      <w:bookmarkStart w:id="225" w:name="_Toc296503025"/>
      <w:bookmarkStart w:id="226" w:name="_Toc296890982"/>
    </w:p>
    <w:p w14:paraId="5E790DB2">
      <w:pPr>
        <w:ind w:firstLine="600" w:firstLineChars="200"/>
        <w:jc w:val="center"/>
        <w:rPr>
          <w:rFonts w:hint="eastAsia" w:ascii="仿宋_GB2312" w:eastAsia="仿宋_GB2312"/>
          <w:sz w:val="30"/>
          <w:szCs w:val="30"/>
          <w:u w:val="none"/>
          <w:lang w:eastAsia="zh-CN"/>
        </w:rPr>
      </w:pPr>
      <w:r>
        <w:rPr>
          <w:rFonts w:hint="eastAsia" w:ascii="仿宋_GB2312" w:eastAsia="仿宋_GB2312"/>
          <w:sz w:val="30"/>
          <w:szCs w:val="30"/>
          <w:u w:val="none"/>
          <w:lang w:val="en-US" w:eastAsia="zh-CN"/>
        </w:rPr>
        <w:t xml:space="preserve">                   </w:t>
      </w:r>
    </w:p>
    <w:p w14:paraId="6466C7C2">
      <w:pPr>
        <w:jc w:val="both"/>
        <w:rPr>
          <w:rFonts w:eastAsia="华文中宋"/>
          <w:b/>
          <w:color w:val="000000"/>
          <w:sz w:val="52"/>
          <w:szCs w:val="52"/>
        </w:rPr>
      </w:pPr>
    </w:p>
    <w:p w14:paraId="43204659">
      <w:pPr>
        <w:jc w:val="center"/>
        <w:rPr>
          <w:rFonts w:hint="eastAsia" w:eastAsia="华文中宋"/>
          <w:b/>
          <w:color w:val="000000"/>
          <w:sz w:val="72"/>
          <w:szCs w:val="52"/>
          <w:lang w:eastAsia="zh-CN"/>
        </w:rPr>
      </w:pPr>
      <w:r>
        <w:rPr>
          <w:rFonts w:hint="eastAsia" w:eastAsia="华文中宋"/>
          <w:b/>
          <w:color w:val="000000"/>
          <w:sz w:val="72"/>
          <w:szCs w:val="52"/>
          <w:lang w:val="en-US" w:eastAsia="zh-CN"/>
        </w:rPr>
        <w:t xml:space="preserve"> </w:t>
      </w:r>
      <w:r>
        <w:rPr>
          <w:rFonts w:eastAsia="华文中宋"/>
          <w:b/>
          <w:color w:val="000000"/>
          <w:sz w:val="72"/>
          <w:szCs w:val="52"/>
        </w:rPr>
        <w:t>建设工程施工合同</w:t>
      </w:r>
    </w:p>
    <w:p w14:paraId="5737BAB5">
      <w:pPr>
        <w:pStyle w:val="2"/>
        <w:rPr>
          <w:rFonts w:hint="eastAsia"/>
          <w:lang w:val="zh-CN" w:eastAsia="zh-CN"/>
        </w:rPr>
      </w:pPr>
    </w:p>
    <w:p w14:paraId="256799D5">
      <w:pPr>
        <w:jc w:val="center"/>
        <w:rPr>
          <w:rFonts w:eastAsia="黑体"/>
          <w:b/>
          <w:color w:val="000000"/>
          <w:sz w:val="52"/>
          <w:szCs w:val="52"/>
        </w:rPr>
      </w:pPr>
      <w:r>
        <w:rPr>
          <w:rFonts w:hint="eastAsia" w:ascii="Times New Roman" w:hAnsi="Times New Roman" w:eastAsia="仿宋_GB2312"/>
          <w:color w:val="000000"/>
          <w:sz w:val="30"/>
          <w:szCs w:val="30"/>
          <w:u w:val="single"/>
          <w:lang w:val="en-US" w:eastAsia="zh-CN"/>
        </w:rPr>
        <w:t>Xxx</w:t>
      </w:r>
      <w:r>
        <w:rPr>
          <w:rFonts w:hint="eastAsia" w:ascii="仿宋_GB2312" w:eastAsia="仿宋_GB2312"/>
          <w:color w:val="0C0C0C"/>
          <w:sz w:val="30"/>
          <w:szCs w:val="30"/>
          <w:u w:val="single"/>
          <w:lang w:val="en-US" w:eastAsia="zh-CN"/>
        </w:rPr>
        <w:t>项目</w:t>
      </w:r>
    </w:p>
    <w:p w14:paraId="6BDCF39A">
      <w:pPr>
        <w:jc w:val="center"/>
        <w:rPr>
          <w:rFonts w:eastAsia="黑体"/>
          <w:b/>
          <w:color w:val="000000"/>
          <w:sz w:val="52"/>
          <w:szCs w:val="52"/>
        </w:rPr>
      </w:pPr>
    </w:p>
    <w:p w14:paraId="4356E0E3">
      <w:pPr>
        <w:rPr>
          <w:b/>
          <w:color w:val="000000"/>
          <w:sz w:val="28"/>
          <w:szCs w:val="28"/>
        </w:rPr>
      </w:pPr>
    </w:p>
    <w:p w14:paraId="5C030B6E">
      <w:pPr>
        <w:rPr>
          <w:b/>
          <w:color w:val="000000"/>
          <w:sz w:val="28"/>
          <w:szCs w:val="28"/>
        </w:rPr>
      </w:pPr>
    </w:p>
    <w:p w14:paraId="20DAC424">
      <w:pPr>
        <w:rPr>
          <w:b/>
          <w:color w:val="000000"/>
          <w:sz w:val="28"/>
          <w:szCs w:val="28"/>
        </w:rPr>
      </w:pPr>
    </w:p>
    <w:p w14:paraId="13A2D46F">
      <w:pPr>
        <w:pStyle w:val="2"/>
        <w:rPr>
          <w:b/>
          <w:color w:val="000000"/>
          <w:sz w:val="28"/>
          <w:szCs w:val="28"/>
        </w:rPr>
      </w:pPr>
    </w:p>
    <w:p w14:paraId="2D7C4B30">
      <w:pPr>
        <w:pStyle w:val="2"/>
        <w:rPr>
          <w:b/>
          <w:color w:val="000000"/>
          <w:sz w:val="28"/>
          <w:szCs w:val="28"/>
        </w:rPr>
      </w:pPr>
    </w:p>
    <w:p w14:paraId="344131CD">
      <w:pPr>
        <w:rPr>
          <w:b/>
          <w:color w:val="000000"/>
          <w:sz w:val="28"/>
          <w:szCs w:val="28"/>
        </w:rPr>
      </w:pPr>
    </w:p>
    <w:p w14:paraId="541AA267">
      <w:pPr>
        <w:pStyle w:val="93"/>
        <w:spacing w:before="0" w:after="0" w:line="240" w:lineRule="auto"/>
        <w:jc w:val="center"/>
        <w:outlineLvl w:val="0"/>
        <w:rPr>
          <w:rFonts w:hint="eastAsia" w:ascii="Times New Roman" w:hAnsi="Times New Roman" w:eastAsia="华文中宋"/>
          <w:sz w:val="24"/>
          <w:szCs w:val="24"/>
          <w:lang w:val="zh-CN"/>
        </w:rPr>
      </w:pPr>
    </w:p>
    <w:p w14:paraId="551968D4">
      <w:pPr>
        <w:pStyle w:val="93"/>
        <w:spacing w:before="0" w:after="0" w:line="240" w:lineRule="auto"/>
        <w:jc w:val="center"/>
        <w:outlineLvl w:val="0"/>
        <w:rPr>
          <w:rFonts w:hint="eastAsia" w:ascii="Times New Roman" w:hAnsi="Times New Roman" w:eastAsia="华文中宋"/>
          <w:sz w:val="24"/>
          <w:szCs w:val="24"/>
          <w:lang w:val="zh-CN"/>
        </w:rPr>
      </w:pPr>
    </w:p>
    <w:p w14:paraId="6687A8D2">
      <w:pPr>
        <w:pStyle w:val="93"/>
        <w:spacing w:before="0" w:after="0" w:line="240" w:lineRule="auto"/>
        <w:jc w:val="center"/>
        <w:outlineLvl w:val="0"/>
        <w:rPr>
          <w:rFonts w:hint="eastAsia" w:ascii="Times New Roman" w:hAnsi="Times New Roman" w:eastAsia="华文中宋"/>
          <w:sz w:val="24"/>
          <w:szCs w:val="24"/>
          <w:lang w:val="zh-CN"/>
        </w:rPr>
      </w:pPr>
    </w:p>
    <w:p w14:paraId="547662BA">
      <w:pPr>
        <w:pStyle w:val="93"/>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Times New Roman" w:hAnsi="Times New Roman" w:eastAsia="华文中宋"/>
          <w:sz w:val="24"/>
          <w:szCs w:val="24"/>
          <w:lang w:val="zh-CN"/>
        </w:rPr>
      </w:pPr>
    </w:p>
    <w:p w14:paraId="3DD34AE1">
      <w:pPr>
        <w:pStyle w:val="9"/>
        <w:jc w:val="center"/>
        <w:rPr>
          <w:rFonts w:ascii="Times New Roman" w:hAnsi="Times New Roman" w:eastAsia="华文中宋"/>
          <w:b w:val="0"/>
          <w:color w:val="000000"/>
          <w:sz w:val="24"/>
          <w:szCs w:val="24"/>
        </w:rPr>
      </w:pPr>
      <w:bookmarkStart w:id="227" w:name="_Toc351203480"/>
      <w:r>
        <w:rPr>
          <w:rFonts w:ascii="华文中宋" w:hAnsi="华文中宋" w:eastAsia="华文中宋"/>
          <w:sz w:val="24"/>
          <w:szCs w:val="24"/>
        </w:rPr>
        <w:t>第一部分 合同协议书</w:t>
      </w:r>
      <w:bookmarkEnd w:id="225"/>
      <w:bookmarkEnd w:id="226"/>
      <w:bookmarkEnd w:id="227"/>
    </w:p>
    <w:p w14:paraId="04D81D2A">
      <w:pPr>
        <w:spacing w:line="360" w:lineRule="auto"/>
        <w:ind w:left="2400" w:hanging="1920" w:hangingChars="800"/>
        <w:rPr>
          <w:rFonts w:hint="default" w:eastAsia="仿宋_GB2312" w:cs="Times New Roman"/>
          <w:bCs/>
          <w:color w:val="000000"/>
          <w:sz w:val="24"/>
          <w:szCs w:val="24"/>
          <w:u w:val="single"/>
          <w:lang w:val="en-US" w:eastAsia="zh-CN"/>
        </w:rPr>
      </w:pPr>
      <w:r>
        <w:rPr>
          <w:rFonts w:ascii="Times New Roman" w:hAnsi="Times New Roman" w:eastAsia="仿宋_GB2312"/>
          <w:bCs/>
          <w:color w:val="000000"/>
          <w:sz w:val="24"/>
          <w:szCs w:val="24"/>
        </w:rPr>
        <w:t>发包人（全称）：</w:t>
      </w:r>
      <w:r>
        <w:rPr>
          <w:rFonts w:hint="eastAsia" w:eastAsia="仿宋_GB2312" w:cs="Times New Roman"/>
          <w:bCs/>
          <w:color w:val="000000"/>
          <w:sz w:val="24"/>
          <w:szCs w:val="24"/>
          <w:highlight w:val="none"/>
          <w:u w:val="single"/>
          <w:lang w:val="en-US" w:eastAsia="zh-CN"/>
        </w:rPr>
        <w:t xml:space="preserve">                          </w:t>
      </w:r>
    </w:p>
    <w:p w14:paraId="79108BAE">
      <w:pPr>
        <w:spacing w:line="360" w:lineRule="auto"/>
        <w:rPr>
          <w:rFonts w:ascii="Times New Roman" w:hAnsi="Times New Roman" w:eastAsia="仿宋_GB2312"/>
          <w:bCs/>
          <w:color w:val="000000"/>
          <w:sz w:val="24"/>
          <w:szCs w:val="24"/>
          <w:u w:val="single"/>
        </w:rPr>
      </w:pPr>
      <w:r>
        <w:rPr>
          <w:rFonts w:ascii="Times New Roman" w:hAnsi="Times New Roman" w:eastAsia="仿宋_GB2312"/>
          <w:bCs/>
          <w:color w:val="000000"/>
          <w:sz w:val="24"/>
          <w:szCs w:val="24"/>
        </w:rPr>
        <w:t>承包人（全称）：</w:t>
      </w:r>
      <w:r>
        <w:rPr>
          <w:rFonts w:hint="eastAsia" w:eastAsia="仿宋_GB2312" w:cs="Times New Roman"/>
          <w:bCs/>
          <w:color w:val="000000"/>
          <w:sz w:val="24"/>
          <w:szCs w:val="24"/>
          <w:highlight w:val="none"/>
          <w:u w:val="single"/>
          <w:lang w:val="en-US" w:eastAsia="zh-CN"/>
        </w:rPr>
        <w:t xml:space="preserve">                          </w:t>
      </w:r>
    </w:p>
    <w:p w14:paraId="43C67B9E">
      <w:pPr>
        <w:ind w:firstLine="480" w:firstLineChars="20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根据《</w:t>
      </w:r>
      <w:r>
        <w:rPr>
          <w:rFonts w:hint="eastAsia" w:ascii="Times New Roman" w:hAnsi="Times New Roman" w:eastAsia="仿宋_GB2312"/>
          <w:color w:val="000000"/>
          <w:sz w:val="24"/>
          <w:szCs w:val="24"/>
          <w:lang w:eastAsia="zh-CN"/>
        </w:rPr>
        <w:t>中华人民共和国民法典</w:t>
      </w:r>
      <w:r>
        <w:rPr>
          <w:rFonts w:ascii="Times New Roman" w:hAnsi="Times New Roman" w:eastAsia="仿宋_GB2312"/>
          <w:color w:val="000000"/>
          <w:sz w:val="24"/>
          <w:szCs w:val="24"/>
        </w:rPr>
        <w:t>》、《中华人民共和国建筑法》及有关法律规定，遵循平等、自愿、公平和诚实信用的原则，双方</w:t>
      </w:r>
    </w:p>
    <w:p w14:paraId="260288BC">
      <w:pPr>
        <w:jc w:val="both"/>
        <w:rPr>
          <w:rFonts w:ascii="Times New Roman" w:hAnsi="Times New Roman" w:eastAsia="仿宋_GB2312"/>
          <w:color w:val="000000"/>
          <w:sz w:val="24"/>
          <w:szCs w:val="24"/>
        </w:rPr>
      </w:pPr>
      <w:r>
        <w:rPr>
          <w:rFonts w:ascii="Times New Roman" w:hAnsi="Times New Roman" w:eastAsia="仿宋_GB2312"/>
          <w:color w:val="000000"/>
          <w:sz w:val="24"/>
          <w:szCs w:val="24"/>
        </w:rPr>
        <w:t>就</w:t>
      </w:r>
      <w:r>
        <w:rPr>
          <w:rFonts w:hint="eastAsia" w:ascii="Times New Roman" w:hAnsi="Times New Roman" w:eastAsia="仿宋_GB2312"/>
          <w:color w:val="000000"/>
          <w:sz w:val="24"/>
          <w:szCs w:val="24"/>
          <w:u w:val="single"/>
          <w:lang w:val="en-US" w:eastAsia="zh-CN"/>
        </w:rPr>
        <w:t xml:space="preserve">                            项目</w:t>
      </w:r>
      <w:r>
        <w:rPr>
          <w:rFonts w:ascii="Times New Roman" w:hAnsi="Times New Roman" w:eastAsia="仿宋_GB2312"/>
          <w:color w:val="000000"/>
          <w:sz w:val="24"/>
          <w:szCs w:val="24"/>
        </w:rPr>
        <w:t>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14:paraId="4E17D619">
      <w:pPr>
        <w:pStyle w:val="10"/>
        <w:numPr>
          <w:ilvl w:val="3"/>
          <w:numId w:val="0"/>
        </w:numPr>
        <w:spacing w:before="120" w:after="120" w:line="360" w:lineRule="auto"/>
        <w:rPr>
          <w:rFonts w:ascii="Times New Roman" w:hAnsi="Times New Roman" w:eastAsia="黑体"/>
          <w:bCs w:val="0"/>
          <w:color w:val="000000"/>
          <w:sz w:val="24"/>
          <w:szCs w:val="24"/>
        </w:rPr>
      </w:pPr>
      <w:bookmarkStart w:id="228" w:name="_Toc351203481"/>
      <w:r>
        <w:rPr>
          <w:rFonts w:ascii="Times New Roman" w:hAnsi="Times New Roman" w:eastAsia="黑体"/>
          <w:b w:val="0"/>
          <w:color w:val="000000"/>
          <w:sz w:val="24"/>
          <w:szCs w:val="24"/>
        </w:rPr>
        <w:t>一、工程概况</w:t>
      </w:r>
      <w:bookmarkEnd w:id="228"/>
    </w:p>
    <w:p w14:paraId="64270909">
      <w:pPr>
        <w:spacing w:line="360" w:lineRule="auto"/>
        <w:ind w:firstLine="470" w:firstLineChars="196"/>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hint="eastAsia" w:ascii="仿宋_GB2312"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4F7F715E">
      <w:pPr>
        <w:spacing w:line="360" w:lineRule="auto"/>
        <w:ind w:firstLine="470" w:firstLineChars="196"/>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hint="eastAsia" w:ascii="仿宋" w:hAnsi="仿宋" w:eastAsia="仿宋" w:cs="仿宋"/>
          <w:color w:val="000000"/>
          <w:sz w:val="24"/>
          <w:szCs w:val="24"/>
          <w:u w:val="single"/>
          <w:lang w:val="en-US" w:eastAsia="zh-CN"/>
        </w:rPr>
        <w:t xml:space="preserve">              </w:t>
      </w:r>
      <w:r>
        <w:rPr>
          <w:rFonts w:ascii="Times New Roman" w:hAnsi="Times New Roman" w:eastAsia="仿宋_GB2312"/>
          <w:color w:val="000000"/>
          <w:sz w:val="24"/>
          <w:szCs w:val="24"/>
        </w:rPr>
        <w:t>。</w:t>
      </w:r>
    </w:p>
    <w:p w14:paraId="078A321A">
      <w:pPr>
        <w:spacing w:line="360" w:lineRule="auto"/>
        <w:ind w:firstLine="470" w:firstLineChars="196"/>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hint="eastAsia"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      </w:t>
      </w:r>
      <w:r>
        <w:rPr>
          <w:rFonts w:ascii="Times New Roman" w:hAnsi="Times New Roman" w:eastAsia="仿宋_GB2312"/>
          <w:bCs/>
          <w:color w:val="000000"/>
          <w:sz w:val="24"/>
          <w:szCs w:val="24"/>
        </w:rPr>
        <w:t>。</w:t>
      </w:r>
    </w:p>
    <w:p w14:paraId="4C46BEC9">
      <w:pPr>
        <w:spacing w:line="360" w:lineRule="auto"/>
        <w:ind w:firstLine="470" w:firstLineChars="196"/>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hint="eastAsia" w:ascii="Times New Roman" w:hAnsi="Times New Roman" w:eastAsia="仿宋_GB2312"/>
          <w:bCs/>
          <w:color w:val="000000"/>
          <w:sz w:val="24"/>
          <w:szCs w:val="24"/>
          <w:u w:val="single"/>
          <w:lang w:val="en-US" w:eastAsia="zh-CN"/>
        </w:rPr>
        <w:t xml:space="preserve"> </w:t>
      </w:r>
      <w:r>
        <w:rPr>
          <w:rFonts w:hint="eastAsia" w:ascii="仿宋_GB2312" w:eastAsia="仿宋_GB2312"/>
          <w:sz w:val="24"/>
          <w:szCs w:val="24"/>
          <w:highlight w:val="none"/>
          <w:u w:val="single"/>
          <w:lang w:val="en-US" w:eastAsia="zh-CN"/>
        </w:rPr>
        <w:t xml:space="preserve">      </w:t>
      </w:r>
      <w:r>
        <w:rPr>
          <w:rFonts w:ascii="Times New Roman" w:hAnsi="Times New Roman" w:eastAsia="仿宋_GB2312"/>
          <w:bCs/>
          <w:color w:val="000000"/>
          <w:sz w:val="24"/>
          <w:szCs w:val="24"/>
        </w:rPr>
        <w:t>。</w:t>
      </w:r>
    </w:p>
    <w:p w14:paraId="3D9AA205">
      <w:pPr>
        <w:spacing w:line="360" w:lineRule="auto"/>
        <w:ind w:firstLine="480" w:firstLineChars="200"/>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hint="eastAsia" w:ascii="Times New Roman" w:hAnsi="Times New Roman" w:eastAsia="仿宋_GB2312"/>
          <w:bCs/>
          <w:color w:val="000000"/>
          <w:sz w:val="24"/>
          <w:szCs w:val="24"/>
          <w:u w:val="single"/>
          <w:lang w:val="en-US" w:eastAsia="zh-CN"/>
        </w:rPr>
        <w:t xml:space="preserve">                             </w:t>
      </w:r>
      <w:r>
        <w:rPr>
          <w:rFonts w:hint="eastAsia" w:ascii="Times New Roman" w:hAnsi="Times New Roman" w:eastAsia="仿宋_GB2312"/>
          <w:color w:val="000000"/>
          <w:sz w:val="24"/>
          <w:szCs w:val="24"/>
          <w:u w:val="none"/>
        </w:rPr>
        <w:t>。</w:t>
      </w:r>
    </w:p>
    <w:p w14:paraId="11425A25">
      <w:pPr>
        <w:spacing w:line="360" w:lineRule="auto"/>
        <w:ind w:firstLine="470" w:firstLineChars="196"/>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14:paraId="4A70BD0E">
      <w:pPr>
        <w:spacing w:line="360" w:lineRule="auto"/>
        <w:ind w:firstLine="470" w:firstLineChars="196"/>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14:paraId="0A341840">
      <w:pPr>
        <w:spacing w:line="360" w:lineRule="auto"/>
        <w:ind w:firstLine="480" w:firstLineChars="200"/>
        <w:rPr>
          <w:rFonts w:ascii="Times New Roman" w:hAnsi="Times New Roman" w:eastAsia="仿宋_GB2312"/>
          <w:color w:val="000000"/>
          <w:sz w:val="24"/>
          <w:szCs w:val="24"/>
        </w:rPr>
      </w:pPr>
      <w:r>
        <w:rPr>
          <w:rFonts w:hint="eastAsia" w:ascii="仿宋" w:hAnsi="仿宋" w:eastAsia="仿宋" w:cs="仿宋"/>
          <w:color w:val="000000"/>
          <w:sz w:val="24"/>
          <w:szCs w:val="24"/>
          <w:u w:val="single"/>
          <w:lang w:val="en-US" w:eastAsia="zh-CN"/>
        </w:rPr>
        <w:t>乌鲁木齐市第八幼儿园2025年园舍维修改造项目，含工程量清单范围内的全部工作内容(包括磋商文件、答疑及磋商文件补充等内容)。</w:t>
      </w:r>
      <w:r>
        <w:rPr>
          <w:rFonts w:ascii="Times New Roman" w:hAnsi="Times New Roman" w:eastAsia="仿宋_GB2312"/>
          <w:color w:val="000000"/>
          <w:sz w:val="24"/>
          <w:szCs w:val="24"/>
        </w:rPr>
        <w:t>。</w:t>
      </w:r>
    </w:p>
    <w:p w14:paraId="0836209F">
      <w:pPr>
        <w:spacing w:line="360" w:lineRule="auto"/>
        <w:rPr>
          <w:rFonts w:ascii="Times New Roman" w:hAnsi="Times New Roman" w:eastAsia="黑体"/>
          <w:b w:val="0"/>
          <w:color w:val="000000"/>
          <w:sz w:val="24"/>
          <w:szCs w:val="24"/>
        </w:rPr>
      </w:pPr>
      <w:bookmarkStart w:id="229" w:name="_Toc351203482"/>
      <w:r>
        <w:rPr>
          <w:rFonts w:ascii="Times New Roman" w:hAnsi="Times New Roman" w:eastAsia="黑体"/>
          <w:b w:val="0"/>
          <w:color w:val="000000"/>
          <w:sz w:val="24"/>
          <w:szCs w:val="24"/>
        </w:rPr>
        <w:t>二、合同工期</w:t>
      </w:r>
      <w:bookmarkEnd w:id="229"/>
    </w:p>
    <w:p w14:paraId="5F008F9C">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日期：</w:t>
      </w:r>
      <w:r>
        <w:rPr>
          <w:rFonts w:hint="eastAsia" w:asci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36D33A33">
      <w:pPr>
        <w:widowControl/>
        <w:spacing w:line="276"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14:paraId="344CBEC7">
      <w:pPr>
        <w:pStyle w:val="10"/>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0" w:name="_Toc351203483"/>
      <w:r>
        <w:rPr>
          <w:rFonts w:ascii="Times New Roman" w:hAnsi="Times New Roman" w:eastAsia="黑体"/>
          <w:b w:val="0"/>
          <w:color w:val="000000"/>
          <w:sz w:val="24"/>
          <w:szCs w:val="24"/>
        </w:rPr>
        <w:t>三、质量标准</w:t>
      </w:r>
      <w:bookmarkEnd w:id="230"/>
    </w:p>
    <w:p w14:paraId="50CD1EBD">
      <w:pPr>
        <w:spacing w:line="360" w:lineRule="auto"/>
        <w:ind w:firstLine="459"/>
        <w:rPr>
          <w:rFonts w:hint="default" w:ascii="Times New Roman" w:hAnsi="Times New Roman" w:eastAsia="仿宋_GB2312"/>
          <w:color w:val="000000"/>
          <w:sz w:val="24"/>
          <w:szCs w:val="24"/>
          <w:lang w:val="en-US" w:eastAsia="zh-CN"/>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14:paraId="31D291BC">
      <w:pPr>
        <w:pStyle w:val="10"/>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1" w:name="_Toc351203484"/>
      <w:r>
        <w:rPr>
          <w:rFonts w:ascii="Times New Roman" w:hAnsi="Times New Roman" w:eastAsia="黑体"/>
          <w:b w:val="0"/>
          <w:color w:val="000000"/>
          <w:sz w:val="24"/>
          <w:szCs w:val="24"/>
        </w:rPr>
        <w:t>四、签约合同价与合同价格形式</w:t>
      </w:r>
      <w:bookmarkEnd w:id="231"/>
      <w:r>
        <w:rPr>
          <w:rFonts w:ascii="Times New Roman" w:hAnsi="Times New Roman" w:eastAsia="黑体"/>
          <w:b w:val="0"/>
          <w:color w:val="000000"/>
          <w:sz w:val="24"/>
          <w:szCs w:val="24"/>
        </w:rPr>
        <w:tab/>
      </w:r>
    </w:p>
    <w:p w14:paraId="4BF850DE">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1.签约</w:t>
      </w:r>
      <w:r>
        <w:rPr>
          <w:rFonts w:hint="eastAsia" w:eastAsia="仿宋_GB2312"/>
          <w:color w:val="000000"/>
          <w:sz w:val="24"/>
          <w:szCs w:val="24"/>
          <w:lang w:val="en-US" w:eastAsia="zh-CN"/>
        </w:rPr>
        <w:t>合同</w:t>
      </w:r>
      <w:r>
        <w:rPr>
          <w:rFonts w:ascii="Times New Roman" w:hAnsi="Times New Roman" w:eastAsia="仿宋_GB2312"/>
          <w:color w:val="000000"/>
          <w:sz w:val="24"/>
          <w:szCs w:val="24"/>
        </w:rPr>
        <w:t>价为：</w:t>
      </w:r>
    </w:p>
    <w:p w14:paraId="4368EEB0">
      <w:pPr>
        <w:keepNext w:val="0"/>
        <w:keepLines w:val="0"/>
        <w:widowControl/>
        <w:suppressLineNumbers w:val="0"/>
        <w:jc w:val="left"/>
        <w:rPr>
          <w:rFonts w:hint="default" w:ascii="Times New Roman" w:hAnsi="Times New Roman" w:eastAsia="仿宋_GB2312"/>
          <w:color w:val="000000"/>
          <w:sz w:val="24"/>
          <w:szCs w:val="24"/>
          <w:u w:val="single"/>
          <w:lang w:val="en-US" w:eastAsia="zh-CN"/>
        </w:rPr>
      </w:pPr>
      <w:r>
        <w:rPr>
          <w:rFonts w:hint="eastAsia" w:eastAsia="仿宋_GB2312"/>
          <w:color w:val="000000"/>
          <w:sz w:val="24"/>
          <w:szCs w:val="24"/>
          <w:lang w:val="en-US" w:eastAsia="zh-CN"/>
        </w:rPr>
        <w:t>合同</w:t>
      </w:r>
      <w:r>
        <w:rPr>
          <w:rFonts w:hint="eastAsia" w:ascii="Times New Roman" w:hAnsi="Times New Roman" w:eastAsia="仿宋_GB2312"/>
          <w:color w:val="000000"/>
          <w:sz w:val="24"/>
          <w:szCs w:val="24"/>
          <w:lang w:val="en-US" w:eastAsia="zh-CN"/>
        </w:rPr>
        <w:t>价：大写：人民币</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）；不含税金额为：大写：人民币</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税额为：</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w:t>
      </w:r>
    </w:p>
    <w:p w14:paraId="069BE720">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14:paraId="01FDF0CE">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14:paraId="29B66DCE">
      <w:pPr>
        <w:keepNext w:val="0"/>
        <w:keepLines w:val="0"/>
        <w:widowControl/>
        <w:suppressLineNumbers w:val="0"/>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大写</w:t>
      </w:r>
      <w:r>
        <w:rPr>
          <w:rFonts w:hint="eastAsia" w:ascii="Times New Roman" w:hAnsi="Times New Roman" w:eastAsia="仿宋_GB2312"/>
          <w:color w:val="000000"/>
          <w:sz w:val="24"/>
          <w:szCs w:val="24"/>
          <w:lang w:eastAsia="zh-CN"/>
        </w:rPr>
        <w:t>：</w:t>
      </w:r>
      <w:r>
        <w:rPr>
          <w:rFonts w:ascii="Times New Roman" w:hAnsi="Times New Roman" w:eastAsia="仿宋_GB2312"/>
          <w:color w:val="000000"/>
          <w:sz w:val="24"/>
          <w:szCs w:val="24"/>
        </w:rPr>
        <w:t>人民币</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rPr>
        <w:t>(</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rPr>
        <w:t>元)；</w:t>
      </w:r>
    </w:p>
    <w:p w14:paraId="40478C29">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14:paraId="6714EBD4">
      <w:pPr>
        <w:spacing w:line="360" w:lineRule="auto"/>
        <w:ind w:firstLine="1080" w:firstLineChars="450"/>
        <w:rPr>
          <w:rFonts w:hint="default" w:ascii="Times New Roman" w:hAnsi="Times New Roman" w:eastAsia="仿宋_GB2312"/>
          <w:color w:val="000000"/>
          <w:sz w:val="24"/>
          <w:szCs w:val="24"/>
          <w:highlight w:val="cyan"/>
          <w:lang w:val="en-US" w:eastAsia="zh-CN"/>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14:paraId="392DBAA9">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14:paraId="04661D7C">
      <w:pPr>
        <w:spacing w:line="360" w:lineRule="auto"/>
        <w:ind w:firstLine="1080" w:firstLineChars="450"/>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14:paraId="7EA0B426">
      <w:pPr>
        <w:numPr>
          <w:ilvl w:val="0"/>
          <w:numId w:val="5"/>
        </w:numPr>
        <w:spacing w:line="360" w:lineRule="auto"/>
        <w:ind w:firstLine="480" w:firstLineChars="2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暂列金额：大写</w:t>
      </w:r>
      <w:r>
        <w:rPr>
          <w:rFonts w:hint="eastAsia" w:ascii="Times New Roman" w:hAnsi="Times New Roman" w:eastAsia="仿宋_GB2312"/>
          <w:color w:val="000000"/>
          <w:sz w:val="24"/>
          <w:szCs w:val="24"/>
          <w:lang w:val="en-US" w:eastAsia="zh-CN"/>
        </w:rPr>
        <w:t>:</w:t>
      </w:r>
      <w:r>
        <w:rPr>
          <w:rFonts w:ascii="Times New Roman" w:hAnsi="Times New Roman" w:eastAsia="仿宋_GB2312"/>
          <w:color w:val="000000"/>
          <w:sz w:val="24"/>
          <w:szCs w:val="24"/>
        </w:rPr>
        <w:t>人民币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rPr>
        <w:t>元</w:t>
      </w:r>
      <w:r>
        <w:rPr>
          <w:rFonts w:hint="eastAsia" w:eastAsia="仿宋_GB2312"/>
          <w:color w:val="000000"/>
          <w:sz w:val="24"/>
          <w:szCs w:val="24"/>
          <w:lang w:val="en-US" w:eastAsia="zh-CN"/>
        </w:rPr>
        <w:t xml:space="preserve"> </w:t>
      </w:r>
      <w:r>
        <w:rPr>
          <w:rFonts w:ascii="Times New Roman" w:hAnsi="Times New Roman" w:eastAsia="仿宋_GB2312"/>
          <w:color w:val="000000"/>
          <w:sz w:val="24"/>
          <w:szCs w:val="24"/>
        </w:rPr>
        <w:t>)。</w:t>
      </w:r>
    </w:p>
    <w:p w14:paraId="44B91075">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固定</w:t>
      </w:r>
      <w:r>
        <w:rPr>
          <w:rFonts w:hint="eastAsia" w:ascii="Times New Roman" w:hAnsi="Times New Roman" w:eastAsia="仿宋_GB2312"/>
          <w:color w:val="000000"/>
          <w:sz w:val="24"/>
          <w:szCs w:val="24"/>
          <w:highlight w:val="none"/>
          <w:u w:val="single"/>
          <w:lang w:val="en-US" w:eastAsia="zh-CN"/>
        </w:rPr>
        <w:t>总价</w:t>
      </w:r>
      <w:r>
        <w:rPr>
          <w:rFonts w:hint="eastAsia" w:ascii="Times New Roman" w:hAnsi="Times New Roman" w:eastAsia="仿宋_GB2312"/>
          <w:color w:val="000000"/>
          <w:sz w:val="24"/>
          <w:szCs w:val="24"/>
          <w:highlight w:val="none"/>
          <w:u w:val="single"/>
        </w:rPr>
        <w:t xml:space="preserve">合同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14:paraId="5747C091">
      <w:pPr>
        <w:pStyle w:val="10"/>
        <w:numPr>
          <w:ilvl w:val="3"/>
          <w:numId w:val="0"/>
        </w:numPr>
        <w:spacing w:before="120" w:after="120" w:line="360" w:lineRule="auto"/>
        <w:ind w:left="864" w:leftChars="0" w:hanging="864" w:firstLineChars="0"/>
        <w:rPr>
          <w:rFonts w:ascii="Times New Roman" w:hAnsi="Times New Roman" w:eastAsia="黑体"/>
          <w:b w:val="0"/>
          <w:color w:val="000000"/>
          <w:sz w:val="24"/>
          <w:szCs w:val="24"/>
        </w:rPr>
      </w:pPr>
      <w:bookmarkStart w:id="232" w:name="_Toc351203485"/>
      <w:r>
        <w:rPr>
          <w:rFonts w:ascii="Times New Roman" w:hAnsi="Times New Roman" w:eastAsia="黑体"/>
          <w:b w:val="0"/>
          <w:color w:val="000000"/>
          <w:sz w:val="24"/>
          <w:szCs w:val="24"/>
        </w:rPr>
        <w:t>五、</w:t>
      </w:r>
      <w:bookmarkEnd w:id="232"/>
      <w:r>
        <w:rPr>
          <w:rFonts w:ascii="Times New Roman" w:hAnsi="Times New Roman" w:eastAsia="黑体"/>
          <w:b w:val="0"/>
          <w:color w:val="000000"/>
          <w:sz w:val="24"/>
          <w:szCs w:val="24"/>
        </w:rPr>
        <w:t>项目经理</w:t>
      </w:r>
    </w:p>
    <w:p w14:paraId="273E52DC">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highlight w:val="none"/>
          <w:u w:val="single"/>
          <w:lang w:val="en-US" w:eastAsia="zh-CN"/>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4089BB21">
      <w:pPr>
        <w:pStyle w:val="10"/>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3" w:name="_Toc351203486"/>
      <w:r>
        <w:rPr>
          <w:rFonts w:ascii="Times New Roman" w:hAnsi="Times New Roman" w:eastAsia="黑体"/>
          <w:b w:val="0"/>
          <w:color w:val="000000"/>
          <w:sz w:val="24"/>
          <w:szCs w:val="24"/>
        </w:rPr>
        <w:t>六、合同文件构成</w:t>
      </w:r>
      <w:bookmarkEnd w:id="233"/>
    </w:p>
    <w:p w14:paraId="6C5FD7E3">
      <w:pPr>
        <w:spacing w:line="360" w:lineRule="auto"/>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14:paraId="780BCD53">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14:paraId="2409BD86">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14:paraId="5B9C7F4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14:paraId="7C47C00B">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14:paraId="53CC0A21">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14:paraId="2BED2469">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14:paraId="0F444ECA">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14:paraId="631AEDC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14:paraId="04A5295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14:paraId="6FF44833">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14:paraId="5C410FCF">
      <w:pPr>
        <w:pStyle w:val="10"/>
        <w:numPr>
          <w:ilvl w:val="3"/>
          <w:numId w:val="0"/>
        </w:numPr>
        <w:spacing w:before="120" w:after="120" w:line="360" w:lineRule="auto"/>
        <w:ind w:left="864" w:leftChars="0" w:hanging="864" w:firstLineChars="0"/>
        <w:rPr>
          <w:rFonts w:ascii="Times New Roman" w:hAnsi="Times New Roman" w:eastAsia="黑体"/>
          <w:b w:val="0"/>
          <w:bCs w:val="0"/>
          <w:color w:val="000000"/>
          <w:sz w:val="24"/>
          <w:szCs w:val="24"/>
        </w:rPr>
      </w:pPr>
      <w:r>
        <w:rPr>
          <w:rFonts w:ascii="Times New Roman" w:hAnsi="Times New Roman" w:eastAsia="黑体"/>
          <w:b w:val="0"/>
          <w:color w:val="000000"/>
          <w:sz w:val="24"/>
          <w:szCs w:val="24"/>
        </w:rPr>
        <w:t xml:space="preserve"> </w:t>
      </w:r>
      <w:bookmarkStart w:id="234" w:name="_Toc351203487"/>
      <w:r>
        <w:rPr>
          <w:rFonts w:ascii="Times New Roman" w:hAnsi="Times New Roman" w:eastAsia="黑体"/>
          <w:b w:val="0"/>
          <w:color w:val="000000"/>
          <w:sz w:val="24"/>
          <w:szCs w:val="24"/>
        </w:rPr>
        <w:t>七、承诺</w:t>
      </w:r>
      <w:bookmarkEnd w:id="234"/>
    </w:p>
    <w:p w14:paraId="70B5F9EA">
      <w:pPr>
        <w:spacing w:line="360" w:lineRule="auto"/>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14:paraId="5421D387">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14:paraId="5D281C46">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14:paraId="7C4709F4">
      <w:pPr>
        <w:pStyle w:val="10"/>
        <w:numPr>
          <w:ilvl w:val="3"/>
          <w:numId w:val="0"/>
        </w:numPr>
        <w:spacing w:before="120" w:after="120" w:line="600" w:lineRule="exact"/>
        <w:ind w:left="864" w:leftChars="0" w:hanging="864" w:firstLineChars="0"/>
        <w:rPr>
          <w:rFonts w:ascii="Times New Roman" w:hAnsi="Times New Roman" w:eastAsia="黑体" w:cs="Times New Roman"/>
          <w:b w:val="0"/>
          <w:color w:val="000000"/>
          <w:sz w:val="24"/>
          <w:szCs w:val="24"/>
        </w:rPr>
      </w:pPr>
      <w:bookmarkStart w:id="235" w:name="_Toc351203488"/>
      <w:r>
        <w:rPr>
          <w:rFonts w:hint="eastAsia" w:ascii="Times New Roman" w:hAnsi="Times New Roman" w:eastAsia="黑体" w:cs="Times New Roman"/>
          <w:b w:val="0"/>
          <w:color w:val="000000"/>
          <w:sz w:val="24"/>
          <w:szCs w:val="24"/>
        </w:rPr>
        <w:t xml:space="preserve"> </w:t>
      </w:r>
      <w:r>
        <w:rPr>
          <w:rFonts w:ascii="Times New Roman" w:hAnsi="Times New Roman" w:eastAsia="黑体" w:cs="Times New Roman"/>
          <w:b w:val="0"/>
          <w:color w:val="000000"/>
          <w:sz w:val="24"/>
          <w:szCs w:val="24"/>
        </w:rPr>
        <w:t>八、词语含义</w:t>
      </w:r>
      <w:bookmarkEnd w:id="235"/>
    </w:p>
    <w:p w14:paraId="59DD508C">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14:paraId="74D60570">
      <w:pPr>
        <w:pStyle w:val="10"/>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 w:val="0"/>
          <w:color w:val="000000"/>
          <w:sz w:val="24"/>
          <w:szCs w:val="24"/>
        </w:rPr>
        <w:t xml:space="preserve"> </w:t>
      </w:r>
      <w:bookmarkStart w:id="236" w:name="_Toc351203489"/>
      <w:r>
        <w:rPr>
          <w:rFonts w:ascii="Times New Roman" w:hAnsi="Times New Roman" w:eastAsia="黑体"/>
          <w:b w:val="0"/>
          <w:color w:val="000000"/>
          <w:sz w:val="24"/>
          <w:szCs w:val="24"/>
        </w:rPr>
        <w:t>九、签订时间</w:t>
      </w:r>
      <w:bookmarkEnd w:id="236"/>
    </w:p>
    <w:p w14:paraId="5F71EDC5">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hint="eastAsia" w:eastAsia="仿宋_GB2312"/>
          <w:bCs/>
          <w:color w:val="000000"/>
          <w:sz w:val="24"/>
          <w:szCs w:val="24"/>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lang w:val="en-US" w:eastAsia="zh-CN"/>
        </w:rPr>
        <w:t xml:space="preserve">    </w:t>
      </w:r>
      <w:r>
        <w:rPr>
          <w:rFonts w:ascii="Times New Roman" w:hAnsi="Times New Roman" w:eastAsia="仿宋_GB2312"/>
          <w:bCs/>
          <w:color w:val="000000"/>
          <w:sz w:val="24"/>
          <w:szCs w:val="24"/>
        </w:rPr>
        <w:t>日签订。</w:t>
      </w:r>
    </w:p>
    <w:p w14:paraId="606F0428">
      <w:pPr>
        <w:pStyle w:val="10"/>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7" w:name="_Toc351203490"/>
      <w:r>
        <w:rPr>
          <w:rFonts w:ascii="Times New Roman" w:hAnsi="Times New Roman" w:eastAsia="黑体"/>
          <w:b w:val="0"/>
          <w:color w:val="000000"/>
          <w:sz w:val="24"/>
          <w:szCs w:val="24"/>
        </w:rPr>
        <w:t>十、签订地点</w:t>
      </w:r>
      <w:bookmarkEnd w:id="237"/>
    </w:p>
    <w:p w14:paraId="4E8EB8C5">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w:t>
      </w:r>
      <w:r>
        <w:rPr>
          <w:rFonts w:ascii="Times New Roman" w:hAnsi="Times New Roman" w:eastAsia="仿宋_GB2312"/>
          <w:bCs/>
          <w:color w:val="000000"/>
          <w:sz w:val="24"/>
          <w:szCs w:val="24"/>
          <w:highlight w:val="none"/>
        </w:rPr>
        <w:t>在</w:t>
      </w:r>
      <w:r>
        <w:rPr>
          <w:rFonts w:ascii="Times New Roman" w:hAnsi="Times New Roman" w:eastAsia="仿宋_GB2312"/>
          <w:bCs/>
          <w:color w:val="000000"/>
          <w:sz w:val="24"/>
          <w:szCs w:val="24"/>
          <w:highlight w:val="none"/>
          <w:u w:val="single"/>
        </w:rPr>
        <w:t xml:space="preserve"> </w:t>
      </w:r>
      <w:r>
        <w:rPr>
          <w:rFonts w:hint="eastAsia" w:eastAsia="仿宋_GB2312" w:cs="Times New Roman"/>
          <w:bCs/>
          <w:color w:val="000000"/>
          <w:sz w:val="24"/>
          <w:szCs w:val="24"/>
          <w:highlight w:val="none"/>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14:paraId="37EDF292">
      <w:pPr>
        <w:pStyle w:val="10"/>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8" w:name="_Toc351203491"/>
      <w:r>
        <w:rPr>
          <w:rFonts w:ascii="Times New Roman" w:hAnsi="Times New Roman" w:eastAsia="黑体"/>
          <w:b w:val="0"/>
          <w:color w:val="000000"/>
          <w:sz w:val="24"/>
          <w:szCs w:val="24"/>
        </w:rPr>
        <w:t>十一、补充协议</w:t>
      </w:r>
      <w:bookmarkEnd w:id="238"/>
    </w:p>
    <w:p w14:paraId="42BBEF06">
      <w:pPr>
        <w:spacing w:line="600" w:lineRule="exact"/>
        <w:ind w:firstLine="480" w:firstLineChars="200"/>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14:paraId="08B99D21">
      <w:pPr>
        <w:pStyle w:val="10"/>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9" w:name="_Toc351203492"/>
      <w:r>
        <w:rPr>
          <w:rFonts w:ascii="Times New Roman" w:hAnsi="Times New Roman" w:eastAsia="黑体"/>
          <w:b w:val="0"/>
          <w:color w:val="000000"/>
          <w:sz w:val="24"/>
          <w:szCs w:val="24"/>
        </w:rPr>
        <w:t>十二、合同生效</w:t>
      </w:r>
      <w:bookmarkEnd w:id="239"/>
    </w:p>
    <w:p w14:paraId="4279D33B">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hint="eastAsia" w:ascii="Times New Roman" w:hAnsi="Times New Roman" w:eastAsia="仿宋_GB2312"/>
          <w:color w:val="000000"/>
          <w:sz w:val="24"/>
          <w:szCs w:val="24"/>
          <w:u w:val="single"/>
        </w:rPr>
        <w:t>双方签字盖章之日起</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14:paraId="3150A08D">
      <w:pPr>
        <w:pStyle w:val="10"/>
        <w:numPr>
          <w:ilvl w:val="3"/>
          <w:numId w:val="0"/>
        </w:numPr>
        <w:spacing w:before="120" w:after="120" w:line="600" w:lineRule="exact"/>
        <w:ind w:left="864" w:leftChars="0" w:hanging="864" w:firstLineChars="0"/>
        <w:rPr>
          <w:rFonts w:hint="eastAsia" w:ascii="Times New Roman" w:hAnsi="Times New Roman" w:eastAsia="仿宋_GB2312"/>
          <w:bCs w:val="0"/>
          <w:color w:val="000000"/>
          <w:sz w:val="24"/>
          <w:szCs w:val="24"/>
        </w:rPr>
      </w:pPr>
      <w:r>
        <w:rPr>
          <w:rFonts w:ascii="Times New Roman" w:hAnsi="Times New Roman" w:eastAsia="黑体"/>
          <w:bCs w:val="0"/>
          <w:color w:val="000000"/>
          <w:sz w:val="24"/>
          <w:szCs w:val="24"/>
        </w:rPr>
        <w:t xml:space="preserve"> </w:t>
      </w:r>
      <w:bookmarkStart w:id="240" w:name="_Toc351203493"/>
      <w:r>
        <w:rPr>
          <w:rFonts w:ascii="Times New Roman" w:hAnsi="Times New Roman" w:eastAsia="黑体"/>
          <w:b w:val="0"/>
          <w:color w:val="000000"/>
          <w:sz w:val="24"/>
          <w:szCs w:val="24"/>
        </w:rPr>
        <w:t>十三、合同份数</w:t>
      </w:r>
      <w:bookmarkEnd w:id="240"/>
      <w:r>
        <w:rPr>
          <w:rFonts w:hint="eastAsia" w:ascii="Times New Roman" w:hAnsi="Times New Roman" w:eastAsia="仿宋_GB2312"/>
          <w:bCs w:val="0"/>
          <w:color w:val="000000"/>
          <w:sz w:val="24"/>
          <w:szCs w:val="24"/>
        </w:rPr>
        <w:t xml:space="preserve">  </w:t>
      </w:r>
    </w:p>
    <w:p w14:paraId="12B8DE1F">
      <w:pPr>
        <w:spacing w:line="360" w:lineRule="auto"/>
        <w:ind w:firstLine="480" w:firstLineChars="200"/>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本合同一式</w:t>
      </w:r>
      <w:r>
        <w:rPr>
          <w:rFonts w:ascii="Times New Roman" w:hAnsi="Times New Roman" w:eastAsia="仿宋_GB2312" w:cs="Times New Roman"/>
          <w:color w:val="000000"/>
          <w:sz w:val="24"/>
          <w:szCs w:val="24"/>
          <w:u w:val="single"/>
        </w:rPr>
        <w:t xml:space="preserve"> </w:t>
      </w:r>
      <w:r>
        <w:rPr>
          <w:rFonts w:hint="eastAsia" w:eastAsia="仿宋_GB2312" w:cs="Times New Roman"/>
          <w:color w:val="000000"/>
          <w:sz w:val="24"/>
          <w:szCs w:val="24"/>
          <w:u w:val="single"/>
          <w:lang w:eastAsia="zh-CN"/>
        </w:rPr>
        <w:t>捌</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份，均具有同等法律效力，发包人执</w:t>
      </w:r>
      <w:r>
        <w:rPr>
          <w:rFonts w:ascii="Times New Roman" w:hAnsi="Times New Roman" w:eastAsia="仿宋_GB2312" w:cs="Times New Roman"/>
          <w:color w:val="000000"/>
          <w:sz w:val="24"/>
          <w:szCs w:val="24"/>
          <w:u w:val="single"/>
        </w:rPr>
        <w:t xml:space="preserve"> </w:t>
      </w:r>
      <w:r>
        <w:rPr>
          <w:rFonts w:hint="eastAsia" w:eastAsia="仿宋_GB2312"/>
          <w:bCs/>
          <w:color w:val="000000"/>
          <w:sz w:val="24"/>
          <w:szCs w:val="24"/>
          <w:u w:val="single"/>
          <w:lang w:eastAsia="zh-CN"/>
        </w:rPr>
        <w:t>肆</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份，承包人执</w:t>
      </w:r>
      <w:r>
        <w:rPr>
          <w:rFonts w:ascii="Times New Roman" w:hAnsi="Times New Roman" w:eastAsia="仿宋_GB2312" w:cs="Times New Roman"/>
          <w:color w:val="000000"/>
          <w:sz w:val="24"/>
          <w:szCs w:val="24"/>
          <w:u w:val="single"/>
        </w:rPr>
        <w:t xml:space="preserve"> </w:t>
      </w:r>
      <w:r>
        <w:rPr>
          <w:rFonts w:hint="eastAsia" w:eastAsia="仿宋_GB2312"/>
          <w:bCs/>
          <w:color w:val="000000"/>
          <w:sz w:val="24"/>
          <w:szCs w:val="24"/>
          <w:u w:val="single"/>
          <w:lang w:eastAsia="zh-CN"/>
        </w:rPr>
        <w:t>肆</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w:t>
      </w:r>
    </w:p>
    <w:p w14:paraId="0324E2C5">
      <w:pPr>
        <w:spacing w:line="360" w:lineRule="auto"/>
        <w:rPr>
          <w:rFonts w:ascii="Times New Roman" w:hAnsi="Times New Roman" w:eastAsia="仿宋_GB2312"/>
          <w:color w:val="000000"/>
          <w:sz w:val="24"/>
          <w:szCs w:val="24"/>
        </w:rPr>
      </w:pPr>
    </w:p>
    <w:p w14:paraId="5A1F6180">
      <w:pPr>
        <w:spacing w:line="360" w:lineRule="auto"/>
        <w:ind w:left="5700" w:hanging="4560" w:hangingChars="1900"/>
        <w:rPr>
          <w:rFonts w:ascii="Times New Roman" w:hAnsi="Times New Roman" w:eastAsia="仿宋_GB2312"/>
          <w:color w:val="000000"/>
          <w:sz w:val="24"/>
          <w:szCs w:val="24"/>
        </w:rPr>
      </w:pPr>
    </w:p>
    <w:p w14:paraId="1AA097DD">
      <w:pPr>
        <w:spacing w:line="360" w:lineRule="auto"/>
        <w:ind w:left="5700" w:hanging="4560" w:hangingChars="1900"/>
        <w:rPr>
          <w:rFonts w:ascii="Times New Roman" w:hAnsi="Times New Roman" w:eastAsia="仿宋_GB2312"/>
          <w:color w:val="000000"/>
          <w:sz w:val="24"/>
          <w:szCs w:val="24"/>
        </w:rPr>
        <w:sectPr>
          <w:footerReference r:id="rId11" w:type="first"/>
          <w:headerReference r:id="rId9" w:type="default"/>
          <w:footerReference r:id="rId10" w:type="default"/>
          <w:pgSz w:w="11906" w:h="16838"/>
          <w:pgMar w:top="1418" w:right="1555" w:bottom="1418" w:left="1531" w:header="851" w:footer="992" w:gutter="0"/>
          <w:pgNumType w:fmt="decimal"/>
          <w:cols w:space="720" w:num="1"/>
          <w:titlePg/>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4518"/>
      </w:tblGrid>
      <w:tr w14:paraId="3D45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518" w:type="dxa"/>
            <w:tcBorders>
              <w:top w:val="nil"/>
              <w:left w:val="nil"/>
              <w:bottom w:val="nil"/>
              <w:right w:val="nil"/>
            </w:tcBorders>
            <w:noWrap w:val="0"/>
            <w:vAlign w:val="top"/>
          </w:tcPr>
          <w:p w14:paraId="52F885BA">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发包</w:t>
            </w:r>
            <w:r>
              <w:rPr>
                <w:rFonts w:ascii="Times New Roman" w:hAnsi="Times New Roman" w:eastAsia="仿宋_GB2312"/>
                <w:color w:val="000000"/>
                <w:sz w:val="24"/>
                <w:szCs w:val="24"/>
                <w:highlight w:val="none"/>
              </w:rPr>
              <w:t>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c>
          <w:tcPr>
            <w:tcW w:w="4518" w:type="dxa"/>
            <w:tcBorders>
              <w:top w:val="nil"/>
              <w:left w:val="nil"/>
              <w:bottom w:val="nil"/>
              <w:right w:val="nil"/>
            </w:tcBorders>
            <w:noWrap w:val="0"/>
            <w:vAlign w:val="top"/>
          </w:tcPr>
          <w:p w14:paraId="01D34721">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highlight w:val="none"/>
              </w:rPr>
              <w:t>承</w:t>
            </w:r>
            <w:r>
              <w:rPr>
                <w:rFonts w:ascii="Times New Roman" w:hAnsi="Times New Roman" w:eastAsia="仿宋_GB2312"/>
                <w:color w:val="000000"/>
                <w:sz w:val="24"/>
                <w:szCs w:val="24"/>
                <w:highlight w:val="none"/>
              </w:rPr>
              <w:t>包人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r>
      <w:tr w14:paraId="5BFC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409B0D2">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法定代表人或其委托代理人：</w:t>
            </w:r>
          </w:p>
        </w:tc>
        <w:tc>
          <w:tcPr>
            <w:tcW w:w="4518" w:type="dxa"/>
            <w:tcBorders>
              <w:top w:val="nil"/>
              <w:left w:val="nil"/>
              <w:bottom w:val="nil"/>
              <w:right w:val="nil"/>
            </w:tcBorders>
            <w:noWrap w:val="0"/>
            <w:vAlign w:val="top"/>
          </w:tcPr>
          <w:p w14:paraId="2FBE7BC3">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法定代表人或其委托代理人：</w:t>
            </w:r>
          </w:p>
        </w:tc>
      </w:tr>
      <w:tr w14:paraId="3289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7F6C488">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（签字）</w:t>
            </w:r>
          </w:p>
        </w:tc>
        <w:tc>
          <w:tcPr>
            <w:tcW w:w="4518" w:type="dxa"/>
            <w:tcBorders>
              <w:top w:val="nil"/>
              <w:left w:val="nil"/>
              <w:bottom w:val="nil"/>
              <w:right w:val="nil"/>
            </w:tcBorders>
            <w:noWrap w:val="0"/>
            <w:vAlign w:val="top"/>
          </w:tcPr>
          <w:p w14:paraId="553FF0CB">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（签字）</w:t>
            </w:r>
          </w:p>
        </w:tc>
      </w:tr>
      <w:tr w14:paraId="533F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5BF858DC">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6BFAD34">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tc>
      </w:tr>
      <w:tr w14:paraId="64CA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18" w:type="dxa"/>
            <w:tcBorders>
              <w:top w:val="nil"/>
              <w:left w:val="nil"/>
              <w:bottom w:val="nil"/>
              <w:right w:val="nil"/>
            </w:tcBorders>
            <w:noWrap w:val="0"/>
            <w:vAlign w:val="top"/>
          </w:tcPr>
          <w:p w14:paraId="5A806C7C">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18AB4D57">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0918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0BEC0E91">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4737F59">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2EFF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6EB7E6B">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0E23A965">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43BA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532696BA">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56720C29">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7547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AC6B07E">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4DB8793D">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4BCC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609A936">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6F21493">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36C8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928613D">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0E765718">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p>
        </w:tc>
      </w:tr>
      <w:tr w14:paraId="36C2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129CCC46">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2530D26A">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1024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1DF4DAF3">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20571528">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bl>
    <w:p w14:paraId="4E0AE810">
      <w:pPr>
        <w:spacing w:line="360" w:lineRule="auto"/>
        <w:ind w:left="5700" w:hanging="4560" w:hangingChars="1900"/>
        <w:rPr>
          <w:rFonts w:ascii="Times New Roman" w:hAnsi="Times New Roman" w:eastAsia="仿宋_GB2312"/>
          <w:color w:val="000000"/>
          <w:sz w:val="24"/>
          <w:szCs w:val="24"/>
        </w:rPr>
        <w:sectPr>
          <w:pgSz w:w="11906" w:h="16838"/>
          <w:pgMar w:top="1418" w:right="1555" w:bottom="1418" w:left="1531" w:header="851" w:footer="992" w:gutter="0"/>
          <w:pgNumType w:fmt="decimal"/>
          <w:cols w:space="720" w:num="1"/>
          <w:titlePg/>
          <w:docGrid w:type="lines" w:linePitch="312" w:charSpace="0"/>
        </w:sectPr>
      </w:pPr>
    </w:p>
    <w:p w14:paraId="438BB4F0">
      <w:pPr>
        <w:pStyle w:val="9"/>
        <w:jc w:val="center"/>
        <w:rPr>
          <w:rFonts w:hint="eastAsia" w:ascii="华文中宋" w:hAnsi="华文中宋" w:eastAsia="华文中宋"/>
          <w:sz w:val="24"/>
          <w:szCs w:val="24"/>
          <w:lang w:eastAsia="zh-CN"/>
        </w:rPr>
      </w:pPr>
      <w:bookmarkStart w:id="241" w:name="_Toc351203494"/>
      <w:r>
        <w:rPr>
          <w:rFonts w:ascii="华文中宋" w:hAnsi="华文中宋" w:eastAsia="华文中宋"/>
          <w:sz w:val="24"/>
          <w:szCs w:val="24"/>
        </w:rPr>
        <w:t>第二部分 通用合同条款</w:t>
      </w:r>
      <w:bookmarkEnd w:id="241"/>
      <w:bookmarkStart w:id="242" w:name="_Toc337558727"/>
      <w:r>
        <w:rPr>
          <w:rFonts w:hint="eastAsia" w:ascii="华文中宋" w:hAnsi="华文中宋" w:eastAsia="华文中宋"/>
          <w:sz w:val="24"/>
          <w:szCs w:val="24"/>
          <w:lang w:eastAsia="zh-CN"/>
        </w:rPr>
        <w:t>（</w:t>
      </w:r>
      <w:r>
        <w:rPr>
          <w:rFonts w:hint="eastAsia" w:ascii="华文中宋" w:hAnsi="华文中宋" w:eastAsia="华文中宋"/>
          <w:sz w:val="24"/>
          <w:szCs w:val="24"/>
          <w:lang w:val="en-US" w:eastAsia="zh-CN"/>
        </w:rPr>
        <w:t>略</w:t>
      </w:r>
      <w:r>
        <w:rPr>
          <w:rFonts w:hint="eastAsia" w:ascii="华文中宋" w:hAnsi="华文中宋" w:eastAsia="华文中宋"/>
          <w:sz w:val="24"/>
          <w:szCs w:val="24"/>
          <w:lang w:eastAsia="zh-CN"/>
        </w:rPr>
        <w:t>）</w:t>
      </w:r>
    </w:p>
    <w:bookmarkEnd w:id="242"/>
    <w:p w14:paraId="54C36DE8">
      <w:pPr>
        <w:pStyle w:val="9"/>
        <w:jc w:val="center"/>
        <w:rPr>
          <w:rFonts w:ascii="华文中宋" w:hAnsi="华文中宋" w:eastAsia="华文中宋"/>
          <w:sz w:val="24"/>
          <w:szCs w:val="24"/>
          <w:highlight w:val="none"/>
        </w:rPr>
      </w:pPr>
      <w:r>
        <w:rPr>
          <w:rFonts w:ascii="华文中宋" w:hAnsi="华文中宋" w:eastAsia="华文中宋"/>
          <w:sz w:val="24"/>
          <w:szCs w:val="24"/>
          <w:highlight w:val="none"/>
        </w:rPr>
        <w:t xml:space="preserve">第三部分 </w:t>
      </w:r>
      <w:r>
        <w:rPr>
          <w:rFonts w:hint="eastAsia" w:ascii="华文中宋" w:hAnsi="华文中宋" w:eastAsia="华文中宋"/>
          <w:sz w:val="24"/>
          <w:szCs w:val="24"/>
          <w:highlight w:val="none"/>
        </w:rPr>
        <w:t>专用合同条款</w:t>
      </w:r>
    </w:p>
    <w:p w14:paraId="3686ED65">
      <w:pPr>
        <w:numPr>
          <w:ilvl w:val="0"/>
          <w:numId w:val="6"/>
        </w:numPr>
        <w:spacing w:line="360" w:lineRule="auto"/>
        <w:jc w:val="left"/>
        <w:rPr>
          <w:rFonts w:hint="eastAsia" w:ascii="黑体" w:hAnsi="黑体" w:eastAsia="黑体"/>
          <w:b/>
          <w:bCs/>
          <w:color w:val="000000"/>
          <w:sz w:val="24"/>
          <w:szCs w:val="24"/>
          <w:highlight w:val="none"/>
          <w:lang w:val="en-US" w:eastAsia="zh-CN"/>
        </w:rPr>
      </w:pPr>
      <w:r>
        <w:rPr>
          <w:rFonts w:ascii="黑体" w:hAnsi="黑体" w:eastAsia="黑体"/>
          <w:b/>
          <w:bCs/>
          <w:color w:val="000000"/>
          <w:sz w:val="24"/>
          <w:szCs w:val="24"/>
          <w:highlight w:val="none"/>
        </w:rPr>
        <w:t>一般约定</w:t>
      </w:r>
      <w:r>
        <w:rPr>
          <w:rFonts w:hint="eastAsia" w:ascii="黑体" w:hAnsi="黑体" w:eastAsia="黑体"/>
          <w:b/>
          <w:bCs/>
          <w:color w:val="000000"/>
          <w:sz w:val="24"/>
          <w:szCs w:val="24"/>
          <w:highlight w:val="none"/>
          <w:lang w:val="en-US" w:eastAsia="zh-CN"/>
        </w:rPr>
        <w:t xml:space="preserve">        </w:t>
      </w:r>
    </w:p>
    <w:p w14:paraId="0C4E0CEE">
      <w:pPr>
        <w:numPr>
          <w:ilvl w:val="0"/>
          <w:numId w:val="0"/>
        </w:num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r>
        <w:rPr>
          <w:rFonts w:hint="eastAsia" w:ascii="黑体" w:hAnsi="黑体" w:eastAsia="黑体"/>
          <w:color w:val="000000"/>
          <w:sz w:val="24"/>
          <w:szCs w:val="24"/>
          <w:highlight w:val="none"/>
          <w:lang w:val="en-US" w:eastAsia="zh-CN"/>
        </w:rPr>
        <w:t>.</w:t>
      </w:r>
      <w:r>
        <w:rPr>
          <w:rFonts w:ascii="黑体" w:hAnsi="黑体" w:eastAsia="黑体"/>
          <w:color w:val="000000"/>
          <w:sz w:val="24"/>
          <w:szCs w:val="24"/>
          <w:highlight w:val="none"/>
        </w:rPr>
        <w:t>1 词语定义</w:t>
      </w:r>
    </w:p>
    <w:p w14:paraId="5E0E7C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1.1.1合同</w:t>
      </w:r>
    </w:p>
    <w:p w14:paraId="78FF5D4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1.1.1.10其他合同文件包括：</w:t>
      </w:r>
      <w:r>
        <w:rPr>
          <w:rFonts w:hint="eastAsia" w:ascii="Times New Roman" w:hAnsi="Times New Roman" w:eastAsia="仿宋_GB2312"/>
          <w:color w:val="000000"/>
          <w:sz w:val="24"/>
          <w:szCs w:val="24"/>
          <w:highlight w:val="none"/>
          <w:u w:val="single"/>
        </w:rPr>
        <w:t>招标文件（含澄清文件、暂列金、暂估价）、发承包人共同确认的会议纪要、图纸会审记录等</w:t>
      </w:r>
      <w:r>
        <w:rPr>
          <w:rFonts w:hint="eastAsia" w:ascii="Times New Roman" w:hAnsi="Times New Roman" w:eastAsia="仿宋_GB2312"/>
          <w:color w:val="000000"/>
          <w:sz w:val="24"/>
          <w:szCs w:val="24"/>
          <w:highlight w:val="none"/>
          <w:u w:val="none"/>
        </w:rPr>
        <w:t>。</w:t>
      </w:r>
    </w:p>
    <w:p w14:paraId="68B2527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 合同当事人及其他相关</w:t>
      </w:r>
      <w:r>
        <w:rPr>
          <w:rFonts w:hint="eastAsia" w:ascii="Times New Roman" w:hAnsi="Times New Roman" w:eastAsia="仿宋_GB2312"/>
          <w:color w:val="000000"/>
          <w:sz w:val="24"/>
          <w:szCs w:val="24"/>
          <w:highlight w:val="none"/>
        </w:rPr>
        <w:t>方面</w:t>
      </w:r>
    </w:p>
    <w:p w14:paraId="282562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1.1.2.4监理人：</w:t>
      </w:r>
    </w:p>
    <w:p w14:paraId="4757E1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名    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D37AC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资质类别和等级：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3B312F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 xml:space="preserve"> </w:t>
      </w:r>
    </w:p>
    <w:p w14:paraId="589702D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93DE50E">
      <w:pPr>
        <w:spacing w:line="360" w:lineRule="auto"/>
        <w:ind w:left="1500" w:hanging="1200" w:hangingChars="500"/>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979730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1.1.2.5 设计人：</w:t>
      </w:r>
    </w:p>
    <w:p w14:paraId="3552E8B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名    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86B10B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资质类别和等级：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01C373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AC514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A859CB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29623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 工程和设备</w:t>
      </w:r>
    </w:p>
    <w:p w14:paraId="6F3C5FD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1.1.3.7 作为施工现场组成部分的其他场所包括：</w:t>
      </w:r>
      <w:r>
        <w:rPr>
          <w:rFonts w:ascii="Times New Roman" w:hAnsi="Times New Roman" w:eastAsia="仿宋_GB2312"/>
          <w:color w:val="000000"/>
          <w:sz w:val="24"/>
          <w:szCs w:val="24"/>
          <w:highlight w:val="none"/>
          <w:u w:val="single"/>
        </w:rPr>
        <w:t>生活、办公等临时设施及设备、材料加工、堆放场地</w:t>
      </w:r>
      <w:r>
        <w:rPr>
          <w:rFonts w:ascii="Times New Roman" w:hAnsi="Times New Roman" w:eastAsia="仿宋_GB2312"/>
          <w:color w:val="000000"/>
          <w:sz w:val="24"/>
          <w:szCs w:val="24"/>
          <w:highlight w:val="none"/>
        </w:rPr>
        <w:t>。</w:t>
      </w:r>
    </w:p>
    <w:p w14:paraId="521E39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1.1.3.9 永久占地包括：</w:t>
      </w:r>
      <w:r>
        <w:rPr>
          <w:rFonts w:ascii="Times New Roman" w:hAnsi="Times New Roman" w:eastAsia="仿宋_GB2312"/>
          <w:color w:val="000000"/>
          <w:sz w:val="24"/>
          <w:szCs w:val="24"/>
          <w:highlight w:val="none"/>
          <w:u w:val="single"/>
        </w:rPr>
        <w:t xml:space="preserve">         见规划红线             </w:t>
      </w:r>
      <w:r>
        <w:rPr>
          <w:rFonts w:ascii="Times New Roman" w:hAnsi="Times New Roman" w:eastAsia="仿宋_GB2312"/>
          <w:color w:val="000000"/>
          <w:sz w:val="24"/>
          <w:szCs w:val="24"/>
          <w:highlight w:val="none"/>
        </w:rPr>
        <w:t>。</w:t>
      </w:r>
    </w:p>
    <w:p w14:paraId="6D3A11B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1.1.3.10 临时占地包括：</w:t>
      </w:r>
      <w:r>
        <w:rPr>
          <w:rFonts w:ascii="Times New Roman" w:hAnsi="Times New Roman" w:eastAsia="仿宋_GB2312"/>
          <w:color w:val="000000"/>
          <w:sz w:val="24"/>
          <w:szCs w:val="24"/>
          <w:highlight w:val="none"/>
          <w:u w:val="single"/>
        </w:rPr>
        <w:t>生活、办公等临时设施及设备、材料加工，堆放场地</w:t>
      </w:r>
      <w:r>
        <w:rPr>
          <w:rFonts w:ascii="Times New Roman" w:hAnsi="Times New Roman" w:eastAsia="仿宋_GB2312"/>
          <w:color w:val="000000"/>
          <w:sz w:val="24"/>
          <w:szCs w:val="24"/>
          <w:highlight w:val="none"/>
        </w:rPr>
        <w:t>。</w:t>
      </w:r>
    </w:p>
    <w:p w14:paraId="578B8D4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 xml:space="preserve">1.3法律 </w:t>
      </w:r>
    </w:p>
    <w:p w14:paraId="4AFD3E3B">
      <w:pPr>
        <w:spacing w:line="360" w:lineRule="auto"/>
        <w:ind w:firstLine="600"/>
        <w:jc w:val="left"/>
        <w:rPr>
          <w:rFonts w:hint="eastAsia" w:ascii="Times New Roman" w:hAnsi="Times New Roman" w:eastAsia="仿宋_GB2312"/>
          <w:color w:val="000000"/>
          <w:sz w:val="24"/>
          <w:szCs w:val="24"/>
          <w:highlight w:val="none"/>
          <w:u w:val="single"/>
          <w:lang w:val="en-US" w:eastAsia="zh-CN"/>
        </w:rPr>
      </w:pPr>
      <w:r>
        <w:rPr>
          <w:rFonts w:ascii="Times New Roman" w:hAnsi="Times New Roman" w:eastAsia="仿宋_GB2312"/>
          <w:color w:val="000000"/>
          <w:sz w:val="24"/>
          <w:szCs w:val="24"/>
          <w:highlight w:val="none"/>
        </w:rPr>
        <w:t>适用于合同的其他规范性文件：</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《建设工程工程量清单计价规范》GB50500-2013、</w:t>
      </w:r>
      <w:r>
        <w:rPr>
          <w:rFonts w:hint="eastAsia" w:ascii="Times New Roman" w:hAnsi="Times New Roman" w:eastAsia="仿宋_GB2312"/>
          <w:color w:val="000000"/>
          <w:sz w:val="24"/>
          <w:szCs w:val="24"/>
          <w:highlight w:val="none"/>
          <w:u w:val="single"/>
          <w:lang w:eastAsia="zh-CN"/>
        </w:rPr>
        <w:t>《新疆房屋建筑与装饰工程消耗量定额乌鲁木齐估价汇总表》(2020)</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eastAsia="zh-CN"/>
        </w:rPr>
        <w:t>《通用安装工程工程量计价规范》（GB50856-2013）</w:t>
      </w:r>
      <w:r>
        <w:rPr>
          <w:rFonts w:hint="eastAsia" w:ascii="Times New Roman" w:hAnsi="Times New Roman" w:eastAsia="仿宋_GB2312"/>
          <w:color w:val="000000"/>
          <w:sz w:val="24"/>
          <w:szCs w:val="24"/>
          <w:highlight w:val="none"/>
          <w:u w:val="single"/>
        </w:rPr>
        <w:t>、《全统安装工程消耗量定额乌鲁木齐估价汇总表》(2020)</w:t>
      </w:r>
      <w:r>
        <w:rPr>
          <w:rFonts w:hint="eastAsia" w:ascii="Times New Roman" w:hAnsi="Times New Roman" w:eastAsia="仿宋_GB2312"/>
          <w:color w:val="000000"/>
          <w:sz w:val="24"/>
          <w:szCs w:val="24"/>
          <w:highlight w:val="none"/>
          <w:u w:val="single"/>
          <w:lang w:eastAsia="zh-CN"/>
        </w:rPr>
        <w:t>、新疆市政工程消耗量定额乌鲁木齐估价汇总表(2020)、</w:t>
      </w:r>
      <w:r>
        <w:rPr>
          <w:rFonts w:hint="eastAsia" w:ascii="Times New Roman" w:hAnsi="Times New Roman" w:eastAsia="仿宋_GB2312"/>
          <w:color w:val="000000"/>
          <w:sz w:val="24"/>
          <w:szCs w:val="24"/>
          <w:highlight w:val="none"/>
          <w:u w:val="single"/>
        </w:rPr>
        <w:t>《关于建筑业营业税改增值税调整新疆建设工程计价依据的实施意见》（税率执行新建标【2019】4号文件）、其他规定仍按《关于实施建筑业增值税新税率调整建设工程计价依据的通知》（新建标【2018】6号文件）执行、《建设工程文件归档整理规范》（GB/T50328-2014）、国家重大建设项目文件归档要求与档案整理规范（DA/T28-2002），国家施工质量验收规范、规程、施工技术标准、设计图纸及其他设计文件；现行的施工规范和技术标准及相关定额等</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none"/>
          <w:lang w:val="en-US" w:eastAsia="zh-CN"/>
        </w:rPr>
        <w:t>。</w:t>
      </w:r>
    </w:p>
    <w:p w14:paraId="15845F8B">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 标准和规范</w:t>
      </w:r>
    </w:p>
    <w:p w14:paraId="4210F7F0">
      <w:pPr>
        <w:spacing w:line="360" w:lineRule="auto"/>
        <w:jc w:val="left"/>
        <w:rPr>
          <w:rFonts w:hint="eastAsia" w:ascii="Times New Roman" w:hAnsi="Times New Roman" w:eastAsia="仿宋_GB2312"/>
          <w:color w:val="000000"/>
          <w:sz w:val="24"/>
          <w:szCs w:val="24"/>
          <w:highlight w:val="none"/>
          <w:u w:val="single"/>
          <w:lang w:eastAsia="zh-CN"/>
        </w:rPr>
      </w:pPr>
      <w:r>
        <w:rPr>
          <w:rFonts w:ascii="Times New Roman" w:hAnsi="Times New Roman" w:eastAsia="仿宋_GB2312"/>
          <w:color w:val="000000"/>
          <w:sz w:val="24"/>
          <w:szCs w:val="24"/>
          <w:highlight w:val="none"/>
        </w:rPr>
        <w:t>1.4.1适用于工程的标准规范包括：</w:t>
      </w:r>
      <w:r>
        <w:rPr>
          <w:rFonts w:hint="eastAsia" w:ascii="Times New Roman" w:hAnsi="Times New Roman" w:eastAsia="仿宋_GB2312"/>
          <w:color w:val="000000"/>
          <w:sz w:val="24"/>
          <w:szCs w:val="24"/>
          <w:highlight w:val="none"/>
          <w:u w:val="single"/>
        </w:rPr>
        <w:t>《建设工程工程量清单计价规范》GB50500-2013、</w:t>
      </w:r>
      <w:r>
        <w:rPr>
          <w:rFonts w:hint="eastAsia" w:ascii="Times New Roman" w:hAnsi="Times New Roman" w:eastAsia="仿宋_GB2312"/>
          <w:color w:val="000000"/>
          <w:sz w:val="24"/>
          <w:szCs w:val="24"/>
          <w:highlight w:val="none"/>
          <w:u w:val="single"/>
          <w:lang w:eastAsia="zh-CN"/>
        </w:rPr>
        <w:t>《新疆房屋建筑与装饰工程消耗量定额乌鲁木齐估价汇总表》(2020)</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eastAsia="zh-CN"/>
        </w:rPr>
        <w:t>《通用安装工程工程量计价规范》（GB50856-2013）</w:t>
      </w:r>
      <w:r>
        <w:rPr>
          <w:rFonts w:hint="eastAsia" w:ascii="Times New Roman" w:hAnsi="Times New Roman" w:eastAsia="仿宋_GB2312"/>
          <w:color w:val="000000"/>
          <w:sz w:val="24"/>
          <w:szCs w:val="24"/>
          <w:highlight w:val="none"/>
          <w:u w:val="none"/>
          <w:lang w:eastAsia="zh-CN"/>
        </w:rPr>
        <w:t>。</w:t>
      </w:r>
    </w:p>
    <w:p w14:paraId="3EEA6BB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1.4.2 发包人提供国外标准、规范的名称：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120DE1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发包人提供国外标准、规范的份数：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912AA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发包人提供国外标准、规范的名称：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9433A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1.4.3发包人对工程的技术标准和功能要求的特殊要求：</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D8AE6C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 合同文件的优先顺序</w:t>
      </w:r>
    </w:p>
    <w:p w14:paraId="36CCCE33">
      <w:pPr>
        <w:spacing w:line="360" w:lineRule="auto"/>
        <w:jc w:val="left"/>
        <w:rPr>
          <w:rFonts w:hint="eastAsia" w:ascii="Times New Roman" w:hAnsi="Times New Roman" w:eastAsia="仿宋_GB2312"/>
          <w:color w:val="000000"/>
          <w:sz w:val="24"/>
          <w:szCs w:val="24"/>
          <w:highlight w:val="none"/>
          <w:u w:val="single" w:color="auto"/>
          <w:lang w:eastAsia="zh-CN"/>
        </w:rPr>
      </w:pPr>
      <w:r>
        <w:rPr>
          <w:rFonts w:ascii="Times New Roman" w:hAnsi="Times New Roman" w:eastAsia="仿宋_GB2312"/>
          <w:color w:val="000000"/>
          <w:sz w:val="24"/>
          <w:szCs w:val="24"/>
          <w:highlight w:val="none"/>
        </w:rPr>
        <w:t>合同文件组成及优先顺序为：</w:t>
      </w:r>
      <w:r>
        <w:rPr>
          <w:rFonts w:hint="eastAsia" w:ascii="Times New Roman" w:hAnsi="Times New Roman" w:eastAsia="仿宋_GB2312"/>
          <w:color w:val="000000"/>
          <w:sz w:val="24"/>
          <w:szCs w:val="24"/>
          <w:highlight w:val="none"/>
          <w:u w:val="single"/>
        </w:rPr>
        <w:t>按通用条款1.5规定的解释顺序</w:t>
      </w:r>
      <w:r>
        <w:rPr>
          <w:rFonts w:hint="eastAsia" w:ascii="Times New Roman" w:hAnsi="Times New Roman" w:eastAsia="仿宋_GB2312"/>
          <w:color w:val="000000"/>
          <w:sz w:val="24"/>
          <w:szCs w:val="24"/>
          <w:highlight w:val="none"/>
          <w:u w:val="none"/>
          <w:lang w:eastAsia="zh-CN"/>
        </w:rPr>
        <w:t>。</w:t>
      </w:r>
    </w:p>
    <w:p w14:paraId="4DB2A28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 图纸和承包人文件</w:t>
      </w:r>
      <w:r>
        <w:rPr>
          <w:rFonts w:ascii="黑体" w:hAnsi="黑体" w:eastAsia="黑体"/>
          <w:color w:val="000000"/>
          <w:sz w:val="24"/>
          <w:szCs w:val="24"/>
          <w:highlight w:val="none"/>
        </w:rPr>
        <w:tab/>
      </w:r>
    </w:p>
    <w:p w14:paraId="21DFE62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 图纸的提供</w:t>
      </w:r>
    </w:p>
    <w:p w14:paraId="322695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9561DE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发包人向承包人提供图纸的数量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63A2A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发包人向承包人提供图纸的内容：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w:t>
      </w:r>
    </w:p>
    <w:p w14:paraId="107A2AF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1.6.4 承包人文件</w:t>
      </w:r>
    </w:p>
    <w:p w14:paraId="2E7B32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需要由承包人提供的文件，包括：</w:t>
      </w:r>
      <w:r>
        <w:rPr>
          <w:rFonts w:ascii="Times New Roman" w:hAnsi="Times New Roman" w:eastAsia="仿宋_GB2312"/>
          <w:color w:val="000000"/>
          <w:sz w:val="24"/>
          <w:szCs w:val="24"/>
          <w:highlight w:val="none"/>
          <w:u w:val="single"/>
        </w:rPr>
        <w:t>开工前3日应提供完善的施工组织设计和安全专项方案，每月25日前提供下月完成工程量报表、月进度报表等</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C41EE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承包人提供的文件的期限为：</w:t>
      </w:r>
      <w:r>
        <w:rPr>
          <w:rFonts w:ascii="Times New Roman" w:hAnsi="Times New Roman" w:eastAsia="仿宋_GB2312"/>
          <w:color w:val="000000"/>
          <w:sz w:val="24"/>
          <w:szCs w:val="24"/>
          <w:highlight w:val="none"/>
          <w:u w:val="single"/>
        </w:rPr>
        <w:t xml:space="preserve">  每月25日前  </w:t>
      </w:r>
      <w:r>
        <w:rPr>
          <w:rFonts w:ascii="Times New Roman" w:hAnsi="Times New Roman" w:eastAsia="仿宋_GB2312"/>
          <w:color w:val="000000"/>
          <w:sz w:val="24"/>
          <w:szCs w:val="24"/>
          <w:highlight w:val="none"/>
        </w:rPr>
        <w:t>；</w:t>
      </w:r>
    </w:p>
    <w:p w14:paraId="30EE03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承包人提供的文件的数量为：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8份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2B9D05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承包人提供的文件的形式为：</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书面形式和电子文档</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2AF7BF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发包人审批承包人文件的期限：</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收到文件后10天内</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BD93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1.6.5 现场图纸准备</w:t>
      </w:r>
    </w:p>
    <w:p w14:paraId="53E8866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关于现场图纸准备的约定：</w:t>
      </w:r>
      <w:r>
        <w:rPr>
          <w:rFonts w:ascii="Times New Roman" w:hAnsi="Times New Roman" w:eastAsia="仿宋_GB2312"/>
          <w:color w:val="000000"/>
          <w:sz w:val="24"/>
          <w:szCs w:val="24"/>
          <w:highlight w:val="none"/>
          <w:u w:val="single"/>
        </w:rPr>
        <w:t>施工现场保留一套完整图纸供发包人、监理人及有关人员使用</w:t>
      </w:r>
      <w:r>
        <w:rPr>
          <w:rFonts w:ascii="Times New Roman" w:hAnsi="Times New Roman" w:eastAsia="仿宋_GB2312"/>
          <w:color w:val="000000"/>
          <w:sz w:val="24"/>
          <w:szCs w:val="24"/>
          <w:highlight w:val="none"/>
        </w:rPr>
        <w:t>。</w:t>
      </w:r>
    </w:p>
    <w:p w14:paraId="4D082C4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 联络</w:t>
      </w:r>
    </w:p>
    <w:p w14:paraId="286B672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1.7.1发包人和承包人应当在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5  </w:t>
      </w:r>
      <w:r>
        <w:rPr>
          <w:rFonts w:ascii="Times New Roman" w:hAnsi="Times New Roman" w:eastAsia="仿宋_GB2312"/>
          <w:color w:val="000000"/>
          <w:sz w:val="24"/>
          <w:szCs w:val="24"/>
          <w:highlight w:val="none"/>
        </w:rPr>
        <w:t>天内将与合同有关的通知、批准、证明、证书、指示、指令、要求、请求、同意、意见、确定和决定等书面函件送达对方当事人。</w:t>
      </w:r>
    </w:p>
    <w:p w14:paraId="6656863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1.7.2 发包人接收文件的地点：</w:t>
      </w:r>
      <w:r>
        <w:rPr>
          <w:rFonts w:ascii="Times New Roman" w:hAnsi="Times New Roman" w:eastAsia="仿宋_GB2312"/>
          <w:color w:val="000000"/>
          <w:sz w:val="24"/>
          <w:szCs w:val="24"/>
          <w:highlight w:val="none"/>
          <w:u w:val="single"/>
        </w:rPr>
        <w:t xml:space="preserve">  发包人办公场所    </w:t>
      </w:r>
      <w:r>
        <w:rPr>
          <w:rFonts w:ascii="Times New Roman" w:hAnsi="Times New Roman" w:eastAsia="仿宋_GB2312"/>
          <w:color w:val="000000"/>
          <w:sz w:val="24"/>
          <w:szCs w:val="24"/>
          <w:highlight w:val="none"/>
        </w:rPr>
        <w:t>；</w:t>
      </w:r>
    </w:p>
    <w:p w14:paraId="41FBC2E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发包人指定的接收人为：</w:t>
      </w:r>
      <w:r>
        <w:rPr>
          <w:rFonts w:ascii="Times New Roman" w:hAnsi="Times New Roman" w:eastAsia="仿宋_GB2312"/>
          <w:color w:val="000000"/>
          <w:sz w:val="24"/>
          <w:szCs w:val="24"/>
          <w:highlight w:val="none"/>
          <w:u w:val="single"/>
          <w:shd w:val="clear" w:color="auto" w:fill="auto"/>
        </w:rPr>
        <w:t xml:space="preserve">  发包人代表</w:t>
      </w:r>
      <w:r>
        <w:rPr>
          <w:rFonts w:hint="eastAsia"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5DE9DC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承包人接收文件的地点：</w:t>
      </w:r>
      <w:r>
        <w:rPr>
          <w:rFonts w:ascii="Times New Roman" w:hAnsi="Times New Roman" w:eastAsia="仿宋_GB2312"/>
          <w:color w:val="000000"/>
          <w:sz w:val="24"/>
          <w:szCs w:val="24"/>
          <w:highlight w:val="none"/>
          <w:u w:val="single"/>
        </w:rPr>
        <w:t xml:space="preserve">  项目所在地承包人项目部 </w:t>
      </w:r>
      <w:r>
        <w:rPr>
          <w:rFonts w:ascii="Times New Roman" w:hAnsi="Times New Roman" w:eastAsia="仿宋_GB2312"/>
          <w:color w:val="000000"/>
          <w:sz w:val="24"/>
          <w:szCs w:val="24"/>
          <w:highlight w:val="none"/>
        </w:rPr>
        <w:t>；</w:t>
      </w:r>
    </w:p>
    <w:p w14:paraId="24FE8EB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承包人指定的接收人为：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shd w:val="clear" w:color="auto" w:fill="auto"/>
        </w:rPr>
        <w:t>项目经理</w:t>
      </w:r>
      <w:r>
        <w:rPr>
          <w:rFonts w:hint="eastAsia"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FCB8C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监理人接收文件的地点：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C5B18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监理人指定的接收人为：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A19853">
      <w:pPr>
        <w:spacing w:line="360" w:lineRule="auto"/>
        <w:jc w:val="left"/>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1.10交通运输</w:t>
      </w:r>
    </w:p>
    <w:p w14:paraId="4003E11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243" w:name="_Toc318581155"/>
      <w:bookmarkStart w:id="244" w:name="_Toc304295521"/>
      <w:bookmarkStart w:id="245" w:name="_Toc303539100"/>
      <w:bookmarkStart w:id="246" w:name="_Toc300934943"/>
      <w:bookmarkStart w:id="247" w:name="_Toc312677986"/>
      <w:r>
        <w:rPr>
          <w:rFonts w:ascii="Times New Roman" w:hAnsi="Times New Roman" w:eastAsia="仿宋_GB2312"/>
          <w:color w:val="000000"/>
          <w:sz w:val="24"/>
          <w:szCs w:val="24"/>
          <w:highlight w:val="none"/>
        </w:rPr>
        <w:t>.10.1 出入现场的权利</w:t>
      </w:r>
    </w:p>
    <w:p w14:paraId="55D4A84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关于出入现场的权利的约定：</w:t>
      </w:r>
      <w:r>
        <w:rPr>
          <w:rFonts w:ascii="Times New Roman" w:hAnsi="Times New Roman" w:eastAsia="仿宋_GB2312"/>
          <w:color w:val="000000"/>
          <w:sz w:val="24"/>
          <w:szCs w:val="24"/>
          <w:highlight w:val="none"/>
          <w:u w:val="single"/>
        </w:rPr>
        <w:t>根据施工需要，由承包方负责办理出入施工现场的相关手续、负责建设并承担相关费用</w:t>
      </w:r>
      <w:r>
        <w:rPr>
          <w:rFonts w:ascii="Times New Roman" w:hAnsi="Times New Roman" w:eastAsia="仿宋_GB2312"/>
          <w:color w:val="000000"/>
          <w:sz w:val="24"/>
          <w:szCs w:val="24"/>
          <w:highlight w:val="none"/>
        </w:rPr>
        <w:t>。</w:t>
      </w:r>
    </w:p>
    <w:bookmarkEnd w:id="243"/>
    <w:bookmarkEnd w:id="244"/>
    <w:bookmarkEnd w:id="245"/>
    <w:bookmarkEnd w:id="246"/>
    <w:bookmarkEnd w:id="247"/>
    <w:p w14:paraId="694B6A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248" w:name="_Toc304295522"/>
      <w:bookmarkStart w:id="249" w:name="_Toc312677987"/>
      <w:bookmarkStart w:id="250" w:name="_Toc303539101"/>
      <w:bookmarkStart w:id="251" w:name="_Toc300934944"/>
      <w:bookmarkStart w:id="252" w:name="_Toc318581156"/>
      <w:r>
        <w:rPr>
          <w:rFonts w:ascii="Times New Roman" w:hAnsi="Times New Roman" w:eastAsia="仿宋_GB2312"/>
          <w:color w:val="000000"/>
          <w:sz w:val="24"/>
          <w:szCs w:val="24"/>
          <w:highlight w:val="none"/>
        </w:rPr>
        <w:t>.10.3 场内交通</w:t>
      </w:r>
    </w:p>
    <w:p w14:paraId="4C05563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关于场外交通和场内交通的边界的约定：</w:t>
      </w:r>
      <w:r>
        <w:rPr>
          <w:rFonts w:ascii="Times New Roman" w:hAnsi="Times New Roman" w:eastAsia="仿宋_GB2312"/>
          <w:color w:val="000000"/>
          <w:sz w:val="24"/>
          <w:szCs w:val="24"/>
          <w:highlight w:val="none"/>
          <w:u w:val="single"/>
        </w:rPr>
        <w:t>以规划红线为边界</w:t>
      </w:r>
      <w:r>
        <w:rPr>
          <w:rFonts w:ascii="Times New Roman" w:hAnsi="Times New Roman" w:eastAsia="仿宋_GB2312"/>
          <w:color w:val="000000"/>
          <w:sz w:val="24"/>
          <w:szCs w:val="24"/>
          <w:highlight w:val="none"/>
        </w:rPr>
        <w:t>。</w:t>
      </w:r>
    </w:p>
    <w:p w14:paraId="1C9539A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关于发包人向承包人免费提供满足工程施工需要的场内道路和交通设施的约定：</w:t>
      </w:r>
      <w:r>
        <w:rPr>
          <w:rFonts w:ascii="Times New Roman" w:hAnsi="Times New Roman" w:eastAsia="仿宋_GB2312"/>
          <w:color w:val="000000"/>
          <w:sz w:val="24"/>
          <w:szCs w:val="24"/>
          <w:highlight w:val="none"/>
          <w:u w:val="single"/>
        </w:rPr>
        <w:t xml:space="preserve"> 发包方协助，承包方办理并承担相应费用</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bookmarkEnd w:id="248"/>
      <w:bookmarkEnd w:id="249"/>
      <w:bookmarkEnd w:id="250"/>
      <w:bookmarkEnd w:id="251"/>
      <w:bookmarkEnd w:id="252"/>
      <w:r>
        <w:rPr>
          <w:rFonts w:ascii="Times New Roman" w:hAnsi="Times New Roman" w:eastAsia="仿宋_GB2312"/>
          <w:color w:val="000000"/>
          <w:sz w:val="24"/>
          <w:szCs w:val="24"/>
          <w:highlight w:val="none"/>
        </w:rPr>
        <w:t xml:space="preserve">  </w:t>
      </w:r>
      <w:bookmarkStart w:id="253" w:name="_Toc318581157"/>
    </w:p>
    <w:p w14:paraId="634E3A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1.10.4超大件和超重件的运输</w:t>
      </w:r>
    </w:p>
    <w:p w14:paraId="66AAA8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运输超大件或超重件所需的道路和桥梁临时加固改造费用和其他有关费用由</w:t>
      </w:r>
      <w:r>
        <w:rPr>
          <w:rFonts w:ascii="Times New Roman" w:hAnsi="Times New Roman" w:eastAsia="仿宋_GB2312"/>
          <w:color w:val="000000"/>
          <w:sz w:val="24"/>
          <w:szCs w:val="24"/>
          <w:highlight w:val="none"/>
          <w:u w:val="single"/>
        </w:rPr>
        <w:t xml:space="preserve">   承包人  </w:t>
      </w:r>
      <w:r>
        <w:rPr>
          <w:rFonts w:ascii="Times New Roman" w:hAnsi="Times New Roman" w:eastAsia="仿宋_GB2312"/>
          <w:color w:val="000000"/>
          <w:sz w:val="24"/>
          <w:szCs w:val="24"/>
          <w:highlight w:val="none"/>
        </w:rPr>
        <w:t>承担。</w:t>
      </w:r>
    </w:p>
    <w:bookmarkEnd w:id="253"/>
    <w:p w14:paraId="38661E2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1.11 知识产权</w:t>
      </w:r>
    </w:p>
    <w:p w14:paraId="5A13B3C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00D9348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关于发包人提供的上述文件的使用限制的要求：</w:t>
      </w:r>
      <w:r>
        <w:rPr>
          <w:rFonts w:ascii="Times New Roman" w:hAnsi="Times New Roman" w:eastAsia="仿宋_GB2312"/>
          <w:color w:val="000000"/>
          <w:sz w:val="24"/>
          <w:szCs w:val="24"/>
          <w:highlight w:val="none"/>
          <w:u w:val="single"/>
        </w:rPr>
        <w:t>按通用条款执行</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E7F636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1.11.2 关于承包人为实施工程所编制文件的著作权的归属：</w:t>
      </w:r>
    </w:p>
    <w:p w14:paraId="7BE1896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按通用条款执行  </w:t>
      </w:r>
      <w:r>
        <w:rPr>
          <w:rFonts w:ascii="Times New Roman" w:hAnsi="Times New Roman" w:eastAsia="仿宋_GB2312"/>
          <w:color w:val="000000"/>
          <w:sz w:val="24"/>
          <w:szCs w:val="24"/>
          <w:highlight w:val="none"/>
        </w:rPr>
        <w:t>。</w:t>
      </w:r>
    </w:p>
    <w:p w14:paraId="714F934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关于承包人提供的上述文件的使用限制的要求：</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62CF1C3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1.11.4 承包人在施工过程中所采用的专利、专有技术、技术秘密的使用费的承担方式：</w:t>
      </w:r>
      <w:r>
        <w:rPr>
          <w:rFonts w:ascii="Times New Roman" w:hAnsi="Times New Roman" w:eastAsia="仿宋_GB2312"/>
          <w:color w:val="000000"/>
          <w:sz w:val="24"/>
          <w:szCs w:val="24"/>
          <w:highlight w:val="none"/>
          <w:u w:val="single"/>
        </w:rPr>
        <w:t xml:space="preserve">包含在合同价中  </w:t>
      </w:r>
      <w:r>
        <w:rPr>
          <w:rFonts w:ascii="Times New Roman" w:hAnsi="Times New Roman" w:eastAsia="仿宋_GB2312"/>
          <w:color w:val="000000"/>
          <w:sz w:val="24"/>
          <w:szCs w:val="24"/>
          <w:highlight w:val="none"/>
        </w:rPr>
        <w:t>。</w:t>
      </w:r>
    </w:p>
    <w:p w14:paraId="27C0C21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1.13工程量清单错误的修正</w:t>
      </w:r>
    </w:p>
    <w:p w14:paraId="410146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出现工程量清单错误时，是否调整合同价格：</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否</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3235F59">
      <w:pPr>
        <w:spacing w:line="360" w:lineRule="auto"/>
        <w:jc w:val="left"/>
        <w:rPr>
          <w:rFonts w:ascii="Times New Roman" w:hAnsi="Times New Roman" w:eastAsia="仿宋_GB2312"/>
          <w:b/>
          <w:bCs/>
          <w:color w:val="auto"/>
          <w:sz w:val="24"/>
          <w:szCs w:val="24"/>
          <w:highlight w:val="none"/>
        </w:rPr>
      </w:pPr>
      <w:bookmarkStart w:id="254" w:name="_Toc351203634"/>
      <w:r>
        <w:rPr>
          <w:rFonts w:hint="eastAsia" w:ascii="Times New Roman" w:hAnsi="Times New Roman" w:eastAsia="仿宋_GB2312"/>
          <w:color w:val="000000"/>
          <w:sz w:val="24"/>
          <w:szCs w:val="24"/>
          <w:highlight w:val="none"/>
          <w:u w:val="single"/>
        </w:rPr>
        <w:t>当工程量清单项目工程量的变化幅度在±15%（含15%）以内时，其综合单价不做调整，执行原有综合单价。当工程量清单项目工程量的变化幅度在±15%以外时，且其影响本工程分部分项工程总费用0.1%时，其综合单价应作调整，调整方法为：工程量超出15%在原综合单价下浮5%，工程量减少15%执行原综合单价，漏项按当地预算定额取费计取，管理费和利润费率按中限值计，总价下浮5%。当确认变更的费用发生争议时，施工方不得以该争议作为怠工、停工等的理由，必须正常施工</w:t>
      </w:r>
      <w:r>
        <w:rPr>
          <w:rFonts w:ascii="Times New Roman" w:hAnsi="Times New Roman" w:eastAsia="仿宋_GB2312"/>
          <w:b w:val="0"/>
          <w:bCs w:val="0"/>
          <w:color w:val="auto"/>
          <w:sz w:val="24"/>
          <w:szCs w:val="24"/>
          <w:highlight w:val="none"/>
        </w:rPr>
        <w:t>。</w:t>
      </w:r>
    </w:p>
    <w:p w14:paraId="524248F5">
      <w:pPr>
        <w:spacing w:line="360" w:lineRule="auto"/>
        <w:jc w:val="left"/>
        <w:rPr>
          <w:rFonts w:ascii="黑体" w:hAnsi="黑体" w:eastAsia="黑体"/>
          <w:b/>
          <w:bCs/>
          <w:color w:val="000000"/>
          <w:sz w:val="24"/>
          <w:szCs w:val="24"/>
          <w:highlight w:val="none"/>
        </w:rPr>
      </w:pPr>
      <w:r>
        <w:rPr>
          <w:rFonts w:ascii="黑体" w:hAnsi="黑体" w:eastAsia="黑体"/>
          <w:b/>
          <w:bCs/>
          <w:color w:val="000000"/>
          <w:sz w:val="24"/>
          <w:szCs w:val="24"/>
          <w:highlight w:val="none"/>
        </w:rPr>
        <w:t>2</w:t>
      </w:r>
      <w:bookmarkStart w:id="255" w:name="_Toc296503157"/>
      <w:bookmarkStart w:id="256" w:name="_Toc296347156"/>
      <w:bookmarkStart w:id="257" w:name="_Toc297120457"/>
      <w:bookmarkStart w:id="258" w:name="_Toc296346658"/>
      <w:bookmarkStart w:id="259" w:name="_Toc296890985"/>
      <w:bookmarkStart w:id="260" w:name="_Toc296944496"/>
      <w:bookmarkStart w:id="261" w:name="_Toc292559362"/>
      <w:bookmarkStart w:id="262" w:name="_Toc292559867"/>
      <w:bookmarkStart w:id="263" w:name="_Toc297048343"/>
      <w:bookmarkStart w:id="264" w:name="_Toc296891197"/>
      <w:r>
        <w:rPr>
          <w:rFonts w:ascii="黑体" w:hAnsi="黑体" w:eastAsia="黑体"/>
          <w:b/>
          <w:bCs/>
          <w:color w:val="000000"/>
          <w:sz w:val="24"/>
          <w:szCs w:val="24"/>
          <w:highlight w:val="none"/>
        </w:rPr>
        <w:t>. 发包人</w:t>
      </w:r>
      <w:bookmarkEnd w:id="254"/>
    </w:p>
    <w:bookmarkEnd w:id="255"/>
    <w:bookmarkEnd w:id="256"/>
    <w:bookmarkEnd w:id="257"/>
    <w:bookmarkEnd w:id="258"/>
    <w:bookmarkEnd w:id="259"/>
    <w:bookmarkEnd w:id="260"/>
    <w:bookmarkEnd w:id="261"/>
    <w:bookmarkEnd w:id="262"/>
    <w:bookmarkEnd w:id="263"/>
    <w:bookmarkEnd w:id="264"/>
    <w:p w14:paraId="4D5A74C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2.2 发包人代表</w:t>
      </w:r>
    </w:p>
    <w:p w14:paraId="72026BE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发包人代表：</w:t>
      </w:r>
    </w:p>
    <w:p w14:paraId="3C90BB2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姓    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A01018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身份证号：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AFABB5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职    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032600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6933D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F7B017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rPr>
        <w:t>。</w:t>
      </w:r>
    </w:p>
    <w:p w14:paraId="119AC6B0">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发包人对发包人代表的授权范围如下：</w:t>
      </w:r>
      <w:r>
        <w:rPr>
          <w:rFonts w:ascii="Times New Roman" w:hAnsi="Times New Roman" w:eastAsia="仿宋_GB2312"/>
          <w:color w:val="000000"/>
          <w:sz w:val="24"/>
          <w:szCs w:val="24"/>
          <w:highlight w:val="none"/>
          <w:u w:val="single"/>
        </w:rPr>
        <w:t>协调各部门工作，施工现场全过程的质量、进度、安全、投资等进行全面协调管理</w:t>
      </w:r>
      <w:r>
        <w:rPr>
          <w:rFonts w:ascii="Times New Roman" w:hAnsi="Times New Roman" w:eastAsia="仿宋_GB2312"/>
          <w:color w:val="000000"/>
          <w:sz w:val="24"/>
          <w:szCs w:val="24"/>
          <w:highlight w:val="none"/>
        </w:rPr>
        <w:t>。</w:t>
      </w:r>
    </w:p>
    <w:p w14:paraId="37B5B40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2.4 施工现场、施工条件和基础资料的提供</w:t>
      </w:r>
    </w:p>
    <w:p w14:paraId="501AB22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2.4.1 提供施工现场</w:t>
      </w:r>
    </w:p>
    <w:p w14:paraId="001C8BF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关于发包人移交施工现场的期限要求：</w:t>
      </w:r>
      <w:r>
        <w:rPr>
          <w:rFonts w:ascii="Times New Roman" w:hAnsi="Times New Roman" w:eastAsia="仿宋_GB2312"/>
          <w:color w:val="000000"/>
          <w:sz w:val="24"/>
          <w:szCs w:val="24"/>
          <w:highlight w:val="none"/>
          <w:u w:val="single"/>
        </w:rPr>
        <w:t xml:space="preserve">   开工前七</w:t>
      </w:r>
      <w:r>
        <w:rPr>
          <w:rFonts w:hint="eastAsia" w:ascii="Times New Roman" w:hAnsi="Times New Roman" w:eastAsia="仿宋_GB2312"/>
          <w:color w:val="000000"/>
          <w:sz w:val="24"/>
          <w:szCs w:val="24"/>
          <w:highlight w:val="none"/>
          <w:u w:val="single"/>
          <w:lang w:val="en-US" w:eastAsia="zh-CN"/>
        </w:rPr>
        <w:t>天</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31D911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2.4.2 提供施工条件</w:t>
      </w:r>
    </w:p>
    <w:p w14:paraId="6C819F96">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关于发包人应负责提供施工所需要的条件，包括：</w:t>
      </w:r>
      <w:r>
        <w:rPr>
          <w:rFonts w:ascii="Times New Roman" w:hAnsi="Times New Roman" w:eastAsia="仿宋_GB2312"/>
          <w:color w:val="000000"/>
          <w:sz w:val="24"/>
          <w:szCs w:val="24"/>
          <w:highlight w:val="none"/>
          <w:u w:val="single"/>
        </w:rPr>
        <w:t>发包人协调，承包人完成，费用包含在合同价中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1CC675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2.5 资金来源证明及支付担保</w:t>
      </w:r>
    </w:p>
    <w:p w14:paraId="0DEB87C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发包人提供资金来源证明的期限要求：</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64EF2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发包人是否提供支付担保：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2D6B9CF">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发包人提供支付担保的形式：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9557567">
      <w:pPr>
        <w:spacing w:line="360" w:lineRule="auto"/>
        <w:jc w:val="left"/>
        <w:rPr>
          <w:rFonts w:ascii="黑体" w:hAnsi="黑体" w:eastAsia="黑体"/>
          <w:b/>
          <w:bCs/>
          <w:color w:val="000000"/>
          <w:sz w:val="24"/>
          <w:szCs w:val="24"/>
          <w:highlight w:val="none"/>
        </w:rPr>
      </w:pPr>
      <w:bookmarkStart w:id="265" w:name="_Toc351203635"/>
      <w:r>
        <w:rPr>
          <w:rFonts w:ascii="黑体" w:hAnsi="黑体" w:eastAsia="黑体"/>
          <w:b/>
          <w:bCs/>
          <w:color w:val="000000"/>
          <w:sz w:val="24"/>
          <w:szCs w:val="24"/>
          <w:highlight w:val="none"/>
        </w:rPr>
        <w:t>3</w:t>
      </w:r>
      <w:bookmarkStart w:id="266" w:name="_Toc296891198"/>
      <w:bookmarkStart w:id="267" w:name="_Toc296347157"/>
      <w:bookmarkStart w:id="268" w:name="_Toc296346659"/>
      <w:bookmarkStart w:id="269" w:name="_Toc292559363"/>
      <w:bookmarkStart w:id="270" w:name="_Toc297048344"/>
      <w:bookmarkStart w:id="271" w:name="_Toc296890986"/>
      <w:bookmarkStart w:id="272" w:name="_Toc292559868"/>
      <w:bookmarkStart w:id="273" w:name="_Toc296944497"/>
      <w:bookmarkStart w:id="274" w:name="_Toc297120458"/>
      <w:bookmarkStart w:id="275" w:name="_Toc296503158"/>
      <w:r>
        <w:rPr>
          <w:rFonts w:ascii="黑体" w:hAnsi="黑体" w:eastAsia="黑体"/>
          <w:b/>
          <w:bCs/>
          <w:color w:val="000000"/>
          <w:sz w:val="24"/>
          <w:szCs w:val="24"/>
          <w:highlight w:val="none"/>
        </w:rPr>
        <w:t>. 承包人</w:t>
      </w:r>
      <w:bookmarkEnd w:id="265"/>
    </w:p>
    <w:bookmarkEnd w:id="266"/>
    <w:bookmarkEnd w:id="267"/>
    <w:bookmarkEnd w:id="268"/>
    <w:bookmarkEnd w:id="269"/>
    <w:bookmarkEnd w:id="270"/>
    <w:bookmarkEnd w:id="271"/>
    <w:bookmarkEnd w:id="272"/>
    <w:bookmarkEnd w:id="273"/>
    <w:bookmarkEnd w:id="274"/>
    <w:bookmarkEnd w:id="275"/>
    <w:p w14:paraId="4B49EDD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3.1 承包人的一般义务</w:t>
      </w:r>
    </w:p>
    <w:p w14:paraId="24EC71E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9</w:t>
      </w:r>
      <w:r>
        <w:rPr>
          <w:rFonts w:ascii="Times New Roman" w:hAnsi="Times New Roman" w:eastAsia="仿宋_GB2312"/>
          <w:color w:val="000000"/>
          <w:sz w:val="24"/>
          <w:szCs w:val="24"/>
          <w:highlight w:val="none"/>
        </w:rPr>
        <w:t>）承包人提交的竣工资料的内容：</w:t>
      </w:r>
      <w:r>
        <w:rPr>
          <w:rFonts w:ascii="Times New Roman" w:hAnsi="Times New Roman" w:eastAsia="仿宋_GB2312"/>
          <w:color w:val="000000"/>
          <w:sz w:val="24"/>
          <w:szCs w:val="24"/>
          <w:highlight w:val="none"/>
          <w:u w:val="single"/>
        </w:rPr>
        <w:t>符合城建档案馆要求</w:t>
      </w:r>
      <w:r>
        <w:rPr>
          <w:rFonts w:ascii="Times New Roman" w:hAnsi="Times New Roman" w:eastAsia="仿宋_GB2312"/>
          <w:color w:val="000000"/>
          <w:sz w:val="24"/>
          <w:szCs w:val="24"/>
          <w:highlight w:val="none"/>
        </w:rPr>
        <w:t>。</w:t>
      </w:r>
    </w:p>
    <w:p w14:paraId="610A7C35">
      <w:pPr>
        <w:spacing w:line="360" w:lineRule="auto"/>
        <w:jc w:val="left"/>
        <w:rPr>
          <w:rFonts w:ascii="Times New Roman" w:hAnsi="Times New Roman" w:eastAsia="仿宋_GB2312"/>
          <w:b/>
          <w:color w:val="000000"/>
          <w:sz w:val="24"/>
          <w:szCs w:val="24"/>
          <w:highlight w:val="none"/>
        </w:rPr>
      </w:pPr>
      <w:r>
        <w:rPr>
          <w:rFonts w:ascii="Times New Roman" w:hAnsi="Times New Roman" w:eastAsia="仿宋_GB2312"/>
          <w:color w:val="000000"/>
          <w:sz w:val="24"/>
          <w:szCs w:val="24"/>
          <w:highlight w:val="none"/>
        </w:rPr>
        <w:t>承包人需要提交的竣工资料套数：</w:t>
      </w:r>
      <w:r>
        <w:rPr>
          <w:rFonts w:hint="eastAsia" w:ascii="Times New Roman" w:hAnsi="Times New Roman" w:eastAsia="仿宋_GB2312"/>
          <w:color w:val="000000"/>
          <w:sz w:val="24"/>
          <w:szCs w:val="24"/>
          <w:highlight w:val="none"/>
          <w:u w:val="single"/>
          <w:lang w:eastAsia="zh-CN"/>
        </w:rPr>
        <w:t>原件八套</w:t>
      </w:r>
      <w:r>
        <w:rPr>
          <w:rFonts w:ascii="Times New Roman" w:hAnsi="Times New Roman" w:eastAsia="仿宋_GB2312"/>
          <w:color w:val="000000"/>
          <w:sz w:val="24"/>
          <w:szCs w:val="24"/>
          <w:highlight w:val="none"/>
        </w:rPr>
        <w:t>。</w:t>
      </w:r>
    </w:p>
    <w:p w14:paraId="26226AB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承包人提交的竣工资料的费用承担：</w:t>
      </w:r>
      <w:r>
        <w:rPr>
          <w:rFonts w:ascii="Times New Roman" w:hAnsi="Times New Roman" w:eastAsia="仿宋_GB2312"/>
          <w:color w:val="000000"/>
          <w:sz w:val="24"/>
          <w:szCs w:val="24"/>
          <w:highlight w:val="none"/>
          <w:u w:val="single"/>
        </w:rPr>
        <w:t xml:space="preserve">由承包人承担 </w:t>
      </w:r>
      <w:r>
        <w:rPr>
          <w:rFonts w:ascii="Times New Roman" w:hAnsi="Times New Roman" w:eastAsia="仿宋_GB2312"/>
          <w:color w:val="000000"/>
          <w:sz w:val="24"/>
          <w:szCs w:val="24"/>
          <w:highlight w:val="none"/>
        </w:rPr>
        <w:t>。</w:t>
      </w:r>
    </w:p>
    <w:p w14:paraId="79FCA61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承包人提交的竣工资料移交时间：</w:t>
      </w:r>
      <w:r>
        <w:rPr>
          <w:rFonts w:ascii="Times New Roman" w:hAnsi="Times New Roman" w:eastAsia="仿宋_GB2312"/>
          <w:color w:val="000000"/>
          <w:sz w:val="24"/>
          <w:szCs w:val="24"/>
          <w:highlight w:val="none"/>
          <w:u w:val="single"/>
        </w:rPr>
        <w:t>工程竣工验收合格后1个月内</w:t>
      </w:r>
      <w:r>
        <w:rPr>
          <w:rFonts w:ascii="Times New Roman" w:hAnsi="Times New Roman" w:eastAsia="仿宋_GB2312"/>
          <w:color w:val="000000"/>
          <w:sz w:val="24"/>
          <w:szCs w:val="24"/>
          <w:highlight w:val="none"/>
        </w:rPr>
        <w:t>。</w:t>
      </w:r>
    </w:p>
    <w:p w14:paraId="5F3D054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承包人提交的竣工资料形式要求：</w:t>
      </w:r>
      <w:r>
        <w:rPr>
          <w:rFonts w:ascii="Times New Roman" w:hAnsi="Times New Roman" w:eastAsia="仿宋_GB2312"/>
          <w:color w:val="000000"/>
          <w:sz w:val="24"/>
          <w:szCs w:val="24"/>
          <w:highlight w:val="none"/>
          <w:u w:val="single"/>
        </w:rPr>
        <w:t xml:space="preserve">  书面和电子文档  </w:t>
      </w:r>
      <w:r>
        <w:rPr>
          <w:rFonts w:ascii="Times New Roman" w:hAnsi="Times New Roman" w:eastAsia="仿宋_GB2312"/>
          <w:color w:val="000000"/>
          <w:sz w:val="24"/>
          <w:szCs w:val="24"/>
          <w:highlight w:val="none"/>
        </w:rPr>
        <w:t>。</w:t>
      </w:r>
    </w:p>
    <w:p w14:paraId="5F1431B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10</w:t>
      </w:r>
      <w:r>
        <w:rPr>
          <w:rFonts w:ascii="Times New Roman" w:hAnsi="Times New Roman" w:eastAsia="仿宋_GB2312"/>
          <w:color w:val="000000"/>
          <w:sz w:val="24"/>
          <w:szCs w:val="24"/>
          <w:highlight w:val="none"/>
        </w:rPr>
        <w:t>）承包人应履行的其他义务：</w:t>
      </w:r>
      <w:r>
        <w:rPr>
          <w:rFonts w:ascii="Times New Roman" w:hAnsi="Times New Roman" w:eastAsia="仿宋_GB2312"/>
          <w:color w:val="000000"/>
          <w:sz w:val="24"/>
          <w:szCs w:val="24"/>
          <w:highlight w:val="none"/>
          <w:u w:val="single"/>
        </w:rPr>
        <w:t>1</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配合发包人办理项目前期手续；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2</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配合发包人办理施工过程所需手续；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3</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配合发包人办理竣工验收手续；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4</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配合发包人办理其他相关手续；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配合费用均含在合同价中</w:t>
      </w:r>
      <w:r>
        <w:rPr>
          <w:rFonts w:ascii="Times New Roman" w:hAnsi="Times New Roman" w:eastAsia="仿宋_GB2312"/>
          <w:color w:val="000000"/>
          <w:sz w:val="24"/>
          <w:szCs w:val="24"/>
          <w:highlight w:val="none"/>
        </w:rPr>
        <w:t>。</w:t>
      </w:r>
    </w:p>
    <w:p w14:paraId="5893437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3.2 项目经理</w:t>
      </w:r>
    </w:p>
    <w:p w14:paraId="688A49F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3.2.1 项目经理：</w:t>
      </w:r>
    </w:p>
    <w:p w14:paraId="5AB493D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姓    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66784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身份证号：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EF331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建造师执业资格等级：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5456EFA">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建造师注册证书号：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A5E98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建造师执业印章号：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0E117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安全生产考核合格证书号：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0A8D2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EFFF2A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5B1210E">
      <w:pPr>
        <w:keepNext w:val="0"/>
        <w:keepLines w:val="0"/>
        <w:pageBreakBefore w:val="0"/>
        <w:widowControl w:val="0"/>
        <w:kinsoku/>
        <w:wordWrap/>
        <w:overflowPunct/>
        <w:topLinePunct w:val="0"/>
        <w:autoSpaceDE/>
        <w:autoSpaceDN/>
        <w:bidi w:val="0"/>
        <w:adjustRightInd/>
        <w:snapToGrid/>
        <w:spacing w:line="500" w:lineRule="exact"/>
        <w:ind w:left="5400" w:hanging="4320" w:hangingChars="1800"/>
        <w:jc w:val="left"/>
        <w:textAlignment w:val="auto"/>
        <w:outlineLvl w:val="9"/>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s="Times New Roman"/>
          <w:color w:val="000000"/>
          <w:w w:val="90"/>
          <w:sz w:val="24"/>
          <w:szCs w:val="24"/>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311A09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承包人对项目经理的授权范围如下：</w:t>
      </w:r>
      <w:r>
        <w:rPr>
          <w:rFonts w:ascii="Times New Roman" w:hAnsi="Times New Roman" w:eastAsia="仿宋_GB2312"/>
          <w:color w:val="000000"/>
          <w:sz w:val="24"/>
          <w:szCs w:val="24"/>
          <w:highlight w:val="none"/>
          <w:u w:val="single"/>
        </w:rPr>
        <w:t xml:space="preserve">    执行通用条款     </w:t>
      </w:r>
      <w:r>
        <w:rPr>
          <w:rFonts w:ascii="Times New Roman" w:hAnsi="Times New Roman" w:eastAsia="仿宋_GB2312"/>
          <w:color w:val="000000"/>
          <w:sz w:val="24"/>
          <w:szCs w:val="24"/>
          <w:highlight w:val="none"/>
        </w:rPr>
        <w:t>。</w:t>
      </w:r>
    </w:p>
    <w:p w14:paraId="201F326E">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关于项目每月在施工现场的时间要求：</w:t>
      </w:r>
      <w:r>
        <w:rPr>
          <w:rFonts w:hint="eastAsia" w:ascii="Times New Roman" w:hAnsi="Times New Roman" w:eastAsia="仿宋_GB2312"/>
          <w:color w:val="000000"/>
          <w:sz w:val="24"/>
          <w:szCs w:val="24"/>
          <w:highlight w:val="none"/>
          <w:u w:val="single"/>
        </w:rPr>
        <w:t>项目经理和主要项目管理人员在施工期间现场时间每月不得小于28天，不足以上时限的，按照不履行招标文件及合同约定缴纳违约金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color w:val="000000"/>
          <w:sz w:val="24"/>
          <w:szCs w:val="24"/>
          <w:highlight w:val="none"/>
        </w:rPr>
        <w:t>。</w:t>
      </w:r>
    </w:p>
    <w:p w14:paraId="3CB79D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承包人未提交劳动合同，以及没有为项目经理缴纳社会保险证明的违约责任：</w:t>
      </w:r>
      <w:r>
        <w:rPr>
          <w:rFonts w:hint="eastAsia" w:ascii="Times New Roman" w:hAnsi="Times New Roman" w:eastAsia="仿宋_GB2312"/>
          <w:color w:val="000000"/>
          <w:sz w:val="24"/>
          <w:szCs w:val="24"/>
          <w:highlight w:val="none"/>
          <w:u w:val="single"/>
        </w:rPr>
        <w:t>向业主缴纳违约金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元，责令限期提交劳动合同并补缴社会保险</w:t>
      </w:r>
      <w:r>
        <w:rPr>
          <w:rFonts w:ascii="Times New Roman" w:hAnsi="Times New Roman" w:eastAsia="仿宋_GB2312"/>
          <w:color w:val="000000"/>
          <w:sz w:val="24"/>
          <w:szCs w:val="24"/>
          <w:highlight w:val="none"/>
        </w:rPr>
        <w:t>。</w:t>
      </w:r>
    </w:p>
    <w:p w14:paraId="7ECB077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项目经理未经批准，擅自离开施工现场的违约责任：</w:t>
      </w:r>
      <w:r>
        <w:rPr>
          <w:rFonts w:hint="eastAsia" w:ascii="Times New Roman" w:hAnsi="Times New Roman" w:eastAsia="仿宋_GB2312"/>
          <w:color w:val="000000"/>
          <w:sz w:val="24"/>
          <w:szCs w:val="24"/>
          <w:highlight w:val="none"/>
          <w:u w:val="single"/>
        </w:rPr>
        <w:t>项目经理未经批准擅自离场的，超过24小时的，按照不履行合同约定缴纳违约金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元；超过72小时的，建设方有权更换项目经理，并按照不履行招标文件及合同约定扣除</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w:t>
      </w:r>
      <w:r>
        <w:rPr>
          <w:rFonts w:ascii="Times New Roman" w:hAnsi="Times New Roman" w:eastAsia="仿宋_GB2312"/>
          <w:color w:val="000000"/>
          <w:sz w:val="24"/>
          <w:szCs w:val="24"/>
          <w:highlight w:val="none"/>
        </w:rPr>
        <w:t>。</w:t>
      </w:r>
    </w:p>
    <w:p w14:paraId="63D9E0ED">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3.2.3 承包人擅自更换项目经理的违约责任：</w:t>
      </w:r>
      <w:r>
        <w:rPr>
          <w:rFonts w:hint="eastAsia" w:ascii="Times New Roman" w:hAnsi="Times New Roman" w:eastAsia="仿宋_GB2312"/>
          <w:color w:val="000000"/>
          <w:sz w:val="24"/>
          <w:szCs w:val="24"/>
          <w:highlight w:val="none"/>
          <w:u w:val="single"/>
        </w:rPr>
        <w:t>项目负责人的姓名、等级在专用条款内写明，且不得随意更换项目负责人，若更换项目负责人需向业主缴纳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元违约金，承包人承担上述违约给发包人造成的一切损失 ；若因特殊原因需更换项目负责人的，由承包人提前7日向建设方提出书面申请，将以资质业绩以及信誉不得低于此项目负责人的人员替换，并报业主审查，经审查通过，向业主缴纳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元（人民币）违约金后，方可更换</w:t>
      </w:r>
      <w:r>
        <w:rPr>
          <w:rFonts w:ascii="Times New Roman" w:hAnsi="Times New Roman" w:eastAsia="仿宋_GB2312"/>
          <w:color w:val="000000"/>
          <w:sz w:val="24"/>
          <w:szCs w:val="24"/>
          <w:highlight w:val="none"/>
        </w:rPr>
        <w:t>。</w:t>
      </w:r>
    </w:p>
    <w:p w14:paraId="07B71EC8">
      <w:pPr>
        <w:spacing w:line="360" w:lineRule="auto"/>
        <w:ind w:firstLine="6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3.2.4 承包人无正当理由拒绝更换项目经理的违约责任：</w:t>
      </w:r>
      <w:r>
        <w:rPr>
          <w:rFonts w:hint="eastAsia" w:ascii="Times New Roman" w:hAnsi="Times New Roman" w:eastAsia="仿宋_GB2312"/>
          <w:color w:val="000000"/>
          <w:sz w:val="24"/>
          <w:szCs w:val="24"/>
          <w:highlight w:val="none"/>
          <w:u w:val="single"/>
        </w:rPr>
        <w:t>需缴纳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元违约金，承包人承担上述违约给发包人造成的一切损失</w:t>
      </w:r>
      <w:r>
        <w:rPr>
          <w:rFonts w:ascii="Times New Roman" w:hAnsi="Times New Roman" w:eastAsia="仿宋_GB2312"/>
          <w:color w:val="000000"/>
          <w:sz w:val="24"/>
          <w:szCs w:val="24"/>
          <w:highlight w:val="none"/>
        </w:rPr>
        <w:t>。</w:t>
      </w:r>
    </w:p>
    <w:p w14:paraId="30C03180">
      <w:pPr>
        <w:pStyle w:val="15"/>
        <w:ind w:firstLine="480" w:firstLineChars="200"/>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3.2.5  上述违约责任可以叠加适用。</w:t>
      </w:r>
    </w:p>
    <w:p w14:paraId="1FFFBCD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3.3 承包人人员</w:t>
      </w:r>
    </w:p>
    <w:p w14:paraId="57775F6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3.3.1 承包人提交项目管理机构及施工现场管理人员安排报告的期限：</w:t>
      </w:r>
      <w:r>
        <w:rPr>
          <w:rFonts w:hint="eastAsia" w:ascii="Times New Roman" w:hAnsi="Times New Roman" w:eastAsia="仿宋_GB2312"/>
          <w:color w:val="000000"/>
          <w:sz w:val="24"/>
          <w:szCs w:val="24"/>
          <w:highlight w:val="none"/>
          <w:u w:val="single"/>
        </w:rPr>
        <w:t>开工前三天；承包人的项目管理机构应当具有与承包工程规模、技术复杂程度相适应的技术、管理人员，其中：商务标中约定的项目经理、项目工程师、质量管理员、安全管理员、资料员、预算员必须为本单位自有人员，不允许临时挂靠人员参与中标工程建设</w:t>
      </w:r>
      <w:r>
        <w:rPr>
          <w:rFonts w:ascii="Times New Roman" w:hAnsi="Times New Roman" w:eastAsia="仿宋_GB2312"/>
          <w:color w:val="000000"/>
          <w:sz w:val="24"/>
          <w:szCs w:val="24"/>
          <w:highlight w:val="none"/>
        </w:rPr>
        <w:t>。</w:t>
      </w:r>
    </w:p>
    <w:p w14:paraId="65B3B952">
      <w:pPr>
        <w:pStyle w:val="14"/>
        <w:rPr>
          <w:rFonts w:hint="eastAsia" w:ascii="Times New Roman" w:hAnsi="Times New Roman" w:eastAsia="仿宋_GB2312"/>
          <w:color w:val="000000"/>
          <w:kern w:val="2"/>
          <w:sz w:val="24"/>
          <w:szCs w:val="24"/>
          <w:highlight w:val="none"/>
          <w:u w:val="single"/>
          <w:lang w:val="en-US" w:eastAsia="zh-CN" w:bidi="ar-SA"/>
        </w:rPr>
      </w:pPr>
      <w:r>
        <w:rPr>
          <w:rFonts w:hint="eastAsia" w:ascii="Times New Roman" w:hAnsi="Times New Roman" w:eastAsia="仿宋_GB2312"/>
          <w:color w:val="000000"/>
          <w:kern w:val="2"/>
          <w:sz w:val="24"/>
          <w:szCs w:val="24"/>
          <w:highlight w:val="none"/>
          <w:u w:val="single"/>
          <w:lang w:val="en-US" w:eastAsia="zh-CN" w:bidi="ar-SA"/>
        </w:rPr>
        <w:t>若承包人违约使用临时挂靠人员，则发包人有权要求更换</w:t>
      </w:r>
      <w:r>
        <w:rPr>
          <w:rFonts w:hint="eastAsia" w:ascii="Times New Roman" w:hAnsi="Times New Roman" w:eastAsia="仿宋_GB2312"/>
          <w:color w:val="000000"/>
          <w:kern w:val="2"/>
          <w:sz w:val="24"/>
          <w:szCs w:val="24"/>
          <w:highlight w:val="none"/>
          <w:u w:val="none"/>
          <w:lang w:val="en-US" w:eastAsia="zh-CN" w:bidi="ar-SA"/>
        </w:rPr>
        <w:t>。</w:t>
      </w:r>
    </w:p>
    <w:p w14:paraId="6AE63C6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3.3.3 承包人无正当理由拒绝撤换主要施工管理人员的违约责任：</w:t>
      </w:r>
      <w:r>
        <w:rPr>
          <w:rFonts w:hint="eastAsia" w:ascii="Times New Roman" w:hAnsi="Times New Roman" w:eastAsia="仿宋_GB2312"/>
          <w:color w:val="000000"/>
          <w:sz w:val="24"/>
          <w:szCs w:val="24"/>
          <w:highlight w:val="none"/>
          <w:u w:val="single"/>
        </w:rPr>
        <w:t>需缴纳</w:t>
      </w:r>
      <w:r>
        <w:rPr>
          <w:rFonts w:hint="eastAsia" w:ascii="Times New Roman" w:hAnsi="Times New Roman" w:eastAsia="仿宋_GB2312"/>
          <w:color w:val="000000"/>
          <w:sz w:val="24"/>
          <w:szCs w:val="24"/>
          <w:highlight w:val="none"/>
          <w:u w:val="single"/>
          <w:lang w:val="en-US" w:eastAsia="zh-CN"/>
        </w:rPr>
        <w:t>1000</w:t>
      </w:r>
      <w:r>
        <w:rPr>
          <w:rFonts w:ascii="Times New Roman" w:hAnsi="Times New Roman" w:eastAsia="仿宋_GB2312"/>
          <w:color w:val="000000"/>
          <w:sz w:val="24"/>
          <w:szCs w:val="24"/>
          <w:highlight w:val="none"/>
          <w:u w:val="single"/>
        </w:rPr>
        <w:t>元</w:t>
      </w:r>
      <w:r>
        <w:rPr>
          <w:rFonts w:hint="eastAsia" w:ascii="Times New Roman" w:hAnsi="Times New Roman" w:eastAsia="仿宋_GB2312"/>
          <w:color w:val="000000"/>
          <w:sz w:val="24"/>
          <w:szCs w:val="24"/>
          <w:highlight w:val="none"/>
          <w:u w:val="single"/>
        </w:rPr>
        <w:t>违约金</w:t>
      </w:r>
      <w:r>
        <w:rPr>
          <w:rFonts w:ascii="Times New Roman" w:hAnsi="Times New Roman" w:eastAsia="仿宋_GB2312"/>
          <w:color w:val="000000"/>
          <w:sz w:val="24"/>
          <w:szCs w:val="24"/>
          <w:highlight w:val="none"/>
          <w:u w:val="single"/>
        </w:rPr>
        <w:t>，承包人承担上述违约给发包人造成的一切损失</w:t>
      </w:r>
      <w:r>
        <w:rPr>
          <w:rFonts w:ascii="Times New Roman" w:hAnsi="Times New Roman" w:eastAsia="仿宋_GB2312"/>
          <w:color w:val="000000"/>
          <w:sz w:val="24"/>
          <w:szCs w:val="24"/>
          <w:highlight w:val="none"/>
        </w:rPr>
        <w:t>。</w:t>
      </w:r>
    </w:p>
    <w:p w14:paraId="0C0ECE4B">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3.3.4 承包人主要施工管理人员离开施工现场的批准要求：</w:t>
      </w:r>
      <w:r>
        <w:rPr>
          <w:rFonts w:ascii="Times New Roman" w:hAnsi="Times New Roman" w:eastAsia="仿宋_GB2312"/>
          <w:b/>
          <w:bCs/>
          <w:color w:val="000000"/>
          <w:sz w:val="24"/>
          <w:szCs w:val="24"/>
          <w:highlight w:val="none"/>
        </w:rPr>
        <w:t xml:space="preserve">          </w:t>
      </w:r>
      <w:r>
        <w:rPr>
          <w:rFonts w:ascii="Times New Roman" w:hAnsi="Times New Roman" w:eastAsia="仿宋_GB2312"/>
          <w:b/>
          <w:bCs/>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施工单位主要项目管理人员应严格按照合同通用条款约定的在场时限组织施工，不得擅自离场，确需特殊原因离场的，应提前1日向现场监理及</w:t>
      </w:r>
      <w:r>
        <w:rPr>
          <w:rFonts w:hint="eastAsia" w:ascii="Times New Roman" w:hAnsi="Times New Roman" w:eastAsia="仿宋_GB2312"/>
          <w:color w:val="000000"/>
          <w:sz w:val="24"/>
          <w:szCs w:val="24"/>
          <w:highlight w:val="none"/>
          <w:u w:val="single"/>
          <w:lang w:val="en-US" w:eastAsia="zh-CN"/>
        </w:rPr>
        <w:t>发包人代表</w:t>
      </w:r>
      <w:r>
        <w:rPr>
          <w:rFonts w:hint="eastAsia" w:ascii="Times New Roman" w:hAnsi="Times New Roman" w:eastAsia="仿宋_GB2312"/>
          <w:color w:val="000000"/>
          <w:sz w:val="24"/>
          <w:szCs w:val="24"/>
          <w:highlight w:val="none"/>
          <w:u w:val="single"/>
        </w:rPr>
        <w:t>提出书面申请，且离场时间不能超过24小时</w:t>
      </w:r>
      <w:r>
        <w:rPr>
          <w:rFonts w:ascii="Times New Roman" w:hAnsi="Times New Roman" w:eastAsia="仿宋_GB2312"/>
          <w:b w:val="0"/>
          <w:bCs w:val="0"/>
          <w:color w:val="000000"/>
          <w:sz w:val="24"/>
          <w:szCs w:val="24"/>
          <w:highlight w:val="none"/>
        </w:rPr>
        <w:t>。</w:t>
      </w:r>
    </w:p>
    <w:p w14:paraId="3F01AAD4">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3.3.5承包人擅自更换主要施工管理人员的违约责任：</w:t>
      </w:r>
      <w:r>
        <w:rPr>
          <w:rFonts w:hint="eastAsia" w:ascii="Times New Roman" w:hAnsi="Times New Roman" w:eastAsia="仿宋_GB2312"/>
          <w:color w:val="000000"/>
          <w:sz w:val="24"/>
          <w:szCs w:val="24"/>
          <w:highlight w:val="none"/>
          <w:u w:val="single"/>
        </w:rPr>
        <w:t>施工单位项目经理和项目管理人员原则上不准更换，确需特殊原因更换的，需提前7日向</w:t>
      </w:r>
      <w:r>
        <w:rPr>
          <w:rFonts w:hint="eastAsia" w:ascii="Times New Roman" w:hAnsi="Times New Roman" w:eastAsia="仿宋_GB2312"/>
          <w:color w:val="000000"/>
          <w:sz w:val="24"/>
          <w:szCs w:val="24"/>
          <w:highlight w:val="none"/>
          <w:u w:val="single"/>
          <w:lang w:eastAsia="zh-CN"/>
        </w:rPr>
        <w:t>发包人</w:t>
      </w:r>
      <w:r>
        <w:rPr>
          <w:rFonts w:hint="eastAsia" w:ascii="Times New Roman" w:hAnsi="Times New Roman" w:eastAsia="仿宋_GB2312"/>
          <w:color w:val="000000"/>
          <w:sz w:val="24"/>
          <w:szCs w:val="24"/>
          <w:highlight w:val="none"/>
          <w:u w:val="single"/>
        </w:rPr>
        <w:t>提出书面申请，且更换人员资历及信誉不得低于商务标约定人员；其中，更换项目经理或项目工程师的需缴纳违约金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元，更换其他人员的需每人缴纳违约金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b w:val="0"/>
          <w:bCs w:val="0"/>
          <w:color w:val="000000"/>
          <w:sz w:val="24"/>
          <w:szCs w:val="24"/>
          <w:highlight w:val="none"/>
        </w:rPr>
        <w:t>。</w:t>
      </w:r>
    </w:p>
    <w:p w14:paraId="5FD8B872">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承包人主要施工管理人员擅自离开施工现场的违约责任：</w:t>
      </w:r>
      <w:r>
        <w:rPr>
          <w:rFonts w:ascii="Times New Roman" w:hAnsi="Times New Roman" w:eastAsia="仿宋_GB2312"/>
          <w:color w:val="000000"/>
          <w:sz w:val="24"/>
          <w:szCs w:val="24"/>
          <w:highlight w:val="none"/>
          <w:u w:val="single"/>
        </w:rPr>
        <w:t>主要项目管理人员未经批准擅自离场的，超过24小时的，按照不履行合同约定缴纳违约金2万元；超过72小时的，</w:t>
      </w:r>
      <w:r>
        <w:rPr>
          <w:rFonts w:hint="eastAsia" w:ascii="Times New Roman" w:hAnsi="Times New Roman" w:eastAsia="仿宋_GB2312"/>
          <w:color w:val="000000"/>
          <w:sz w:val="24"/>
          <w:szCs w:val="24"/>
          <w:highlight w:val="none"/>
          <w:u w:val="single"/>
          <w:lang w:eastAsia="zh-CN"/>
        </w:rPr>
        <w:t>建设方</w:t>
      </w:r>
      <w:r>
        <w:rPr>
          <w:rFonts w:ascii="Times New Roman" w:hAnsi="Times New Roman" w:eastAsia="仿宋_GB2312"/>
          <w:color w:val="000000"/>
          <w:sz w:val="24"/>
          <w:szCs w:val="24"/>
          <w:highlight w:val="none"/>
          <w:u w:val="single"/>
        </w:rPr>
        <w:t>有权更换项目经理，并按照不履行招标文件及合同约定扣除</w:t>
      </w:r>
      <w:r>
        <w:rPr>
          <w:rFonts w:hint="eastAsia" w:ascii="Times New Roman" w:hAnsi="Times New Roman" w:eastAsia="仿宋_GB2312"/>
          <w:color w:val="000000"/>
          <w:sz w:val="24"/>
          <w:szCs w:val="24"/>
          <w:highlight w:val="none"/>
          <w:u w:val="single"/>
          <w:lang w:val="en-US" w:eastAsia="zh-CN"/>
        </w:rPr>
        <w:t>5000</w:t>
      </w:r>
      <w:r>
        <w:rPr>
          <w:rFonts w:ascii="Times New Roman" w:hAnsi="Times New Roman" w:eastAsia="仿宋_GB2312"/>
          <w:color w:val="000000"/>
          <w:sz w:val="24"/>
          <w:szCs w:val="24"/>
          <w:highlight w:val="none"/>
          <w:u w:val="single"/>
        </w:rPr>
        <w:t>元违约金</w:t>
      </w:r>
      <w:r>
        <w:rPr>
          <w:rFonts w:ascii="Times New Roman" w:hAnsi="Times New Roman" w:eastAsia="仿宋_GB2312"/>
          <w:color w:val="000000"/>
          <w:sz w:val="24"/>
          <w:szCs w:val="24"/>
          <w:highlight w:val="none"/>
        </w:rPr>
        <w:t>。</w:t>
      </w:r>
    </w:p>
    <w:p w14:paraId="404FE92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w:t>
      </w:r>
      <w:bookmarkStart w:id="276" w:name="_Toc312677988"/>
      <w:bookmarkStart w:id="277" w:name="_Toc297048345"/>
      <w:bookmarkStart w:id="278" w:name="_Toc303539102"/>
      <w:bookmarkStart w:id="279" w:name="_Toc296890987"/>
      <w:bookmarkStart w:id="280" w:name="_Toc296346660"/>
      <w:bookmarkStart w:id="281" w:name="_Toc297120459"/>
      <w:bookmarkStart w:id="282" w:name="_Toc296503159"/>
      <w:bookmarkStart w:id="283" w:name="_Toc300934945"/>
      <w:bookmarkStart w:id="284" w:name="_Toc292559869"/>
      <w:bookmarkStart w:id="285" w:name="_Toc297123492"/>
      <w:bookmarkStart w:id="286" w:name="_Toc296891199"/>
      <w:bookmarkStart w:id="287" w:name="_Toc297216151"/>
      <w:bookmarkStart w:id="288" w:name="_Toc296347158"/>
      <w:bookmarkStart w:id="289" w:name="_Toc304295523"/>
      <w:bookmarkStart w:id="290" w:name="_Toc292559364"/>
      <w:bookmarkStart w:id="291" w:name="_Toc296944498"/>
      <w:r>
        <w:rPr>
          <w:rFonts w:ascii="黑体" w:hAnsi="黑体" w:eastAsia="黑体"/>
          <w:color w:val="000000"/>
          <w:sz w:val="24"/>
          <w:szCs w:val="24"/>
          <w:highlight w:val="none"/>
        </w:rPr>
        <w:t>.5 分包</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38FEA03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bookmarkStart w:id="292" w:name="_Toc292559365"/>
      <w:bookmarkStart w:id="293" w:name="_Toc297123493"/>
      <w:bookmarkStart w:id="294" w:name="_Toc296944499"/>
      <w:bookmarkStart w:id="295" w:name="_Toc303539103"/>
      <w:bookmarkStart w:id="296" w:name="_Toc297120460"/>
      <w:bookmarkStart w:id="297" w:name="_Toc296890988"/>
      <w:bookmarkStart w:id="298" w:name="_Toc296891200"/>
      <w:bookmarkStart w:id="299" w:name="_Toc297048346"/>
      <w:bookmarkStart w:id="300" w:name="_Toc297216152"/>
      <w:bookmarkStart w:id="301" w:name="_Toc296347159"/>
      <w:bookmarkStart w:id="302" w:name="_Toc304295524"/>
      <w:bookmarkStart w:id="303" w:name="_Toc296503160"/>
      <w:bookmarkStart w:id="304" w:name="_Toc300934946"/>
      <w:bookmarkStart w:id="305" w:name="_Toc296346661"/>
      <w:bookmarkStart w:id="306" w:name="_Toc292559870"/>
      <w:bookmarkStart w:id="307" w:name="_Toc318581158"/>
      <w:bookmarkStart w:id="308" w:name="_Toc312677989"/>
      <w:r>
        <w:rPr>
          <w:rFonts w:ascii="Times New Roman" w:hAnsi="Times New Roman" w:eastAsia="仿宋_GB2312"/>
          <w:color w:val="000000"/>
          <w:sz w:val="24"/>
          <w:szCs w:val="24"/>
          <w:highlight w:val="none"/>
        </w:rPr>
        <w:t>.5.1 分包的一般约定</w:t>
      </w:r>
    </w:p>
    <w:p w14:paraId="1715A7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禁止分包的工程包括：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执行通用条款</w:t>
      </w:r>
      <w:r>
        <w:rPr>
          <w:rFonts w:ascii="Times New Roman" w:hAnsi="Times New Roman" w:eastAsia="仿宋_GB2312"/>
          <w:b/>
          <w:color w:val="000000"/>
          <w:sz w:val="24"/>
          <w:szCs w:val="24"/>
          <w:highlight w:val="none"/>
          <w:u w:val="single"/>
        </w:rPr>
        <w:t xml:space="preserve"> </w:t>
      </w:r>
      <w:r>
        <w:rPr>
          <w:rFonts w:hint="eastAsia" w:ascii="Times New Roman" w:hAnsi="Times New Roman" w:eastAsia="仿宋_GB2312"/>
          <w:b/>
          <w:color w:val="000000"/>
          <w:sz w:val="24"/>
          <w:szCs w:val="24"/>
          <w:highlight w:val="none"/>
          <w:u w:val="single"/>
          <w:lang w:val="en-US" w:eastAsia="zh-CN"/>
        </w:rPr>
        <w:t xml:space="preserve">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C178D0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主体结构、关键性工作的范围：</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Start w:id="309" w:name="_Toc300934947"/>
      <w:bookmarkStart w:id="310" w:name="_Toc296346662"/>
      <w:bookmarkStart w:id="311" w:name="_Toc297123494"/>
      <w:bookmarkStart w:id="312" w:name="_Toc296891201"/>
      <w:bookmarkStart w:id="313" w:name="_Toc304295525"/>
      <w:bookmarkStart w:id="314" w:name="_Toc303539104"/>
      <w:bookmarkStart w:id="315" w:name="_Toc296347160"/>
      <w:bookmarkStart w:id="316" w:name="_Toc296503161"/>
      <w:bookmarkStart w:id="317" w:name="_Toc297216153"/>
      <w:bookmarkStart w:id="318" w:name="_Toc296944500"/>
      <w:bookmarkStart w:id="319" w:name="_Toc297048347"/>
      <w:bookmarkStart w:id="320" w:name="_Toc297120461"/>
      <w:bookmarkStart w:id="321" w:name="_Toc296890989"/>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2882AE6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3</w:t>
      </w:r>
      <w:bookmarkStart w:id="322" w:name="_Toc318581159"/>
      <w:bookmarkStart w:id="323" w:name="_Toc312677990"/>
      <w:r>
        <w:rPr>
          <w:rFonts w:ascii="Times New Roman" w:hAnsi="Times New Roman" w:eastAsia="仿宋_GB2312"/>
          <w:color w:val="000000"/>
          <w:sz w:val="24"/>
          <w:szCs w:val="24"/>
          <w:highlight w:val="none"/>
        </w:rPr>
        <w:t>.5.2分包的确定</w:t>
      </w:r>
    </w:p>
    <w:p w14:paraId="6827F0B4">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允许分包的专业工程包括：</w:t>
      </w:r>
      <w:r>
        <w:rPr>
          <w:rFonts w:hint="eastAsia" w:ascii="Times New Roman" w:hAnsi="Times New Roman" w:eastAsia="仿宋_GB2312"/>
          <w:color w:val="000000"/>
          <w:sz w:val="24"/>
          <w:szCs w:val="24"/>
          <w:highlight w:val="none"/>
          <w:u w:val="single"/>
        </w:rPr>
        <w:t xml:space="preserve"> 允许专业工程分包，但不得转包、违法分包，分包需取得发包人书面同意。分包人应具有所承担的合同工程的相应资质，且信誉良好，具有完成合同义务的能力</w:t>
      </w:r>
      <w:r>
        <w:rPr>
          <w:rFonts w:hint="eastAsia" w:ascii="Times New Roman" w:hAnsi="Times New Roman" w:eastAsia="仿宋_GB2312"/>
          <w:color w:val="000000"/>
          <w:sz w:val="24"/>
          <w:szCs w:val="24"/>
          <w:highlight w:val="none"/>
          <w:u w:val="none"/>
        </w:rPr>
        <w:t>。</w:t>
      </w:r>
    </w:p>
    <w:p w14:paraId="38FAEF35">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承包人的分包人对合同工程提供的技术服务或现场工作，应由承包人统一组织并征得发包人同意，费用应由承包人自行负担</w:t>
      </w:r>
      <w:r>
        <w:rPr>
          <w:rFonts w:hint="eastAsia" w:ascii="Times New Roman" w:hAnsi="Times New Roman" w:eastAsia="仿宋_GB2312"/>
          <w:color w:val="000000"/>
          <w:sz w:val="24"/>
          <w:szCs w:val="24"/>
          <w:highlight w:val="none"/>
          <w:u w:val="none"/>
        </w:rPr>
        <w:t>。</w:t>
      </w:r>
    </w:p>
    <w:p w14:paraId="6E9E5354">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当承包人不能按照已批准的进度计划实现节点目标，而又无切实有效措施保证竣工目标，经专家评审确认后，发包人有权将承包人承包范围内的相关工程量进行调整，交由其他单位实施，费用由承包人承担，承包人应无条件服从并给予配合</w:t>
      </w:r>
      <w:r>
        <w:rPr>
          <w:rFonts w:hint="eastAsia" w:ascii="Times New Roman" w:hAnsi="Times New Roman" w:eastAsia="仿宋_GB2312"/>
          <w:color w:val="000000"/>
          <w:sz w:val="24"/>
          <w:szCs w:val="24"/>
          <w:highlight w:val="none"/>
          <w:u w:val="none"/>
        </w:rPr>
        <w:t>；</w:t>
      </w:r>
    </w:p>
    <w:p w14:paraId="1DA605FF">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承包人对本工程的“采购、施工”整个过程负总责，对工程质量及所有专业分包商履约行为负总责</w:t>
      </w:r>
      <w:r>
        <w:rPr>
          <w:rFonts w:hint="eastAsia" w:ascii="Times New Roman" w:hAnsi="Times New Roman" w:eastAsia="仿宋_GB2312"/>
          <w:color w:val="000000"/>
          <w:sz w:val="24"/>
          <w:szCs w:val="24"/>
          <w:highlight w:val="none"/>
          <w:u w:val="none"/>
        </w:rPr>
        <w:t>；</w:t>
      </w:r>
    </w:p>
    <w:p w14:paraId="73643740">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其余详见通用条款</w:t>
      </w:r>
      <w:r>
        <w:rPr>
          <w:rFonts w:hint="eastAsia" w:ascii="Times New Roman" w:hAnsi="Times New Roman" w:eastAsia="仿宋_GB2312"/>
          <w:color w:val="000000"/>
          <w:sz w:val="24"/>
          <w:szCs w:val="24"/>
          <w:highlight w:val="none"/>
          <w:u w:val="none"/>
        </w:rPr>
        <w:t>；</w:t>
      </w:r>
    </w:p>
    <w:p w14:paraId="76658DAC">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取得批准分包并不解除合同规定的承包人的任何责任或义务，应对分包商加强监督和管理，并对分包商的工程质量及其职工的行为、违约和疏忽，负完全责任。就分包商给发包人造成的损失，承包人应当承担连带责任，发包人既可以向承包人或分包商索赔，亦可以向承包人和分包商共同索赔</w:t>
      </w:r>
      <w:r>
        <w:rPr>
          <w:rFonts w:hint="eastAsia" w:ascii="Times New Roman" w:hAnsi="Times New Roman" w:eastAsia="仿宋_GB2312"/>
          <w:color w:val="000000"/>
          <w:sz w:val="24"/>
          <w:szCs w:val="24"/>
          <w:highlight w:val="none"/>
          <w:u w:val="none"/>
        </w:rPr>
        <w:t>；</w:t>
      </w:r>
    </w:p>
    <w:p w14:paraId="262FCDF4">
      <w:pPr>
        <w:spacing w:line="360" w:lineRule="auto"/>
        <w:jc w:val="left"/>
        <w:rPr>
          <w:rFonts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所有分包(外购)设备/部件的技术协议需上报监理人及发包人审核确认。承包人对所有分包人分包的内容承担本合同项下的全部责任</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75EF32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其他关于分包的约定：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无（根据实际情况确定）</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866D22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3.5.4 分包合同价款</w:t>
      </w:r>
    </w:p>
    <w:p w14:paraId="5474A61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关于分包合同价款支付的约定：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执行本合同通用条款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322"/>
    <w:bookmarkEnd w:id="323"/>
    <w:p w14:paraId="2A39485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3.6 工程照管与成品、半成品保护</w:t>
      </w:r>
    </w:p>
    <w:p w14:paraId="3EA9243F">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承包人负责照管工程及工程相关的材料、工程设备的起始时间：</w:t>
      </w:r>
      <w:r>
        <w:rPr>
          <w:rFonts w:ascii="Times New Roman" w:hAnsi="Times New Roman" w:eastAsia="仿宋_GB2312"/>
          <w:color w:val="000000"/>
          <w:sz w:val="24"/>
          <w:szCs w:val="24"/>
          <w:highlight w:val="none"/>
          <w:u w:val="single"/>
        </w:rPr>
        <w:t>设备、人员进场至竣工验收并交付使用前由承包人负责保修，无其它特殊要求的，费用由承包人承担</w:t>
      </w:r>
      <w:r>
        <w:rPr>
          <w:rFonts w:ascii="Times New Roman" w:hAnsi="Times New Roman" w:eastAsia="仿宋_GB2312"/>
          <w:color w:val="000000"/>
          <w:sz w:val="24"/>
          <w:szCs w:val="24"/>
          <w:highlight w:val="none"/>
        </w:rPr>
        <w:t>。</w:t>
      </w:r>
    </w:p>
    <w:p w14:paraId="2E163BD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3.7 履约担保</w:t>
      </w:r>
    </w:p>
    <w:p w14:paraId="59EF7E8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承包人是否提供履约担保：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不</w:t>
      </w:r>
      <w:r>
        <w:rPr>
          <w:rFonts w:ascii="Times New Roman" w:hAnsi="Times New Roman" w:eastAsia="仿宋_GB2312"/>
          <w:color w:val="000000"/>
          <w:sz w:val="24"/>
          <w:szCs w:val="24"/>
          <w:highlight w:val="none"/>
          <w:u w:val="single"/>
        </w:rPr>
        <w:t xml:space="preserve">提供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1916E3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承包人提供履约担保的形式、金额及期限的：</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rPr>
        <w:t>。</w:t>
      </w:r>
    </w:p>
    <w:p w14:paraId="4A44DA56">
      <w:pPr>
        <w:spacing w:line="360" w:lineRule="auto"/>
        <w:jc w:val="left"/>
        <w:rPr>
          <w:rFonts w:ascii="黑体" w:hAnsi="黑体" w:eastAsia="黑体"/>
          <w:b/>
          <w:bCs/>
          <w:color w:val="000000"/>
          <w:sz w:val="24"/>
          <w:szCs w:val="24"/>
          <w:highlight w:val="none"/>
        </w:rPr>
      </w:pPr>
      <w:bookmarkStart w:id="324" w:name="_Toc351203636"/>
      <w:r>
        <w:rPr>
          <w:rFonts w:ascii="黑体" w:hAnsi="黑体" w:eastAsia="黑体"/>
          <w:b/>
          <w:bCs/>
          <w:color w:val="000000"/>
          <w:sz w:val="24"/>
          <w:szCs w:val="24"/>
          <w:highlight w:val="none"/>
        </w:rPr>
        <w:t>4</w:t>
      </w:r>
      <w:bookmarkStart w:id="325" w:name="_Toc296503162"/>
      <w:bookmarkStart w:id="326" w:name="_Toc296890990"/>
      <w:bookmarkStart w:id="327" w:name="_Toc296347161"/>
      <w:bookmarkStart w:id="328" w:name="_Toc292559871"/>
      <w:bookmarkStart w:id="329" w:name="_Toc296346663"/>
      <w:bookmarkStart w:id="330" w:name="_Toc296944501"/>
      <w:bookmarkStart w:id="331" w:name="_Toc297120462"/>
      <w:bookmarkStart w:id="332" w:name="_Toc292559366"/>
      <w:bookmarkStart w:id="333" w:name="_Toc267251413"/>
      <w:bookmarkStart w:id="334" w:name="_Toc296891202"/>
      <w:bookmarkStart w:id="335" w:name="_Toc297048348"/>
      <w:r>
        <w:rPr>
          <w:rFonts w:ascii="黑体" w:hAnsi="黑体" w:eastAsia="黑体"/>
          <w:b/>
          <w:bCs/>
          <w:color w:val="000000"/>
          <w:sz w:val="24"/>
          <w:szCs w:val="24"/>
          <w:highlight w:val="none"/>
        </w:rPr>
        <w:t>. 监</w:t>
      </w:r>
      <w:bookmarkEnd w:id="325"/>
      <w:bookmarkEnd w:id="326"/>
      <w:bookmarkEnd w:id="327"/>
      <w:bookmarkEnd w:id="328"/>
      <w:bookmarkEnd w:id="329"/>
      <w:bookmarkEnd w:id="330"/>
      <w:bookmarkEnd w:id="331"/>
      <w:bookmarkEnd w:id="332"/>
      <w:bookmarkEnd w:id="333"/>
      <w:bookmarkEnd w:id="334"/>
      <w:bookmarkEnd w:id="335"/>
      <w:r>
        <w:rPr>
          <w:rFonts w:ascii="黑体" w:hAnsi="黑体" w:eastAsia="黑体"/>
          <w:b/>
          <w:bCs/>
          <w:color w:val="000000"/>
          <w:sz w:val="24"/>
          <w:szCs w:val="24"/>
          <w:highlight w:val="none"/>
        </w:rPr>
        <w:t>理人</w:t>
      </w:r>
      <w:bookmarkEnd w:id="324"/>
    </w:p>
    <w:p w14:paraId="69A0EF67">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4.1监理人的一般规定</w:t>
      </w:r>
    </w:p>
    <w:p w14:paraId="1D47799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关于监理人的监理内容：</w:t>
      </w:r>
      <w:r>
        <w:rPr>
          <w:rFonts w:hint="eastAsia" w:ascii="Times New Roman" w:hAnsi="Times New Roman" w:eastAsia="仿宋_GB2312"/>
          <w:color w:val="000000"/>
          <w:sz w:val="24"/>
          <w:szCs w:val="24"/>
          <w:highlight w:val="none"/>
          <w:u w:val="single"/>
        </w:rPr>
        <w:t>详见监理合同</w:t>
      </w:r>
      <w:r>
        <w:rPr>
          <w:rFonts w:hint="eastAsia" w:ascii="Times New Roman" w:hAnsi="Times New Roman" w:eastAsia="仿宋_GB2312"/>
          <w:color w:val="000000"/>
          <w:sz w:val="24"/>
          <w:szCs w:val="24"/>
          <w:highlight w:val="none"/>
          <w:u w:val="none"/>
        </w:rPr>
        <w:t>。</w:t>
      </w:r>
    </w:p>
    <w:p w14:paraId="29EFD287">
      <w:pPr>
        <w:spacing w:line="360" w:lineRule="auto"/>
        <w:jc w:val="left"/>
        <w:rPr>
          <w:rFonts w:hint="eastAsia" w:ascii="Times New Roman" w:hAnsi="Times New Roman" w:eastAsia="仿宋_GB2312"/>
          <w:color w:val="000000"/>
          <w:sz w:val="24"/>
          <w:szCs w:val="24"/>
          <w:highlight w:val="none"/>
          <w:u w:val="none"/>
        </w:rPr>
      </w:pPr>
      <w:r>
        <w:rPr>
          <w:rFonts w:ascii="Times New Roman" w:hAnsi="Times New Roman" w:eastAsia="仿宋_GB2312"/>
          <w:color w:val="000000"/>
          <w:sz w:val="24"/>
          <w:szCs w:val="24"/>
          <w:highlight w:val="none"/>
        </w:rPr>
        <w:t>关于监理人的监理权限：</w:t>
      </w:r>
      <w:r>
        <w:rPr>
          <w:rFonts w:hint="eastAsia" w:ascii="Times New Roman" w:hAnsi="Times New Roman" w:eastAsia="仿宋_GB2312"/>
          <w:color w:val="000000"/>
          <w:sz w:val="24"/>
          <w:szCs w:val="24"/>
          <w:highlight w:val="none"/>
          <w:u w:val="single"/>
        </w:rPr>
        <w:t>详见监理合同</w:t>
      </w:r>
      <w:r>
        <w:rPr>
          <w:rFonts w:hint="eastAsia" w:ascii="Times New Roman" w:hAnsi="Times New Roman" w:eastAsia="仿宋_GB2312"/>
          <w:color w:val="000000"/>
          <w:sz w:val="24"/>
          <w:szCs w:val="24"/>
          <w:highlight w:val="none"/>
          <w:u w:val="none"/>
        </w:rPr>
        <w:t>。</w:t>
      </w:r>
    </w:p>
    <w:p w14:paraId="6B2CCD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关于监理人在施工现场的办公场所、生活场所的提供和费用承担的约定：</w:t>
      </w:r>
      <w:r>
        <w:rPr>
          <w:rFonts w:ascii="Times New Roman" w:hAnsi="Times New Roman" w:eastAsia="仿宋_GB2312"/>
          <w:color w:val="000000"/>
          <w:sz w:val="24"/>
          <w:szCs w:val="24"/>
          <w:highlight w:val="none"/>
          <w:u w:val="single"/>
        </w:rPr>
        <w:t xml:space="preserve">  由承包人提供，费用包含在合同价中  </w:t>
      </w:r>
      <w:r>
        <w:rPr>
          <w:rFonts w:ascii="Times New Roman" w:hAnsi="Times New Roman" w:eastAsia="仿宋_GB2312"/>
          <w:color w:val="000000"/>
          <w:sz w:val="24"/>
          <w:szCs w:val="24"/>
          <w:highlight w:val="none"/>
        </w:rPr>
        <w:t>。</w:t>
      </w:r>
    </w:p>
    <w:p w14:paraId="6DA174C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4.2 监理人员</w:t>
      </w:r>
    </w:p>
    <w:p w14:paraId="577EBF3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总监理工程师：</w:t>
      </w:r>
    </w:p>
    <w:p w14:paraId="0F7D2F19">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姓名：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6BD4FE9">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职务：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37D56E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监理工程师执业资格证书号：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25553BC">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D03D8E5">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54608E25">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D09BBB2">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关于监理人的其他约定：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2ABDCF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4.4 商定或确定</w:t>
      </w:r>
    </w:p>
    <w:p w14:paraId="25B92154">
      <w:pPr>
        <w:spacing w:line="360" w:lineRule="auto"/>
        <w:jc w:val="left"/>
        <w:rPr>
          <w:rFonts w:ascii="Times New Roman" w:hAnsi="Times New Roman" w:eastAsia="仿宋_GB2312"/>
          <w:color w:val="000000"/>
          <w:sz w:val="24"/>
          <w:szCs w:val="24"/>
          <w:highlight w:val="none"/>
        </w:rPr>
      </w:pPr>
      <w:bookmarkStart w:id="336" w:name="_Toc267251418"/>
      <w:r>
        <w:rPr>
          <w:rFonts w:ascii="Times New Roman" w:hAnsi="Times New Roman" w:eastAsia="仿宋_GB2312"/>
          <w:color w:val="000000"/>
          <w:sz w:val="24"/>
          <w:szCs w:val="24"/>
          <w:highlight w:val="none"/>
        </w:rPr>
        <w:t>在发包人和承包人不能通过协商达成一致意见时，发包人授权监理人对以下事项进行确定：</w:t>
      </w:r>
    </w:p>
    <w:p w14:paraId="2C396CA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CAFF17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74C00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D35C7A1">
      <w:pPr>
        <w:spacing w:line="360" w:lineRule="auto"/>
        <w:jc w:val="left"/>
        <w:rPr>
          <w:rFonts w:ascii="黑体" w:hAnsi="黑体" w:eastAsia="黑体"/>
          <w:b/>
          <w:bCs/>
          <w:color w:val="000000"/>
          <w:sz w:val="24"/>
          <w:szCs w:val="24"/>
          <w:highlight w:val="none"/>
        </w:rPr>
      </w:pPr>
      <w:bookmarkStart w:id="337" w:name="_Toc351203637"/>
      <w:r>
        <w:rPr>
          <w:rFonts w:ascii="黑体" w:hAnsi="黑体" w:eastAsia="黑体"/>
          <w:b/>
          <w:bCs/>
          <w:color w:val="000000"/>
          <w:sz w:val="24"/>
          <w:szCs w:val="24"/>
          <w:highlight w:val="none"/>
        </w:rPr>
        <w:t>5</w:t>
      </w:r>
      <w:bookmarkEnd w:id="336"/>
      <w:bookmarkStart w:id="338" w:name="_Toc292559367"/>
      <w:bookmarkStart w:id="339" w:name="_Toc296347162"/>
      <w:bookmarkStart w:id="340" w:name="_Toc296503163"/>
      <w:bookmarkStart w:id="341" w:name="_Toc297048349"/>
      <w:bookmarkStart w:id="342" w:name="_Toc296890991"/>
      <w:bookmarkStart w:id="343" w:name="_Toc296891203"/>
      <w:bookmarkStart w:id="344" w:name="_Toc297120463"/>
      <w:bookmarkStart w:id="345" w:name="_Toc296346664"/>
      <w:bookmarkStart w:id="346" w:name="_Toc296944502"/>
      <w:bookmarkStart w:id="347" w:name="_Toc292559872"/>
      <w:r>
        <w:rPr>
          <w:rFonts w:ascii="黑体" w:hAnsi="黑体" w:eastAsia="黑体"/>
          <w:b/>
          <w:bCs/>
          <w:color w:val="000000"/>
          <w:sz w:val="24"/>
          <w:szCs w:val="24"/>
          <w:highlight w:val="none"/>
        </w:rPr>
        <w:t>. 工程质量</w:t>
      </w:r>
      <w:bookmarkEnd w:id="337"/>
    </w:p>
    <w:p w14:paraId="35BA60A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5.1 质量要求</w:t>
      </w:r>
    </w:p>
    <w:p w14:paraId="71D756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w:t>
      </w:r>
      <w:bookmarkStart w:id="348" w:name="_Toc304295527"/>
      <w:bookmarkStart w:id="349" w:name="_Toc303539106"/>
      <w:bookmarkStart w:id="350" w:name="_Toc297216155"/>
      <w:bookmarkStart w:id="351" w:name="_Toc297123496"/>
      <w:bookmarkStart w:id="352" w:name="_Toc318581164"/>
      <w:bookmarkStart w:id="353" w:name="_Toc312677997"/>
      <w:bookmarkStart w:id="354" w:name="_Toc300934949"/>
      <w:r>
        <w:rPr>
          <w:rFonts w:ascii="Times New Roman" w:hAnsi="Times New Roman" w:eastAsia="仿宋_GB2312"/>
          <w:color w:val="000000"/>
          <w:sz w:val="24"/>
          <w:szCs w:val="24"/>
          <w:highlight w:val="none"/>
        </w:rPr>
        <w:t>.1.1 特殊质量标准和要求：</w:t>
      </w:r>
      <w:r>
        <w:rPr>
          <w:rFonts w:ascii="Times New Roman" w:hAnsi="Times New Roman" w:eastAsia="仿宋_GB2312"/>
          <w:color w:val="000000"/>
          <w:sz w:val="24"/>
          <w:szCs w:val="24"/>
          <w:highlight w:val="none"/>
          <w:u w:val="single"/>
        </w:rPr>
        <w:t xml:space="preserve">      执行通用条款      </w:t>
      </w:r>
      <w:r>
        <w:rPr>
          <w:rFonts w:ascii="Times New Roman" w:hAnsi="Times New Roman" w:eastAsia="仿宋_GB2312"/>
          <w:color w:val="000000"/>
          <w:sz w:val="24"/>
          <w:szCs w:val="24"/>
          <w:highlight w:val="none"/>
        </w:rPr>
        <w:t>。</w:t>
      </w:r>
    </w:p>
    <w:p w14:paraId="3B4022C9">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关于工程奖项的约定：</w:t>
      </w:r>
      <w:r>
        <w:rPr>
          <w:rFonts w:ascii="Times New Roman" w:hAnsi="Times New Roman" w:eastAsia="仿宋_GB2312"/>
          <w:color w:val="000000"/>
          <w:sz w:val="24"/>
          <w:szCs w:val="24"/>
          <w:highlight w:val="none"/>
          <w:u w:val="single"/>
        </w:rPr>
        <w:t>按照招标文件和施工合同的质量、工期约定，</w:t>
      </w:r>
      <w:r>
        <w:rPr>
          <w:rFonts w:hint="eastAsia" w:ascii="Times New Roman" w:hAnsi="Times New Roman" w:eastAsia="仿宋_GB2312"/>
          <w:color w:val="000000"/>
          <w:sz w:val="24"/>
          <w:szCs w:val="24"/>
          <w:highlight w:val="none"/>
          <w:u w:val="single"/>
          <w:lang w:eastAsia="zh-CN"/>
        </w:rPr>
        <w:t>建设单位</w:t>
      </w:r>
      <w:r>
        <w:rPr>
          <w:rFonts w:ascii="Times New Roman" w:hAnsi="Times New Roman" w:eastAsia="仿宋_GB2312"/>
          <w:color w:val="000000"/>
          <w:sz w:val="24"/>
          <w:szCs w:val="24"/>
          <w:highlight w:val="none"/>
          <w:u w:val="single"/>
        </w:rPr>
        <w:t>可根据竣工验收实际，对提前竣工达到合同约定质量标准，以及工程质量达到优良等级的工程，按照相应比例向</w:t>
      </w:r>
      <w:r>
        <w:rPr>
          <w:rFonts w:hint="eastAsia" w:ascii="Times New Roman" w:hAnsi="Times New Roman" w:eastAsia="仿宋_GB2312"/>
          <w:color w:val="000000"/>
          <w:sz w:val="24"/>
          <w:szCs w:val="24"/>
          <w:highlight w:val="none"/>
          <w:u w:val="single"/>
          <w:lang w:eastAsia="zh-CN"/>
        </w:rPr>
        <w:t>施工单位</w:t>
      </w:r>
      <w:r>
        <w:rPr>
          <w:rFonts w:ascii="Times New Roman" w:hAnsi="Times New Roman" w:eastAsia="仿宋_GB2312"/>
          <w:color w:val="000000"/>
          <w:sz w:val="24"/>
          <w:szCs w:val="24"/>
          <w:highlight w:val="none"/>
          <w:u w:val="single"/>
        </w:rPr>
        <w:t>返还扣除的违约金</w:t>
      </w:r>
      <w:r>
        <w:rPr>
          <w:rFonts w:ascii="Times New Roman" w:hAnsi="Times New Roman" w:eastAsia="仿宋_GB2312"/>
          <w:color w:val="000000"/>
          <w:sz w:val="24"/>
          <w:szCs w:val="24"/>
          <w:highlight w:val="none"/>
        </w:rPr>
        <w:t>。</w:t>
      </w:r>
    </w:p>
    <w:p w14:paraId="0E092E6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5.3 隐蔽工程检查</w:t>
      </w:r>
    </w:p>
    <w:p w14:paraId="36814E1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5.3.2承包人提前通知监理人隐蔽工程检查的期限的约定：</w:t>
      </w:r>
      <w:r>
        <w:rPr>
          <w:rFonts w:ascii="Times New Roman" w:hAnsi="Times New Roman" w:eastAsia="仿宋_GB2312"/>
          <w:color w:val="000000"/>
          <w:sz w:val="24"/>
          <w:szCs w:val="24"/>
          <w:highlight w:val="none"/>
          <w:u w:val="single"/>
        </w:rPr>
        <w:t>共同检查前48小时书面通知监理人</w:t>
      </w:r>
      <w:r>
        <w:rPr>
          <w:rFonts w:ascii="Times New Roman" w:hAnsi="Times New Roman" w:eastAsia="仿宋_GB2312"/>
          <w:color w:val="000000"/>
          <w:sz w:val="24"/>
          <w:szCs w:val="24"/>
          <w:highlight w:val="none"/>
        </w:rPr>
        <w:t>。</w:t>
      </w:r>
    </w:p>
    <w:p w14:paraId="7530B0A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监理人不能按时进行检查时，应提前</w:t>
      </w:r>
      <w:r>
        <w:rPr>
          <w:rFonts w:ascii="Times New Roman" w:hAnsi="Times New Roman" w:eastAsia="仿宋_GB2312"/>
          <w:color w:val="000000"/>
          <w:sz w:val="24"/>
          <w:szCs w:val="24"/>
          <w:highlight w:val="none"/>
          <w:u w:val="single"/>
        </w:rPr>
        <w:t xml:space="preserve"> 24 </w:t>
      </w:r>
      <w:r>
        <w:rPr>
          <w:rFonts w:ascii="Times New Roman" w:hAnsi="Times New Roman" w:eastAsia="仿宋_GB2312"/>
          <w:color w:val="000000"/>
          <w:sz w:val="24"/>
          <w:szCs w:val="24"/>
          <w:highlight w:val="none"/>
        </w:rPr>
        <w:t>小时提交书面延期要求。</w:t>
      </w:r>
    </w:p>
    <w:p w14:paraId="2A688A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关于延期最长不得超过：</w:t>
      </w:r>
      <w:r>
        <w:rPr>
          <w:rFonts w:ascii="Times New Roman" w:hAnsi="Times New Roman" w:eastAsia="仿宋_GB2312"/>
          <w:color w:val="000000"/>
          <w:sz w:val="24"/>
          <w:szCs w:val="24"/>
          <w:highlight w:val="none"/>
          <w:u w:val="single"/>
        </w:rPr>
        <w:t xml:space="preserve">  48  </w:t>
      </w:r>
      <w:r>
        <w:rPr>
          <w:rFonts w:ascii="Times New Roman" w:hAnsi="Times New Roman" w:eastAsia="仿宋_GB2312"/>
          <w:color w:val="000000"/>
          <w:sz w:val="24"/>
          <w:szCs w:val="24"/>
          <w:highlight w:val="none"/>
        </w:rPr>
        <w:t>小时。</w:t>
      </w:r>
    </w:p>
    <w:p w14:paraId="511A4F3A">
      <w:pPr>
        <w:spacing w:line="360" w:lineRule="auto"/>
        <w:jc w:val="left"/>
        <w:rPr>
          <w:rFonts w:ascii="黑体" w:hAnsi="黑体" w:eastAsia="黑体"/>
          <w:b/>
          <w:bCs/>
          <w:color w:val="000000"/>
          <w:sz w:val="24"/>
          <w:szCs w:val="24"/>
          <w:highlight w:val="none"/>
        </w:rPr>
      </w:pPr>
      <w:bookmarkStart w:id="355" w:name="_Toc351203638"/>
      <w:r>
        <w:rPr>
          <w:rFonts w:ascii="黑体" w:hAnsi="黑体" w:eastAsia="黑体"/>
          <w:b/>
          <w:bCs/>
          <w:color w:val="000000"/>
          <w:sz w:val="24"/>
          <w:szCs w:val="24"/>
          <w:highlight w:val="none"/>
        </w:rPr>
        <w:t>6. 安全文明施工与环境保护</w:t>
      </w:r>
      <w:bookmarkEnd w:id="355"/>
    </w:p>
    <w:p w14:paraId="0CD485C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6.1安全文明施工</w:t>
      </w:r>
    </w:p>
    <w:p w14:paraId="7B1C2F1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6.1.1 项目安全生产的达标目标及相应事项的约定：</w:t>
      </w:r>
      <w:r>
        <w:rPr>
          <w:rFonts w:ascii="Times New Roman" w:hAnsi="Times New Roman" w:eastAsia="仿宋_GB2312"/>
          <w:color w:val="000000"/>
          <w:sz w:val="24"/>
          <w:szCs w:val="24"/>
          <w:highlight w:val="none"/>
          <w:u w:val="single"/>
        </w:rPr>
        <w:t>要求达到《建筑施工安全检查标准》（JGJ59-2011）标准；承包方应切实抓好本工程安全施工工作，确保不发生一起安全事故，并应提前做好施工人员及机械设备保险办理工作；若发生人员伤亡事故，产生的一切后果由承包方承担，发包方不承担任何责任</w:t>
      </w:r>
      <w:r>
        <w:rPr>
          <w:rFonts w:ascii="Times New Roman" w:hAnsi="Times New Roman" w:eastAsia="仿宋_GB2312"/>
          <w:color w:val="000000"/>
          <w:sz w:val="24"/>
          <w:szCs w:val="24"/>
          <w:highlight w:val="none"/>
        </w:rPr>
        <w:t>。</w:t>
      </w:r>
    </w:p>
    <w:p w14:paraId="38FCA8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6.1.4 关于治安保卫的特别约定：</w:t>
      </w:r>
      <w:r>
        <w:rPr>
          <w:rFonts w:ascii="Times New Roman" w:hAnsi="Times New Roman" w:eastAsia="仿宋_GB2312"/>
          <w:color w:val="000000"/>
          <w:sz w:val="24"/>
          <w:szCs w:val="24"/>
          <w:highlight w:val="none"/>
          <w:u w:val="single"/>
        </w:rPr>
        <w:t>由承包人负责协调并履行治安保卫职责</w:t>
      </w:r>
      <w:r>
        <w:rPr>
          <w:rFonts w:ascii="Times New Roman" w:hAnsi="Times New Roman" w:eastAsia="仿宋_GB2312"/>
          <w:color w:val="000000"/>
          <w:sz w:val="24"/>
          <w:szCs w:val="24"/>
          <w:highlight w:val="none"/>
        </w:rPr>
        <w:t>。</w:t>
      </w:r>
    </w:p>
    <w:p w14:paraId="2ECE858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关于编制施工场地治安管理计划的约定：</w:t>
      </w:r>
      <w:r>
        <w:rPr>
          <w:rFonts w:ascii="Times New Roman" w:hAnsi="Times New Roman" w:eastAsia="仿宋_GB2312"/>
          <w:color w:val="000000"/>
          <w:sz w:val="24"/>
          <w:szCs w:val="24"/>
          <w:highlight w:val="none"/>
          <w:u w:val="single"/>
        </w:rPr>
        <w:t xml:space="preserve"> 承包人开工前三天提供施工场地治安管理计划</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BEB5F6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6.1.5 文明施工</w:t>
      </w:r>
    </w:p>
    <w:p w14:paraId="4776A6F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合同当事人对文明施工的要求：</w:t>
      </w:r>
      <w:r>
        <w:rPr>
          <w:rFonts w:hint="eastAsia" w:ascii="Times New Roman" w:hAnsi="Times New Roman" w:eastAsia="仿宋_GB2312"/>
          <w:color w:val="000000"/>
          <w:sz w:val="24"/>
          <w:szCs w:val="24"/>
          <w:highlight w:val="none"/>
          <w:u w:val="single"/>
        </w:rPr>
        <w:t xml:space="preserve"> 达到《建筑施工现场环境与卫生标准》（JGJ146-2004、J375-2004），《乌鲁木齐建筑工程施工现场扬尘防染防治实施细则》（乌建发【2017】71号）并执行通用条款 </w:t>
      </w:r>
      <w:r>
        <w:rPr>
          <w:rFonts w:ascii="Times New Roman" w:hAnsi="Times New Roman" w:eastAsia="仿宋_GB2312"/>
          <w:color w:val="000000"/>
          <w:sz w:val="24"/>
          <w:szCs w:val="24"/>
          <w:highlight w:val="none"/>
        </w:rPr>
        <w:t>。</w:t>
      </w:r>
    </w:p>
    <w:p w14:paraId="09E7E41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6.1.6 关于安全文明施工费支付比例和支付期限的约定：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按进度款支付比例进行支付</w:t>
      </w:r>
      <w:r>
        <w:rPr>
          <w:rFonts w:ascii="Times New Roman" w:hAnsi="Times New Roman" w:eastAsia="仿宋_GB2312"/>
          <w:color w:val="000000"/>
          <w:sz w:val="24"/>
          <w:szCs w:val="24"/>
          <w:highlight w:val="none"/>
        </w:rPr>
        <w:t>。</w:t>
      </w:r>
    </w:p>
    <w:bookmarkEnd w:id="348"/>
    <w:bookmarkEnd w:id="349"/>
    <w:bookmarkEnd w:id="350"/>
    <w:bookmarkEnd w:id="351"/>
    <w:bookmarkEnd w:id="352"/>
    <w:bookmarkEnd w:id="353"/>
    <w:bookmarkEnd w:id="354"/>
    <w:p w14:paraId="6E6E97DC">
      <w:pPr>
        <w:spacing w:line="360" w:lineRule="auto"/>
        <w:jc w:val="left"/>
        <w:rPr>
          <w:rFonts w:ascii="黑体" w:hAnsi="黑体" w:eastAsia="黑体"/>
          <w:b/>
          <w:bCs/>
          <w:color w:val="000000"/>
          <w:sz w:val="24"/>
          <w:szCs w:val="24"/>
          <w:highlight w:val="none"/>
        </w:rPr>
      </w:pPr>
      <w:bookmarkStart w:id="356" w:name="_Toc351203639"/>
      <w:r>
        <w:rPr>
          <w:rFonts w:ascii="黑体" w:hAnsi="黑体" w:eastAsia="黑体"/>
          <w:b/>
          <w:bCs/>
          <w:color w:val="000000"/>
          <w:sz w:val="24"/>
          <w:szCs w:val="24"/>
          <w:highlight w:val="none"/>
        </w:rPr>
        <w:t>7. 工期和进度</w:t>
      </w:r>
      <w:bookmarkEnd w:id="356"/>
    </w:p>
    <w:p w14:paraId="0C6A792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7.1 施工组织设计</w:t>
      </w:r>
    </w:p>
    <w:p w14:paraId="3577A98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7.1.1 合同当事人约定的施工组织设计应包括的其他内容：</w:t>
      </w:r>
      <w:r>
        <w:rPr>
          <w:rFonts w:hint="eastAsia" w:ascii="Times New Roman" w:hAnsi="Times New Roman" w:eastAsia="仿宋_GB2312"/>
          <w:color w:val="000000"/>
          <w:sz w:val="24"/>
          <w:szCs w:val="24"/>
          <w:highlight w:val="none"/>
          <w:u w:val="single"/>
        </w:rPr>
        <w:t>中标施工单位应严格按照技术标约定的劳动力需用量计划、机械设备需用量计划组织施工人材机未按照技术标约定全部到场的，按照不履行招标文件及合同约定缴纳违约金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color w:val="000000"/>
          <w:sz w:val="24"/>
          <w:szCs w:val="24"/>
          <w:highlight w:val="none"/>
        </w:rPr>
        <w:t>。</w:t>
      </w:r>
    </w:p>
    <w:p w14:paraId="33F78A6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7.1.2 施工组织设计的提交和修改</w:t>
      </w:r>
    </w:p>
    <w:p w14:paraId="679EA78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承包人提交详细施工组织设计的期限的约定：</w:t>
      </w:r>
      <w:r>
        <w:rPr>
          <w:rFonts w:ascii="Times New Roman" w:hAnsi="Times New Roman" w:eastAsia="仿宋_GB2312"/>
          <w:color w:val="000000"/>
          <w:sz w:val="24"/>
          <w:szCs w:val="24"/>
          <w:highlight w:val="none"/>
          <w:u w:val="single"/>
        </w:rPr>
        <w:t>开工前三天</w:t>
      </w:r>
      <w:r>
        <w:rPr>
          <w:rFonts w:ascii="Times New Roman" w:hAnsi="Times New Roman" w:eastAsia="仿宋_GB2312"/>
          <w:color w:val="000000"/>
          <w:sz w:val="24"/>
          <w:szCs w:val="24"/>
          <w:highlight w:val="none"/>
        </w:rPr>
        <w:t>。</w:t>
      </w:r>
    </w:p>
    <w:p w14:paraId="63ABCA8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发包人和监理人在收到详细的施工组织设计后确认或提出修改意见的期限：</w:t>
      </w:r>
      <w:r>
        <w:rPr>
          <w:rFonts w:ascii="Times New Roman" w:hAnsi="Times New Roman" w:eastAsia="仿宋_GB2312"/>
          <w:color w:val="000000"/>
          <w:sz w:val="24"/>
          <w:szCs w:val="24"/>
          <w:highlight w:val="none"/>
          <w:u w:val="single"/>
        </w:rPr>
        <w:t>收到后7天内</w:t>
      </w:r>
      <w:r>
        <w:rPr>
          <w:rFonts w:ascii="Times New Roman" w:hAnsi="Times New Roman" w:eastAsia="仿宋_GB2312"/>
          <w:color w:val="000000"/>
          <w:sz w:val="24"/>
          <w:szCs w:val="24"/>
          <w:highlight w:val="none"/>
        </w:rPr>
        <w:t>。</w:t>
      </w:r>
    </w:p>
    <w:p w14:paraId="23028E5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57" w:name="_Toc297123514"/>
      <w:bookmarkStart w:id="358" w:name="_Toc304295541"/>
      <w:bookmarkStart w:id="359" w:name="_Toc300934966"/>
      <w:bookmarkStart w:id="360" w:name="_Toc312678005"/>
      <w:bookmarkStart w:id="361" w:name="_Toc303539123"/>
      <w:bookmarkStart w:id="362" w:name="_Toc312677479"/>
      <w:bookmarkStart w:id="363" w:name="_Toc297216173"/>
      <w:r>
        <w:rPr>
          <w:rFonts w:ascii="黑体" w:hAnsi="黑体" w:eastAsia="黑体"/>
          <w:color w:val="000000"/>
          <w:sz w:val="24"/>
          <w:szCs w:val="24"/>
          <w:highlight w:val="none"/>
        </w:rPr>
        <w:t>.2 施工进度计划</w:t>
      </w:r>
    </w:p>
    <w:p w14:paraId="65A065C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7.2.2 施工进度计划的修订</w:t>
      </w:r>
    </w:p>
    <w:p w14:paraId="32C506D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发包人和监理人在收到修订的施工进度计划后确认或提出修改意见的期限：</w:t>
      </w:r>
      <w:r>
        <w:rPr>
          <w:rFonts w:ascii="Times New Roman" w:hAnsi="Times New Roman" w:eastAsia="仿宋_GB2312"/>
          <w:color w:val="000000"/>
          <w:sz w:val="24"/>
          <w:szCs w:val="24"/>
          <w:highlight w:val="none"/>
          <w:u w:val="single"/>
        </w:rPr>
        <w:t>收到后7天内</w:t>
      </w:r>
      <w:r>
        <w:rPr>
          <w:rFonts w:ascii="Times New Roman" w:hAnsi="Times New Roman" w:eastAsia="仿宋_GB2312"/>
          <w:color w:val="000000"/>
          <w:sz w:val="24"/>
          <w:szCs w:val="24"/>
          <w:highlight w:val="none"/>
        </w:rPr>
        <w:t>。</w:t>
      </w:r>
    </w:p>
    <w:p w14:paraId="1276CE1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7.3 开工</w:t>
      </w:r>
    </w:p>
    <w:p w14:paraId="0DAC26C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7.3.1 开工准备</w:t>
      </w:r>
    </w:p>
    <w:p w14:paraId="799B4DFD">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关于承包人提交工程开工报审表的期限：</w:t>
      </w:r>
      <w:r>
        <w:rPr>
          <w:rFonts w:ascii="Times New Roman" w:hAnsi="Times New Roman" w:eastAsia="仿宋_GB2312"/>
          <w:color w:val="000000"/>
          <w:sz w:val="24"/>
          <w:szCs w:val="24"/>
          <w:highlight w:val="none"/>
          <w:u w:val="single"/>
        </w:rPr>
        <w:t>合同签订后、开工之前7日</w:t>
      </w:r>
      <w:r>
        <w:rPr>
          <w:rFonts w:ascii="Times New Roman" w:hAnsi="Times New Roman" w:eastAsia="仿宋_GB2312"/>
          <w:color w:val="000000"/>
          <w:sz w:val="24"/>
          <w:szCs w:val="24"/>
          <w:highlight w:val="none"/>
        </w:rPr>
        <w:t>。</w:t>
      </w:r>
    </w:p>
    <w:p w14:paraId="34BA00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关于发包人应完成的其他开工准备工作及期限：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D07BF2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关于承包人应完成的其他开工准备工作及期限：</w:t>
      </w:r>
      <w:r>
        <w:rPr>
          <w:rFonts w:ascii="Times New Roman" w:hAnsi="Times New Roman" w:eastAsia="仿宋_GB2312"/>
          <w:color w:val="000000"/>
          <w:sz w:val="24"/>
          <w:szCs w:val="24"/>
          <w:highlight w:val="none"/>
          <w:u w:val="single"/>
        </w:rPr>
        <w:t>中标施工单位项目经理、项目管理人员、施工人员必须按照</w:t>
      </w:r>
      <w:r>
        <w:rPr>
          <w:rFonts w:hint="eastAsia" w:ascii="Times New Roman" w:hAnsi="Times New Roman" w:eastAsia="仿宋_GB2312"/>
          <w:color w:val="000000"/>
          <w:sz w:val="24"/>
          <w:szCs w:val="24"/>
          <w:highlight w:val="none"/>
          <w:u w:val="single"/>
          <w:lang w:eastAsia="zh-CN"/>
        </w:rPr>
        <w:t>商务标</w:t>
      </w:r>
      <w:r>
        <w:rPr>
          <w:rFonts w:ascii="Times New Roman" w:hAnsi="Times New Roman" w:eastAsia="仿宋_GB2312"/>
          <w:color w:val="000000"/>
          <w:sz w:val="24"/>
          <w:szCs w:val="24"/>
          <w:highlight w:val="none"/>
          <w:u w:val="single"/>
        </w:rPr>
        <w:t>约定到场，并应严格按照技术标约定的劳动力需用量计划、机械设备需用量计划组织施工</w:t>
      </w:r>
      <w:r>
        <w:rPr>
          <w:rFonts w:ascii="Times New Roman" w:hAnsi="Times New Roman" w:eastAsia="仿宋_GB2312"/>
          <w:color w:val="000000"/>
          <w:sz w:val="24"/>
          <w:szCs w:val="24"/>
          <w:highlight w:val="none"/>
        </w:rPr>
        <w:t>。</w:t>
      </w:r>
    </w:p>
    <w:p w14:paraId="3A99179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7.3.2开工通知</w:t>
      </w:r>
    </w:p>
    <w:p w14:paraId="5BBCD75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因发包人原因造成监理人未能在计划开工日期之日起</w:t>
      </w:r>
      <w:r>
        <w:rPr>
          <w:rFonts w:hint="eastAsia" w:ascii="Times New Roman" w:hAnsi="Times New Roman" w:eastAsia="仿宋_GB2312"/>
          <w:b w:val="0"/>
          <w:bCs/>
          <w:color w:val="000000"/>
          <w:sz w:val="24"/>
          <w:szCs w:val="24"/>
          <w:highlight w:val="none"/>
          <w:u w:val="single"/>
          <w:lang w:val="en-US" w:eastAsia="zh-CN"/>
        </w:rPr>
        <w:t xml:space="preserve">  90  </w:t>
      </w:r>
      <w:r>
        <w:rPr>
          <w:rFonts w:ascii="Times New Roman" w:hAnsi="Times New Roman" w:eastAsia="仿宋_GB2312"/>
          <w:color w:val="000000"/>
          <w:sz w:val="24"/>
          <w:szCs w:val="24"/>
          <w:highlight w:val="none"/>
        </w:rPr>
        <w:t>天内发出开工通知的，承包人有权提出价格调整要求，或者解除合同。</w:t>
      </w:r>
    </w:p>
    <w:bookmarkEnd w:id="357"/>
    <w:bookmarkEnd w:id="358"/>
    <w:bookmarkEnd w:id="359"/>
    <w:bookmarkEnd w:id="360"/>
    <w:bookmarkEnd w:id="361"/>
    <w:bookmarkEnd w:id="362"/>
    <w:bookmarkEnd w:id="363"/>
    <w:p w14:paraId="51F5469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7.4 测量放线</w:t>
      </w:r>
    </w:p>
    <w:p w14:paraId="24A2C657">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7.4.1发包人通过监理人向承包人提供测量基准点、基准线和水准点及其书面资料的期限：</w:t>
      </w:r>
      <w:r>
        <w:rPr>
          <w:rFonts w:hint="eastAsia" w:ascii="Times New Roman" w:hAnsi="Times New Roman" w:eastAsia="仿宋_GB2312"/>
          <w:b w:val="0"/>
          <w:bCs/>
          <w:color w:val="000000"/>
          <w:sz w:val="24"/>
          <w:szCs w:val="24"/>
          <w:highlight w:val="none"/>
          <w:u w:val="single"/>
          <w:lang w:val="en-US" w:eastAsia="zh-CN"/>
        </w:rPr>
        <w:t>开工三日内在施工现场进行交验，由承包方做好校验和保护；承包人应根据国家测绘基准，测绘系统和工程测量技术规范，按上述基准点（线）以及合同工程精度要求，测设施工控制网，并在专用条款约定的期限内，将施工控制网资料报送发包人和监理人审批</w:t>
      </w:r>
      <w:r>
        <w:rPr>
          <w:rFonts w:ascii="Times New Roman" w:hAnsi="Times New Roman" w:eastAsia="仿宋_GB2312"/>
          <w:b w:val="0"/>
          <w:bCs w:val="0"/>
          <w:color w:val="000000"/>
          <w:sz w:val="24"/>
          <w:szCs w:val="24"/>
          <w:highlight w:val="none"/>
        </w:rPr>
        <w:t>。</w:t>
      </w:r>
    </w:p>
    <w:p w14:paraId="0DC6982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64" w:name="_Toc304295546"/>
      <w:bookmarkStart w:id="365" w:name="_Toc312678010"/>
      <w:bookmarkStart w:id="366" w:name="_Toc303539125"/>
      <w:bookmarkStart w:id="367" w:name="_Toc300934968"/>
      <w:bookmarkStart w:id="368" w:name="_Toc297216175"/>
      <w:bookmarkStart w:id="369" w:name="_Toc312677484"/>
      <w:bookmarkStart w:id="370" w:name="_Toc297123516"/>
      <w:r>
        <w:rPr>
          <w:rFonts w:ascii="黑体" w:hAnsi="黑体" w:eastAsia="黑体"/>
          <w:color w:val="000000"/>
          <w:sz w:val="24"/>
          <w:szCs w:val="24"/>
          <w:highlight w:val="none"/>
        </w:rPr>
        <w:t>.5 工期延误</w:t>
      </w:r>
    </w:p>
    <w:bookmarkEnd w:id="364"/>
    <w:bookmarkEnd w:id="365"/>
    <w:bookmarkEnd w:id="366"/>
    <w:bookmarkEnd w:id="367"/>
    <w:bookmarkEnd w:id="368"/>
    <w:bookmarkEnd w:id="369"/>
    <w:bookmarkEnd w:id="370"/>
    <w:p w14:paraId="32DDE3A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7.5.1 因发包人原因导致工期延误</w:t>
      </w:r>
    </w:p>
    <w:p w14:paraId="384CD58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（7）因发包人原因导致工期延误的其他情形：</w:t>
      </w:r>
      <w:r>
        <w:rPr>
          <w:rFonts w:hint="eastAsia" w:ascii="Times New Roman" w:hAnsi="Times New Roman" w:eastAsia="仿宋_GB2312"/>
          <w:b w:val="0"/>
          <w:bCs/>
          <w:color w:val="000000"/>
          <w:sz w:val="24"/>
          <w:szCs w:val="24"/>
          <w:highlight w:val="none"/>
          <w:u w:val="single"/>
          <w:lang w:val="en-US" w:eastAsia="zh-CN"/>
        </w:rPr>
        <w:t xml:space="preserve">非发包方原因，工期不顺延；因政策处理问题影响施工进度，不可抗力原因影响工程进度，需在发现后七日内办理签证，逾期不予认可 </w:t>
      </w:r>
      <w:r>
        <w:rPr>
          <w:rFonts w:ascii="Times New Roman" w:hAnsi="Times New Roman" w:eastAsia="仿宋_GB2312"/>
          <w:color w:val="000000"/>
          <w:sz w:val="24"/>
          <w:szCs w:val="24"/>
          <w:highlight w:val="none"/>
        </w:rPr>
        <w:t>。</w:t>
      </w:r>
    </w:p>
    <w:p w14:paraId="4A9AF0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w:t>
      </w:r>
      <w:bookmarkStart w:id="371" w:name="_Toc318581169"/>
      <w:bookmarkStart w:id="372" w:name="_Toc312678012"/>
      <w:bookmarkStart w:id="373" w:name="_Toc312677486"/>
      <w:bookmarkStart w:id="374" w:name="_Toc297123518"/>
      <w:bookmarkStart w:id="375" w:name="_Toc303539127"/>
      <w:bookmarkStart w:id="376" w:name="_Toc300934970"/>
      <w:bookmarkStart w:id="377" w:name="_Toc297216177"/>
      <w:bookmarkStart w:id="378" w:name="_Toc304295548"/>
      <w:r>
        <w:rPr>
          <w:rFonts w:ascii="Times New Roman" w:hAnsi="Times New Roman" w:eastAsia="仿宋_GB2312"/>
          <w:color w:val="000000"/>
          <w:sz w:val="24"/>
          <w:szCs w:val="24"/>
          <w:highlight w:val="none"/>
        </w:rPr>
        <w:t>.5.2 因承包人原因导致工期延误</w:t>
      </w:r>
    </w:p>
    <w:bookmarkEnd w:id="371"/>
    <w:bookmarkEnd w:id="372"/>
    <w:bookmarkEnd w:id="373"/>
    <w:p w14:paraId="143506F8">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因</w:t>
      </w:r>
      <w:bookmarkStart w:id="379" w:name="_Toc318581170"/>
      <w:bookmarkStart w:id="380" w:name="_Toc312677487"/>
      <w:bookmarkStart w:id="381" w:name="_Toc312678013"/>
      <w:r>
        <w:rPr>
          <w:rFonts w:ascii="Times New Roman" w:hAnsi="Times New Roman" w:eastAsia="仿宋_GB2312"/>
          <w:color w:val="000000"/>
          <w:sz w:val="24"/>
          <w:szCs w:val="24"/>
          <w:highlight w:val="none"/>
        </w:rPr>
        <w:t>承包人原因造成工期延误，逾期竣工违约金的计算方法为：</w:t>
      </w:r>
    </w:p>
    <w:p w14:paraId="7DDF5AD5">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b w:val="0"/>
          <w:bCs/>
          <w:color w:val="000000"/>
          <w:sz w:val="24"/>
          <w:szCs w:val="24"/>
          <w:highlight w:val="none"/>
          <w:u w:val="single"/>
          <w:lang w:val="en-US" w:eastAsia="zh-CN"/>
        </w:rPr>
        <w:t xml:space="preserve">按照合同工期，每延误一天，缴纳违约金200元整 </w:t>
      </w:r>
      <w:r>
        <w:rPr>
          <w:rFonts w:ascii="Times New Roman" w:hAnsi="Times New Roman" w:eastAsia="仿宋_GB2312"/>
          <w:color w:val="000000"/>
          <w:sz w:val="24"/>
          <w:szCs w:val="24"/>
          <w:highlight w:val="none"/>
        </w:rPr>
        <w:t>。</w:t>
      </w:r>
      <w:bookmarkEnd w:id="374"/>
      <w:bookmarkEnd w:id="375"/>
      <w:bookmarkEnd w:id="376"/>
      <w:bookmarkEnd w:id="377"/>
      <w:bookmarkEnd w:id="378"/>
      <w:bookmarkEnd w:id="379"/>
      <w:bookmarkEnd w:id="380"/>
      <w:bookmarkEnd w:id="381"/>
      <w:bookmarkStart w:id="382" w:name="_Toc318581171"/>
      <w:bookmarkStart w:id="383" w:name="_Toc312678014"/>
    </w:p>
    <w:bookmarkEnd w:id="382"/>
    <w:bookmarkEnd w:id="383"/>
    <w:p w14:paraId="38D432D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84" w:name="_Toc312678015"/>
      <w:bookmarkStart w:id="385" w:name="_Toc297216178"/>
      <w:bookmarkStart w:id="386" w:name="_Toc304295549"/>
      <w:bookmarkStart w:id="387" w:name="_Toc297123519"/>
      <w:bookmarkStart w:id="388" w:name="_Toc303539128"/>
      <w:bookmarkStart w:id="389" w:name="_Toc300934971"/>
      <w:r>
        <w:rPr>
          <w:rFonts w:ascii="黑体" w:hAnsi="黑体" w:eastAsia="黑体"/>
          <w:color w:val="000000"/>
          <w:sz w:val="24"/>
          <w:szCs w:val="24"/>
          <w:highlight w:val="none"/>
        </w:rPr>
        <w:t>.6 不</w:t>
      </w:r>
      <w:bookmarkEnd w:id="384"/>
      <w:bookmarkEnd w:id="385"/>
      <w:bookmarkEnd w:id="386"/>
      <w:bookmarkEnd w:id="387"/>
      <w:bookmarkEnd w:id="388"/>
      <w:bookmarkEnd w:id="389"/>
      <w:r>
        <w:rPr>
          <w:rFonts w:ascii="黑体" w:hAnsi="黑体" w:eastAsia="黑体"/>
          <w:color w:val="000000"/>
          <w:sz w:val="24"/>
          <w:szCs w:val="24"/>
          <w:highlight w:val="none"/>
        </w:rPr>
        <w:t>利物质条件</w:t>
      </w:r>
    </w:p>
    <w:p w14:paraId="3C90AA26">
      <w:pPr>
        <w:spacing w:line="360" w:lineRule="auto"/>
        <w:jc w:val="left"/>
        <w:rPr>
          <w:rFonts w:ascii="Times New Roman" w:hAnsi="Times New Roman" w:eastAsia="仿宋_GB2312"/>
          <w:color w:val="000000"/>
          <w:sz w:val="24"/>
          <w:szCs w:val="24"/>
          <w:highlight w:val="none"/>
        </w:rPr>
      </w:pPr>
      <w:bookmarkStart w:id="390" w:name="_Toc318581172"/>
      <w:bookmarkStart w:id="391" w:name="_Toc297123520"/>
      <w:bookmarkStart w:id="392" w:name="_Toc300934972"/>
      <w:bookmarkStart w:id="393" w:name="_Toc312678016"/>
      <w:bookmarkStart w:id="394" w:name="_Toc297216179"/>
      <w:bookmarkStart w:id="395" w:name="_Toc304295550"/>
      <w:bookmarkStart w:id="396" w:name="_Toc303539129"/>
      <w:r>
        <w:rPr>
          <w:rFonts w:ascii="Times New Roman" w:hAnsi="Times New Roman" w:eastAsia="仿宋_GB2312"/>
          <w:color w:val="000000"/>
          <w:sz w:val="24"/>
          <w:szCs w:val="24"/>
          <w:highlight w:val="none"/>
        </w:rPr>
        <w:t>不利物质条件的其他情形和有关约定：</w:t>
      </w:r>
      <w:r>
        <w:rPr>
          <w:rFonts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rPr>
        <w:t>。</w:t>
      </w:r>
    </w:p>
    <w:bookmarkEnd w:id="390"/>
    <w:bookmarkEnd w:id="391"/>
    <w:bookmarkEnd w:id="392"/>
    <w:bookmarkEnd w:id="393"/>
    <w:bookmarkEnd w:id="394"/>
    <w:bookmarkEnd w:id="395"/>
    <w:bookmarkEnd w:id="396"/>
    <w:p w14:paraId="2CBDD36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97" w:name="_Toc303539130"/>
      <w:bookmarkStart w:id="398" w:name="_Toc312678017"/>
      <w:bookmarkStart w:id="399" w:name="_Toc297123521"/>
      <w:bookmarkStart w:id="400" w:name="_Toc297216180"/>
      <w:bookmarkStart w:id="401" w:name="_Toc300934973"/>
      <w:bookmarkStart w:id="402" w:name="_Toc304295551"/>
      <w:r>
        <w:rPr>
          <w:rFonts w:ascii="黑体" w:hAnsi="黑体" w:eastAsia="黑体"/>
          <w:color w:val="000000"/>
          <w:sz w:val="24"/>
          <w:szCs w:val="24"/>
          <w:highlight w:val="none"/>
        </w:rPr>
        <w:t>.7异常恶劣的气候条件</w:t>
      </w:r>
    </w:p>
    <w:bookmarkEnd w:id="397"/>
    <w:bookmarkEnd w:id="398"/>
    <w:bookmarkEnd w:id="399"/>
    <w:bookmarkEnd w:id="400"/>
    <w:bookmarkEnd w:id="401"/>
    <w:bookmarkEnd w:id="402"/>
    <w:p w14:paraId="1959890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发包人和承包人同意以下情形视为异常恶劣的气候条件：</w:t>
      </w:r>
    </w:p>
    <w:p w14:paraId="5B296E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r>
        <w:rPr>
          <w:rFonts w:ascii="Times New Roman" w:hAnsi="Times New Roman" w:eastAsia="仿宋_GB2312"/>
          <w:color w:val="000000"/>
          <w:sz w:val="24"/>
          <w:szCs w:val="24"/>
          <w:highlight w:val="none"/>
          <w:u w:val="single"/>
        </w:rPr>
        <w:t xml:space="preserve"> 气象部门发布的暴雨、大风、沙尘等不适合施工的天气灾害</w:t>
      </w:r>
      <w:r>
        <w:rPr>
          <w:rFonts w:ascii="Times New Roman" w:hAnsi="Times New Roman" w:eastAsia="仿宋_GB2312"/>
          <w:color w:val="000000"/>
          <w:sz w:val="24"/>
          <w:szCs w:val="24"/>
          <w:highlight w:val="none"/>
        </w:rPr>
        <w:t>；</w:t>
      </w:r>
    </w:p>
    <w:p w14:paraId="633F9D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F5B43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46E40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7.9 提前竣工的奖励</w:t>
      </w:r>
    </w:p>
    <w:p w14:paraId="5842D7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7.9.2提前竣工的奖励：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11B028E">
      <w:pPr>
        <w:spacing w:line="360" w:lineRule="auto"/>
        <w:jc w:val="left"/>
        <w:rPr>
          <w:rFonts w:ascii="黑体" w:hAnsi="黑体" w:eastAsia="黑体"/>
          <w:b/>
          <w:bCs/>
          <w:color w:val="000000"/>
          <w:sz w:val="24"/>
          <w:szCs w:val="24"/>
          <w:highlight w:val="none"/>
        </w:rPr>
      </w:pPr>
      <w:bookmarkStart w:id="403" w:name="_Toc351203640"/>
      <w:r>
        <w:rPr>
          <w:rFonts w:ascii="黑体" w:hAnsi="黑体" w:eastAsia="黑体"/>
          <w:b/>
          <w:bCs/>
          <w:color w:val="000000"/>
          <w:sz w:val="24"/>
          <w:szCs w:val="24"/>
          <w:highlight w:val="none"/>
        </w:rPr>
        <w:t>8. 材料与设备</w:t>
      </w:r>
      <w:bookmarkEnd w:id="403"/>
    </w:p>
    <w:bookmarkEnd w:id="338"/>
    <w:bookmarkEnd w:id="339"/>
    <w:bookmarkEnd w:id="340"/>
    <w:bookmarkEnd w:id="341"/>
    <w:bookmarkEnd w:id="342"/>
    <w:bookmarkEnd w:id="343"/>
    <w:bookmarkEnd w:id="344"/>
    <w:bookmarkEnd w:id="345"/>
    <w:bookmarkEnd w:id="346"/>
    <w:bookmarkEnd w:id="347"/>
    <w:p w14:paraId="5DBDC749">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8</w:t>
      </w:r>
      <w:bookmarkStart w:id="404" w:name="_Toc296503167"/>
      <w:bookmarkStart w:id="405" w:name="_Toc304295556"/>
      <w:bookmarkStart w:id="406" w:name="_Toc292559877"/>
      <w:bookmarkStart w:id="407" w:name="_Toc312677493"/>
      <w:bookmarkStart w:id="408" w:name="_Toc300934979"/>
      <w:bookmarkStart w:id="409" w:name="_Toc280868654"/>
      <w:bookmarkStart w:id="410" w:name="_Toc296347166"/>
      <w:bookmarkStart w:id="411" w:name="_Toc297048353"/>
      <w:bookmarkStart w:id="412" w:name="_Toc303539136"/>
      <w:bookmarkStart w:id="413" w:name="_Toc296944506"/>
      <w:bookmarkStart w:id="414" w:name="_Toc292559372"/>
      <w:bookmarkStart w:id="415" w:name="_Toc312678019"/>
      <w:bookmarkStart w:id="416" w:name="_Toc297120467"/>
      <w:bookmarkStart w:id="417" w:name="_Toc297216186"/>
      <w:bookmarkStart w:id="418" w:name="_Toc296891207"/>
      <w:bookmarkStart w:id="419" w:name="_Toc296346668"/>
      <w:bookmarkStart w:id="420" w:name="_Toc296890995"/>
      <w:bookmarkStart w:id="421" w:name="_Toc297123527"/>
      <w:bookmarkStart w:id="422" w:name="_Toc280868655"/>
      <w:bookmarkStart w:id="423" w:name="_Toc280868656"/>
      <w:bookmarkStart w:id="424" w:name="_Toc267251424"/>
      <w:r>
        <w:rPr>
          <w:rFonts w:ascii="黑体" w:hAnsi="黑体" w:eastAsia="黑体"/>
          <w:color w:val="000000"/>
          <w:sz w:val="24"/>
          <w:szCs w:val="24"/>
          <w:highlight w:val="none"/>
        </w:rPr>
        <w:t>.4材料与工程设备的保管与使用</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0CE201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w:t>
      </w:r>
      <w:bookmarkStart w:id="425" w:name="_Toc292559878"/>
      <w:bookmarkStart w:id="426" w:name="_Toc292559373"/>
      <w:bookmarkStart w:id="427" w:name="_Toc296346669"/>
      <w:bookmarkStart w:id="428" w:name="_Toc296944507"/>
      <w:bookmarkStart w:id="429" w:name="_Toc296891208"/>
      <w:bookmarkStart w:id="430" w:name="_Toc297120468"/>
      <w:bookmarkStart w:id="431" w:name="_Toc300934980"/>
      <w:bookmarkStart w:id="432" w:name="_Toc304295557"/>
      <w:bookmarkStart w:id="433" w:name="_Toc312678020"/>
      <w:bookmarkStart w:id="434" w:name="_Toc296503168"/>
      <w:bookmarkStart w:id="435" w:name="_Toc296890996"/>
      <w:bookmarkStart w:id="436" w:name="_Toc296347167"/>
      <w:bookmarkStart w:id="437" w:name="_Toc297123528"/>
      <w:bookmarkStart w:id="438" w:name="_Toc297216187"/>
      <w:bookmarkStart w:id="439" w:name="_Toc318581173"/>
      <w:bookmarkStart w:id="440" w:name="_Toc297048354"/>
      <w:bookmarkStart w:id="441" w:name="_Toc312677494"/>
      <w:bookmarkStart w:id="442" w:name="_Toc303539137"/>
      <w:r>
        <w:rPr>
          <w:rFonts w:ascii="Times New Roman" w:hAnsi="Times New Roman" w:eastAsia="仿宋_GB2312"/>
          <w:color w:val="000000"/>
          <w:sz w:val="24"/>
          <w:szCs w:val="24"/>
          <w:highlight w:val="none"/>
        </w:rPr>
        <w:t>.4.1发包人供应的材料设备的保管费用的承担：</w:t>
      </w:r>
      <w:r>
        <w:rPr>
          <w:rFonts w:ascii="Times New Roman" w:hAnsi="Times New Roman" w:eastAsia="仿宋_GB2312"/>
          <w:color w:val="000000"/>
          <w:sz w:val="24"/>
          <w:szCs w:val="24"/>
          <w:highlight w:val="none"/>
          <w:u w:val="single"/>
        </w:rPr>
        <w:t xml:space="preserve"> 费用含在合同价中</w:t>
      </w:r>
      <w:r>
        <w:rPr>
          <w:rFonts w:ascii="Times New Roman" w:hAnsi="Times New Roman" w:eastAsia="仿宋_GB2312"/>
          <w:color w:val="000000"/>
          <w:sz w:val="24"/>
          <w:szCs w:val="24"/>
          <w:highlight w:val="none"/>
        </w:rPr>
        <w:t>。</w:t>
      </w:r>
      <w:bookmarkEnd w:id="425"/>
      <w:bookmarkEnd w:id="426"/>
    </w:p>
    <w:p w14:paraId="2F38BA4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8.6 样品</w:t>
      </w:r>
    </w:p>
    <w:p w14:paraId="76F399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8.6.1</w:t>
      </w:r>
      <w:r>
        <w:rPr>
          <w:rFonts w:ascii="Times New Roman" w:hAnsi="Times New Roman" w:eastAsia="仿宋_GB2312"/>
          <w:color w:val="000000"/>
          <w:sz w:val="24"/>
          <w:szCs w:val="24"/>
          <w:highlight w:val="none"/>
        </w:rPr>
        <w:tab/>
      </w:r>
      <w:r>
        <w:rPr>
          <w:rFonts w:ascii="Times New Roman" w:hAnsi="Times New Roman" w:eastAsia="仿宋_GB2312"/>
          <w:color w:val="000000"/>
          <w:sz w:val="24"/>
          <w:szCs w:val="24"/>
          <w:highlight w:val="none"/>
        </w:rPr>
        <w:t>样品的报送与封存</w:t>
      </w:r>
    </w:p>
    <w:p w14:paraId="3E7F56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需要承包人报送样品的材料或工程设备，样品的种类、名称、规格、数量要求：</w:t>
      </w:r>
      <w:r>
        <w:rPr>
          <w:rFonts w:ascii="Times New Roman" w:hAnsi="Times New Roman" w:eastAsia="仿宋_GB2312"/>
          <w:color w:val="000000"/>
          <w:sz w:val="24"/>
          <w:szCs w:val="24"/>
          <w:highlight w:val="none"/>
          <w:u w:val="single"/>
        </w:rPr>
        <w:t>按管理部门要求和发包人需求确定</w:t>
      </w:r>
      <w:r>
        <w:rPr>
          <w:rFonts w:ascii="Times New Roman" w:hAnsi="Times New Roman" w:eastAsia="仿宋_GB2312"/>
          <w:color w:val="000000"/>
          <w:sz w:val="24"/>
          <w:szCs w:val="24"/>
          <w:highlight w:val="none"/>
        </w:rPr>
        <w:t>。</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6894ED21">
      <w:pPr>
        <w:spacing w:line="360" w:lineRule="auto"/>
        <w:jc w:val="left"/>
        <w:rPr>
          <w:rFonts w:ascii="黑体" w:hAnsi="黑体" w:eastAsia="黑体"/>
          <w:color w:val="000000"/>
          <w:sz w:val="24"/>
          <w:szCs w:val="24"/>
          <w:highlight w:val="none"/>
        </w:rPr>
      </w:pPr>
      <w:bookmarkStart w:id="443" w:name="_Toc351203641"/>
      <w:r>
        <w:rPr>
          <w:rFonts w:ascii="黑体" w:hAnsi="黑体" w:eastAsia="黑体"/>
          <w:color w:val="000000"/>
          <w:sz w:val="24"/>
          <w:szCs w:val="24"/>
          <w:highlight w:val="none"/>
        </w:rPr>
        <w:t>8.8 施工设备和临时设施</w:t>
      </w:r>
    </w:p>
    <w:p w14:paraId="5EB437A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8.8.1 承包人提供的施工设备和临时设施</w:t>
      </w:r>
    </w:p>
    <w:p w14:paraId="486B22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关于修建临时设施费用承担的约定：</w:t>
      </w:r>
      <w:r>
        <w:rPr>
          <w:rFonts w:hint="eastAsia" w:ascii="Times New Roman" w:hAnsi="Times New Roman" w:eastAsia="仿宋_GB2312"/>
          <w:color w:val="000000"/>
          <w:sz w:val="24"/>
          <w:szCs w:val="24"/>
          <w:highlight w:val="none"/>
        </w:rPr>
        <w:t>由承包人承担，</w:t>
      </w:r>
      <w:r>
        <w:rPr>
          <w:rFonts w:ascii="Times New Roman" w:hAnsi="Times New Roman" w:eastAsia="仿宋_GB2312"/>
          <w:color w:val="000000"/>
          <w:sz w:val="24"/>
          <w:szCs w:val="24"/>
          <w:highlight w:val="none"/>
          <w:u w:val="single"/>
        </w:rPr>
        <w:t>费用包含在合同价中</w:t>
      </w:r>
      <w:r>
        <w:rPr>
          <w:rFonts w:ascii="Times New Roman" w:hAnsi="Times New Roman" w:eastAsia="仿宋_GB2312"/>
          <w:color w:val="000000"/>
          <w:sz w:val="24"/>
          <w:szCs w:val="24"/>
          <w:highlight w:val="none"/>
        </w:rPr>
        <w:t>。</w:t>
      </w:r>
    </w:p>
    <w:p w14:paraId="1403AF0D">
      <w:pPr>
        <w:spacing w:line="360" w:lineRule="auto"/>
        <w:jc w:val="left"/>
        <w:rPr>
          <w:rFonts w:ascii="黑体" w:hAnsi="黑体" w:eastAsia="黑体"/>
          <w:b/>
          <w:bCs/>
          <w:color w:val="000000"/>
          <w:sz w:val="24"/>
          <w:szCs w:val="24"/>
          <w:highlight w:val="none"/>
        </w:rPr>
      </w:pPr>
      <w:r>
        <w:rPr>
          <w:rFonts w:ascii="黑体" w:hAnsi="黑体" w:eastAsia="黑体"/>
          <w:b/>
          <w:bCs/>
          <w:color w:val="000000"/>
          <w:sz w:val="24"/>
          <w:szCs w:val="24"/>
          <w:highlight w:val="none"/>
        </w:rPr>
        <w:t>9</w:t>
      </w:r>
      <w:bookmarkEnd w:id="422"/>
      <w:bookmarkEnd w:id="423"/>
      <w:bookmarkEnd w:id="424"/>
      <w:bookmarkStart w:id="444" w:name="_Toc297216192"/>
      <w:bookmarkStart w:id="445" w:name="_Toc297123533"/>
      <w:bookmarkStart w:id="446" w:name="_Toc300934982"/>
      <w:bookmarkStart w:id="447" w:name="_Toc304295559"/>
      <w:bookmarkStart w:id="448" w:name="_Toc312678021"/>
      <w:bookmarkStart w:id="449" w:name="_Toc312677495"/>
      <w:bookmarkStart w:id="450" w:name="_Toc303539139"/>
      <w:bookmarkStart w:id="451" w:name="_Toc292559883"/>
      <w:bookmarkStart w:id="452" w:name="_Toc267251428"/>
      <w:bookmarkStart w:id="453" w:name="_Toc297048359"/>
      <w:bookmarkStart w:id="454" w:name="_Toc292559378"/>
      <w:bookmarkStart w:id="455" w:name="_Toc296347172"/>
      <w:bookmarkStart w:id="456" w:name="_Toc267251427"/>
      <w:bookmarkStart w:id="457" w:name="_Toc296891213"/>
      <w:bookmarkStart w:id="458" w:name="_Toc297120473"/>
      <w:bookmarkStart w:id="459" w:name="_Toc296944512"/>
      <w:bookmarkStart w:id="460" w:name="_Toc296503173"/>
      <w:bookmarkStart w:id="461" w:name="_Toc296346674"/>
      <w:bookmarkStart w:id="462" w:name="_Toc296891001"/>
      <w:r>
        <w:rPr>
          <w:rFonts w:ascii="黑体" w:hAnsi="黑体" w:eastAsia="黑体"/>
          <w:b/>
          <w:bCs/>
          <w:color w:val="000000"/>
          <w:sz w:val="24"/>
          <w:szCs w:val="24"/>
          <w:highlight w:val="none"/>
        </w:rPr>
        <w:t>. 试验与检验</w:t>
      </w:r>
      <w:bookmarkEnd w:id="443"/>
    </w:p>
    <w:bookmarkEnd w:id="444"/>
    <w:bookmarkEnd w:id="445"/>
    <w:bookmarkEnd w:id="446"/>
    <w:bookmarkEnd w:id="447"/>
    <w:bookmarkEnd w:id="448"/>
    <w:bookmarkEnd w:id="449"/>
    <w:bookmarkEnd w:id="450"/>
    <w:p w14:paraId="53A6601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9</w:t>
      </w:r>
      <w:bookmarkStart w:id="463" w:name="_Toc303539140"/>
      <w:bookmarkStart w:id="464" w:name="_Toc312677496"/>
      <w:bookmarkStart w:id="465" w:name="_Toc304295560"/>
      <w:bookmarkStart w:id="466" w:name="_Toc297123534"/>
      <w:bookmarkStart w:id="467" w:name="_Toc312678022"/>
      <w:bookmarkStart w:id="468" w:name="_Toc300934983"/>
      <w:bookmarkStart w:id="469" w:name="_Toc297216193"/>
      <w:r>
        <w:rPr>
          <w:rFonts w:ascii="黑体" w:hAnsi="黑体" w:eastAsia="黑体"/>
          <w:color w:val="000000"/>
          <w:sz w:val="24"/>
          <w:szCs w:val="24"/>
          <w:highlight w:val="none"/>
        </w:rPr>
        <w:t>.1试验设备与试验人员</w:t>
      </w:r>
    </w:p>
    <w:bookmarkEnd w:id="463"/>
    <w:bookmarkEnd w:id="464"/>
    <w:bookmarkEnd w:id="465"/>
    <w:bookmarkEnd w:id="466"/>
    <w:bookmarkEnd w:id="467"/>
    <w:bookmarkEnd w:id="468"/>
    <w:bookmarkEnd w:id="469"/>
    <w:p w14:paraId="7FFB193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9</w:t>
      </w:r>
      <w:bookmarkStart w:id="470" w:name="_Toc297216194"/>
      <w:bookmarkStart w:id="471" w:name="_Toc312677497"/>
      <w:bookmarkStart w:id="472" w:name="_Toc297123535"/>
      <w:bookmarkStart w:id="473" w:name="_Toc303539141"/>
      <w:bookmarkStart w:id="474" w:name="_Toc304295561"/>
      <w:bookmarkStart w:id="475" w:name="_Toc300934984"/>
      <w:bookmarkStart w:id="476" w:name="_Toc312678023"/>
      <w:bookmarkStart w:id="477" w:name="_Toc318581174"/>
      <w:r>
        <w:rPr>
          <w:rFonts w:ascii="Times New Roman" w:hAnsi="Times New Roman" w:eastAsia="仿宋_GB2312"/>
          <w:color w:val="000000"/>
          <w:sz w:val="24"/>
          <w:szCs w:val="24"/>
          <w:highlight w:val="none"/>
        </w:rPr>
        <w:t>.1.2 试验设备</w:t>
      </w:r>
    </w:p>
    <w:p w14:paraId="74F142A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施工现场需要配置的试验场所：</w:t>
      </w:r>
      <w:bookmarkEnd w:id="470"/>
      <w:bookmarkEnd w:id="471"/>
      <w:bookmarkEnd w:id="472"/>
      <w:bookmarkEnd w:id="473"/>
      <w:bookmarkEnd w:id="474"/>
      <w:bookmarkEnd w:id="475"/>
      <w:bookmarkEnd w:id="476"/>
      <w:bookmarkStart w:id="478" w:name="_Toc304295562"/>
      <w:bookmarkStart w:id="479" w:name="_Toc303539142"/>
      <w:bookmarkStart w:id="480" w:name="_Toc297123536"/>
      <w:bookmarkStart w:id="481" w:name="_Toc312678024"/>
      <w:bookmarkStart w:id="482" w:name="_Toc312677498"/>
      <w:bookmarkStart w:id="483" w:name="_Toc300934985"/>
      <w:bookmarkStart w:id="484" w:name="_Toc297216195"/>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 xml:space="preserve">。 </w:t>
      </w:r>
    </w:p>
    <w:p w14:paraId="475FBD8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施工现场需要配备的试验设备：</w:t>
      </w:r>
      <w:r>
        <w:rPr>
          <w:rFonts w:ascii="Times New Roman" w:hAnsi="Times New Roman" w:eastAsia="仿宋_GB2312"/>
          <w:color w:val="000000"/>
          <w:sz w:val="24"/>
          <w:szCs w:val="24"/>
          <w:highlight w:val="none"/>
          <w:u w:val="single"/>
        </w:rPr>
        <w:t>由承包人自行解决</w:t>
      </w:r>
      <w:r>
        <w:rPr>
          <w:rFonts w:ascii="Times New Roman" w:hAnsi="Times New Roman" w:eastAsia="仿宋_GB2312"/>
          <w:color w:val="000000"/>
          <w:sz w:val="24"/>
          <w:szCs w:val="24"/>
          <w:highlight w:val="none"/>
        </w:rPr>
        <w:t>。</w:t>
      </w:r>
    </w:p>
    <w:p w14:paraId="1FC6197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施工现场需要具备的其他试验条件：</w:t>
      </w:r>
      <w:r>
        <w:rPr>
          <w:rFonts w:ascii="Times New Roman" w:hAnsi="Times New Roman" w:eastAsia="仿宋_GB2312"/>
          <w:color w:val="000000"/>
          <w:sz w:val="24"/>
          <w:szCs w:val="24"/>
          <w:highlight w:val="none"/>
          <w:u w:val="single"/>
        </w:rPr>
        <w:t>由承包人自行解决</w:t>
      </w:r>
      <w:r>
        <w:rPr>
          <w:rFonts w:ascii="Times New Roman" w:hAnsi="Times New Roman" w:eastAsia="仿宋_GB2312"/>
          <w:color w:val="000000"/>
          <w:sz w:val="24"/>
          <w:szCs w:val="24"/>
          <w:highlight w:val="none"/>
        </w:rPr>
        <w:t>。</w:t>
      </w:r>
    </w:p>
    <w:p w14:paraId="00FEADB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 xml:space="preserve">9.4 现场工艺试验 </w:t>
      </w:r>
    </w:p>
    <w:p w14:paraId="4F36790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现场工艺试验的有关约定：</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bookmarkEnd w:id="477"/>
    <w:bookmarkEnd w:id="478"/>
    <w:bookmarkEnd w:id="479"/>
    <w:bookmarkEnd w:id="480"/>
    <w:bookmarkEnd w:id="481"/>
    <w:bookmarkEnd w:id="482"/>
    <w:bookmarkEnd w:id="483"/>
    <w:bookmarkEnd w:id="484"/>
    <w:p w14:paraId="639FDE6B">
      <w:pPr>
        <w:spacing w:line="360" w:lineRule="auto"/>
        <w:jc w:val="left"/>
        <w:rPr>
          <w:rFonts w:ascii="黑体" w:hAnsi="黑体" w:eastAsia="黑体"/>
          <w:b/>
          <w:bCs/>
          <w:color w:val="000000"/>
          <w:sz w:val="24"/>
          <w:szCs w:val="24"/>
          <w:highlight w:val="none"/>
        </w:rPr>
      </w:pPr>
      <w:bookmarkStart w:id="485" w:name="_Toc351203642"/>
      <w:r>
        <w:rPr>
          <w:rFonts w:ascii="黑体" w:hAnsi="黑体" w:eastAsia="黑体"/>
          <w:b/>
          <w:bCs/>
          <w:color w:val="000000"/>
          <w:sz w:val="24"/>
          <w:szCs w:val="24"/>
          <w:highlight w:val="none"/>
        </w:rPr>
        <w:t>1</w:t>
      </w:r>
      <w:bookmarkEnd w:id="451"/>
      <w:bookmarkEnd w:id="452"/>
      <w:bookmarkEnd w:id="453"/>
      <w:bookmarkEnd w:id="454"/>
      <w:bookmarkEnd w:id="455"/>
      <w:bookmarkEnd w:id="456"/>
      <w:bookmarkEnd w:id="457"/>
      <w:bookmarkEnd w:id="458"/>
      <w:bookmarkEnd w:id="459"/>
      <w:bookmarkEnd w:id="460"/>
      <w:bookmarkEnd w:id="461"/>
      <w:bookmarkEnd w:id="462"/>
      <w:bookmarkStart w:id="486" w:name="_Toc296503193"/>
      <w:bookmarkStart w:id="487" w:name="_Toc296891021"/>
      <w:bookmarkStart w:id="488" w:name="_Toc292559903"/>
      <w:bookmarkStart w:id="489" w:name="_Toc297120493"/>
      <w:bookmarkStart w:id="490" w:name="_Toc296346694"/>
      <w:bookmarkStart w:id="491" w:name="_Toc296891233"/>
      <w:bookmarkStart w:id="492" w:name="_Toc297216199"/>
      <w:bookmarkStart w:id="493" w:name="_Toc300934989"/>
      <w:bookmarkStart w:id="494" w:name="_Toc297048379"/>
      <w:bookmarkStart w:id="495" w:name="_Toc303539146"/>
      <w:bookmarkStart w:id="496" w:name="_Toc304295566"/>
      <w:bookmarkStart w:id="497" w:name="_Toc292559398"/>
      <w:bookmarkStart w:id="498" w:name="_Toc297123540"/>
      <w:bookmarkStart w:id="499" w:name="_Toc296944532"/>
      <w:bookmarkStart w:id="500" w:name="_Toc296347192"/>
      <w:bookmarkStart w:id="501" w:name="_Toc312678025"/>
      <w:bookmarkStart w:id="502" w:name="_Toc312677499"/>
      <w:bookmarkStart w:id="503" w:name="_Toc267251439"/>
      <w:bookmarkStart w:id="504" w:name="_Toc267251437"/>
      <w:bookmarkStart w:id="505" w:name="_Toc267251435"/>
      <w:bookmarkStart w:id="506" w:name="_Toc267251441"/>
      <w:bookmarkStart w:id="507" w:name="_Toc267251433"/>
      <w:bookmarkStart w:id="508" w:name="_Toc267251440"/>
      <w:bookmarkStart w:id="509" w:name="_Toc267251442"/>
      <w:r>
        <w:rPr>
          <w:rFonts w:ascii="黑体" w:hAnsi="黑体" w:eastAsia="黑体"/>
          <w:b/>
          <w:bCs/>
          <w:color w:val="000000"/>
          <w:sz w:val="24"/>
          <w:szCs w:val="24"/>
          <w:highlight w:val="none"/>
        </w:rPr>
        <w:t>0. 变更</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bookmarkEnd w:id="501"/>
    <w:bookmarkEnd w:id="502"/>
    <w:p w14:paraId="52170EF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Start w:id="510" w:name="_Toc303539147"/>
      <w:bookmarkStart w:id="511" w:name="_Toc297123541"/>
      <w:bookmarkStart w:id="512" w:name="_Toc304295567"/>
      <w:bookmarkStart w:id="513" w:name="_Toc300934990"/>
      <w:bookmarkStart w:id="514" w:name="_Toc292559399"/>
      <w:bookmarkStart w:id="515" w:name="_Toc296891022"/>
      <w:bookmarkStart w:id="516" w:name="_Toc296944533"/>
      <w:bookmarkStart w:id="517" w:name="_Toc296346695"/>
      <w:bookmarkStart w:id="518" w:name="_Toc312678026"/>
      <w:bookmarkStart w:id="519" w:name="_Toc297120494"/>
      <w:bookmarkStart w:id="520" w:name="_Toc296891234"/>
      <w:bookmarkStart w:id="521" w:name="_Toc312677500"/>
      <w:bookmarkStart w:id="522" w:name="_Toc292559904"/>
      <w:bookmarkStart w:id="523" w:name="_Toc296347193"/>
      <w:bookmarkStart w:id="524" w:name="_Toc296503194"/>
      <w:bookmarkStart w:id="525" w:name="_Toc297048380"/>
      <w:bookmarkStart w:id="526" w:name="_Toc297216200"/>
      <w:r>
        <w:rPr>
          <w:rFonts w:ascii="黑体" w:hAnsi="黑体" w:eastAsia="黑体"/>
          <w:color w:val="000000"/>
          <w:sz w:val="24"/>
          <w:szCs w:val="24"/>
          <w:highlight w:val="none"/>
        </w:rPr>
        <w:t>0.1变更的范围</w:t>
      </w:r>
    </w:p>
    <w:p w14:paraId="69BEED3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关于变更的范围的约定：</w:t>
      </w:r>
      <w:r>
        <w:rPr>
          <w:rFonts w:hint="eastAsia" w:ascii="Times New Roman" w:hAnsi="Times New Roman" w:eastAsia="仿宋_GB2312"/>
          <w:color w:val="000000"/>
          <w:sz w:val="24"/>
          <w:szCs w:val="24"/>
          <w:highlight w:val="none"/>
          <w:u w:val="single"/>
        </w:rPr>
        <w:t>工程设计变更或发包人增加的工程量确认需有设计、监理、造价（审计）、发包人、承包人同时确定并加盖公章方可有效，否则无效</w:t>
      </w:r>
      <w:r>
        <w:rPr>
          <w:rFonts w:ascii="Times New Roman" w:hAnsi="Times New Roman" w:eastAsia="仿宋_GB2312"/>
          <w:color w:val="000000"/>
          <w:sz w:val="24"/>
          <w:szCs w:val="24"/>
          <w:highlight w:val="none"/>
          <w:u w:val="none"/>
        </w:rPr>
        <w:t>。</w:t>
      </w:r>
    </w:p>
    <w:p w14:paraId="48642B9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10.4 变更估价</w:t>
      </w:r>
    </w:p>
    <w:p w14:paraId="5411F0D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10.4.1 变更估价原则</w:t>
      </w:r>
    </w:p>
    <w:p w14:paraId="23F9BF16">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关于变更估价的约定:</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1）已标价工程量清单或预算书有相同项目的，按照相同项目单价认定；如果工程变更项目出现承包人在工程量清单中填报的综合单价与发包人招标控制价中相应清单项目的综合单价偏差超过15%，则工程变更项目的综合单价可由发承包双方按照2013清单计价规范规定调整</w:t>
      </w:r>
      <w:r>
        <w:rPr>
          <w:rFonts w:hint="eastAsia" w:ascii="Times New Roman" w:hAnsi="Times New Roman" w:eastAsia="仿宋_GB2312"/>
          <w:color w:val="000000"/>
          <w:sz w:val="24"/>
          <w:szCs w:val="24"/>
          <w:highlight w:val="none"/>
          <w:u w:val="none"/>
        </w:rPr>
        <w:t>。</w:t>
      </w:r>
    </w:p>
    <w:p w14:paraId="300DACB9">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（2）已标价工程量清单或预算书中无相同项目，但有类似项目的，参照类似项目的单价认定</w:t>
      </w:r>
      <w:r>
        <w:rPr>
          <w:rFonts w:hint="eastAsia" w:ascii="Times New Roman" w:hAnsi="Times New Roman" w:eastAsia="仿宋_GB2312"/>
          <w:color w:val="000000"/>
          <w:sz w:val="24"/>
          <w:szCs w:val="24"/>
          <w:highlight w:val="none"/>
          <w:u w:val="none"/>
        </w:rPr>
        <w:t>；</w:t>
      </w:r>
    </w:p>
    <w:p w14:paraId="6305B76A">
      <w:pPr>
        <w:spacing w:line="360" w:lineRule="auto"/>
        <w:jc w:val="left"/>
        <w:rPr>
          <w:rFonts w:hint="eastAsia" w:ascii="Times New Roman" w:hAnsi="Times New Roman" w:eastAsia="仿宋_GB2312"/>
          <w:color w:val="000000"/>
          <w:sz w:val="24"/>
          <w:szCs w:val="24"/>
          <w:highlight w:val="none"/>
          <w:u w:val="single"/>
          <w:lang w:val="en-US" w:eastAsia="zh-CN"/>
        </w:rPr>
      </w:pPr>
      <w:r>
        <w:rPr>
          <w:rFonts w:hint="eastAsia" w:ascii="Times New Roman" w:hAnsi="Times New Roman" w:eastAsia="仿宋_GB2312"/>
          <w:color w:val="000000"/>
          <w:sz w:val="24"/>
          <w:szCs w:val="24"/>
          <w:highlight w:val="none"/>
          <w:u w:val="single"/>
        </w:rPr>
        <w:t>（3）变更导致实际完成的变更工程量与已标价工程量清单或预算书中列明的该项目工程量的变化幅度超过15%的，或已标价工程量清单或预算书中无相同项目及类似项目单价的，按照合理的成本与利润构成的原则，由承包人14天内报送价格，合同当事人按照第4.4款〔商定或确定〕确定变更工作的单价</w:t>
      </w:r>
      <w:r>
        <w:rPr>
          <w:rFonts w:hint="eastAsia" w:ascii="Times New Roman" w:hAnsi="Times New Roman" w:eastAsia="仿宋_GB2312"/>
          <w:color w:val="000000"/>
          <w:sz w:val="24"/>
          <w:szCs w:val="24"/>
          <w:highlight w:val="none"/>
          <w:u w:val="none"/>
        </w:rPr>
        <w:t>。</w:t>
      </w:r>
    </w:p>
    <w:p w14:paraId="1DF1D1A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Start w:id="527" w:name="_Toc296891025"/>
      <w:bookmarkStart w:id="528" w:name="_Toc296891237"/>
      <w:bookmarkStart w:id="529" w:name="_Toc300934993"/>
      <w:bookmarkStart w:id="530" w:name="_Toc297120497"/>
      <w:bookmarkStart w:id="531" w:name="_Toc296347196"/>
      <w:bookmarkStart w:id="532" w:name="_Toc297123544"/>
      <w:bookmarkStart w:id="533" w:name="_Toc296944536"/>
      <w:bookmarkStart w:id="534" w:name="_Toc297216203"/>
      <w:bookmarkStart w:id="535" w:name="_Toc296503197"/>
      <w:bookmarkStart w:id="536" w:name="_Toc292559402"/>
      <w:bookmarkStart w:id="537" w:name="_Toc297048383"/>
      <w:bookmarkStart w:id="538" w:name="_Toc296346698"/>
      <w:bookmarkStart w:id="539" w:name="_Toc303539150"/>
      <w:bookmarkStart w:id="540" w:name="_Toc292559907"/>
      <w:bookmarkStart w:id="541" w:name="_Toc304295570"/>
      <w:bookmarkStart w:id="542" w:name="_Toc312678029"/>
      <w:bookmarkStart w:id="543" w:name="_Toc312677503"/>
      <w:r>
        <w:rPr>
          <w:rFonts w:ascii="黑体" w:hAnsi="黑体" w:eastAsia="黑体"/>
          <w:color w:val="000000"/>
          <w:sz w:val="24"/>
          <w:szCs w:val="24"/>
          <w:highlight w:val="none"/>
        </w:rPr>
        <w:t>0.5承</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4" w:name="_Toc297123545"/>
      <w:bookmarkStart w:id="545" w:name="_Toc292559408"/>
      <w:bookmarkStart w:id="546" w:name="_Toc296503203"/>
      <w:bookmarkStart w:id="547" w:name="_Toc296347202"/>
      <w:bookmarkStart w:id="548" w:name="_Toc296891243"/>
      <w:bookmarkStart w:id="549" w:name="_Toc297120503"/>
      <w:bookmarkStart w:id="550" w:name="_Toc292559913"/>
      <w:bookmarkStart w:id="551" w:name="_Toc297048389"/>
      <w:bookmarkStart w:id="552" w:name="_Toc296346704"/>
      <w:bookmarkStart w:id="553" w:name="_Toc297216204"/>
      <w:bookmarkStart w:id="554" w:name="_Toc303539151"/>
      <w:bookmarkStart w:id="555" w:name="_Toc300934994"/>
      <w:bookmarkStart w:id="556" w:name="_Toc296891031"/>
      <w:bookmarkStart w:id="557" w:name="_Toc296944542"/>
      <w:r>
        <w:rPr>
          <w:rFonts w:ascii="黑体" w:hAnsi="黑体" w:eastAsia="黑体"/>
          <w:color w:val="000000"/>
          <w:sz w:val="24"/>
          <w:szCs w:val="24"/>
          <w:highlight w:val="none"/>
        </w:rPr>
        <w:t>包人的合理化建议</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96804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监理人审查承包人合理化建议的期限：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D378C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发包人审批承包人合理化建议的期限：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7422A4C">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承</w:t>
      </w:r>
      <w:bookmarkStart w:id="558" w:name="_Toc312678030"/>
      <w:bookmarkStart w:id="559" w:name="_Toc292559409"/>
      <w:bookmarkStart w:id="560" w:name="_Toc296347203"/>
      <w:bookmarkStart w:id="561" w:name="_Toc300934995"/>
      <w:bookmarkStart w:id="562" w:name="_Toc312677504"/>
      <w:bookmarkStart w:id="563" w:name="_Toc318581175"/>
      <w:bookmarkStart w:id="564" w:name="_Toc297123546"/>
      <w:bookmarkStart w:id="565" w:name="_Toc296503204"/>
      <w:bookmarkStart w:id="566" w:name="_Toc297120504"/>
      <w:bookmarkStart w:id="567" w:name="_Toc296891032"/>
      <w:bookmarkStart w:id="568" w:name="_Toc296891244"/>
      <w:bookmarkStart w:id="569" w:name="_Toc292559914"/>
      <w:bookmarkStart w:id="570" w:name="_Toc297048390"/>
      <w:bookmarkStart w:id="571" w:name="_Toc296346705"/>
      <w:bookmarkStart w:id="572" w:name="_Toc303539152"/>
      <w:bookmarkStart w:id="573" w:name="_Toc296944543"/>
      <w:bookmarkStart w:id="574" w:name="_Toc304295571"/>
      <w:bookmarkStart w:id="575" w:name="_Toc297216205"/>
      <w:r>
        <w:rPr>
          <w:rFonts w:ascii="Times New Roman" w:hAnsi="Times New Roman" w:eastAsia="仿宋_GB2312"/>
          <w:color w:val="000000"/>
          <w:sz w:val="24"/>
          <w:szCs w:val="24"/>
          <w:highlight w:val="none"/>
        </w:rPr>
        <w:t>包人提出的合理化建议降低了合同价格或者提高了工程经济效益的奖励的方法和金额为：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0A2DBD1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Start w:id="576" w:name="_Toc296347198"/>
      <w:bookmarkStart w:id="577" w:name="_Toc296891027"/>
      <w:bookmarkStart w:id="578" w:name="_Toc297216207"/>
      <w:bookmarkStart w:id="579" w:name="_Toc292559404"/>
      <w:bookmarkStart w:id="580" w:name="_Toc304295574"/>
      <w:bookmarkStart w:id="581" w:name="_Toc300934997"/>
      <w:bookmarkStart w:id="582" w:name="_Toc292559909"/>
      <w:bookmarkStart w:id="583" w:name="_Toc312677507"/>
      <w:bookmarkStart w:id="584" w:name="_Toc303539154"/>
      <w:bookmarkStart w:id="585" w:name="_Toc312678033"/>
      <w:bookmarkStart w:id="586" w:name="_Toc297048385"/>
      <w:bookmarkStart w:id="587" w:name="_Toc296944538"/>
      <w:bookmarkStart w:id="588" w:name="_Toc296503199"/>
      <w:bookmarkStart w:id="589" w:name="_Toc296346700"/>
      <w:bookmarkStart w:id="590" w:name="_Toc296891239"/>
      <w:bookmarkStart w:id="591" w:name="_Toc297120499"/>
      <w:bookmarkStart w:id="592" w:name="_Toc297123548"/>
      <w:r>
        <w:rPr>
          <w:rFonts w:ascii="黑体" w:hAnsi="黑体" w:eastAsia="黑体"/>
          <w:color w:val="000000"/>
          <w:sz w:val="24"/>
          <w:szCs w:val="24"/>
          <w:highlight w:val="none"/>
        </w:rPr>
        <w:t>0.7 暂估价</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14:paraId="076FEAE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暂</w:t>
      </w:r>
      <w:bookmarkStart w:id="593" w:name="_Toc318581176"/>
      <w:bookmarkStart w:id="594" w:name="_Toc312678034"/>
      <w:bookmarkStart w:id="595" w:name="_Toc312677508"/>
      <w:r>
        <w:rPr>
          <w:rFonts w:ascii="Times New Roman" w:hAnsi="Times New Roman" w:eastAsia="仿宋_GB2312"/>
          <w:color w:val="000000"/>
          <w:sz w:val="24"/>
          <w:szCs w:val="24"/>
          <w:highlight w:val="none"/>
        </w:rPr>
        <w:t>估价材料和工程设备的明细详见附件11：《暂估价一览表》。</w:t>
      </w:r>
    </w:p>
    <w:bookmarkEnd w:id="593"/>
    <w:bookmarkEnd w:id="594"/>
    <w:bookmarkEnd w:id="595"/>
    <w:p w14:paraId="7A78A63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596" w:name="_Toc312677509"/>
      <w:bookmarkStart w:id="597" w:name="_Toc312678035"/>
      <w:bookmarkStart w:id="598" w:name="_Toc318581177"/>
      <w:r>
        <w:rPr>
          <w:rFonts w:ascii="Times New Roman" w:hAnsi="Times New Roman" w:eastAsia="仿宋_GB2312"/>
          <w:color w:val="000000"/>
          <w:sz w:val="24"/>
          <w:szCs w:val="24"/>
          <w:highlight w:val="none"/>
        </w:rPr>
        <w:t>0.7.1 依法必须招标的暂估价项目</w:t>
      </w:r>
    </w:p>
    <w:bookmarkEnd w:id="596"/>
    <w:bookmarkEnd w:id="597"/>
    <w:bookmarkEnd w:id="598"/>
    <w:p w14:paraId="587B421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对于依法必须招标的暂估价项目的确认和批准采取第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w:t>
      </w:r>
      <w:r>
        <w:rPr>
          <w:rFonts w:hint="eastAsia" w:ascii="Times New Roman" w:hAnsi="Times New Roman" w:eastAsia="仿宋_GB2312"/>
          <w:color w:val="000000"/>
          <w:sz w:val="24"/>
          <w:szCs w:val="24"/>
          <w:highlight w:val="none"/>
          <w:u w:val="single"/>
          <w:lang w:val="en-US" w:eastAsia="zh-CN"/>
        </w:rPr>
        <w:t>2</w:t>
      </w:r>
      <w:r>
        <w:rPr>
          <w:rFonts w:hint="eastAsia" w:ascii="Times New Roman" w:hAnsi="Times New Roman" w:eastAsia="仿宋_GB2312"/>
          <w:color w:val="000000"/>
          <w:sz w:val="24"/>
          <w:szCs w:val="24"/>
          <w:highlight w:val="none"/>
          <w:u w:val="single"/>
          <w:lang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种方式确定。</w:t>
      </w:r>
    </w:p>
    <w:p w14:paraId="1A9EBBE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10.7.2 不属于依法必须招标的暂估价项目</w:t>
      </w:r>
    </w:p>
    <w:p w14:paraId="6A501F0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对于不属于依法必须招标的暂估价项目的确认和批准采取第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1</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种方式确定。</w:t>
      </w:r>
    </w:p>
    <w:p w14:paraId="593B1B9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第3种方式：承包人直接实施的暂估价项目</w:t>
      </w:r>
    </w:p>
    <w:p w14:paraId="18C9DFC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承包人直接实施的暂估价项目的约定：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none"/>
          <w:lang w:eastAsia="zh-CN"/>
        </w:rPr>
        <w:t>。</w:t>
      </w:r>
    </w:p>
    <w:p w14:paraId="79EB9D6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10.8 暂列金额</w:t>
      </w:r>
    </w:p>
    <w:p w14:paraId="2DC96BB0">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合同当事人关于暂列金额使用的约定：</w:t>
      </w:r>
      <w:r>
        <w:rPr>
          <w:rFonts w:hint="eastAsia" w:ascii="Times New Roman" w:hAnsi="Times New Roman" w:eastAsia="仿宋_GB2312"/>
          <w:color w:val="000000"/>
          <w:sz w:val="24"/>
          <w:szCs w:val="24"/>
          <w:highlight w:val="none"/>
          <w:u w:val="single"/>
        </w:rPr>
        <w:t>1.暂列金由发包人确定设立并支配使用；2.暂列金使用按12.1条款执行；3.暂列金的支付时间为工程竣工验收结算后进行支付</w:t>
      </w:r>
      <w:r>
        <w:rPr>
          <w:rFonts w:hint="eastAsia" w:ascii="Times New Roman" w:hAnsi="Times New Roman" w:eastAsia="仿宋_GB2312"/>
          <w:color w:val="000000"/>
          <w:sz w:val="24"/>
          <w:szCs w:val="24"/>
          <w:highlight w:val="none"/>
          <w:u w:val="none"/>
        </w:rPr>
        <w:t>。</w:t>
      </w:r>
    </w:p>
    <w:p w14:paraId="0B6D323E">
      <w:pPr>
        <w:spacing w:line="360" w:lineRule="auto"/>
        <w:jc w:val="left"/>
        <w:rPr>
          <w:rFonts w:ascii="黑体" w:hAnsi="黑体" w:eastAsia="黑体"/>
          <w:b/>
          <w:bCs/>
          <w:color w:val="000000"/>
          <w:sz w:val="24"/>
          <w:szCs w:val="24"/>
          <w:highlight w:val="none"/>
        </w:rPr>
      </w:pPr>
      <w:bookmarkStart w:id="599" w:name="_Toc351203643"/>
      <w:r>
        <w:rPr>
          <w:rFonts w:ascii="黑体" w:hAnsi="黑体" w:eastAsia="黑体"/>
          <w:b/>
          <w:bCs/>
          <w:color w:val="000000"/>
          <w:sz w:val="24"/>
          <w:szCs w:val="24"/>
          <w:highlight w:val="none"/>
        </w:rPr>
        <w:t>11. 价格调整</w:t>
      </w:r>
      <w:bookmarkEnd w:id="599"/>
    </w:p>
    <w:p w14:paraId="642B7DB6">
      <w:pPr>
        <w:spacing w:line="360" w:lineRule="auto"/>
        <w:jc w:val="left"/>
        <w:rPr>
          <w:rFonts w:ascii="黑体" w:hAnsi="黑体" w:eastAsia="黑体"/>
          <w:color w:val="000000"/>
          <w:sz w:val="24"/>
          <w:szCs w:val="24"/>
          <w:highlight w:val="none"/>
        </w:rPr>
      </w:pPr>
      <w:bookmarkStart w:id="600" w:name="_Toc297123550"/>
      <w:bookmarkStart w:id="601" w:name="_Toc292559911"/>
      <w:bookmarkStart w:id="602" w:name="_Toc297120501"/>
      <w:bookmarkStart w:id="603" w:name="_Toc296346702"/>
      <w:bookmarkStart w:id="604" w:name="_Toc296944540"/>
      <w:bookmarkStart w:id="605" w:name="_Toc297216209"/>
      <w:bookmarkStart w:id="606" w:name="_Toc296503201"/>
      <w:bookmarkStart w:id="607" w:name="_Toc300935000"/>
      <w:bookmarkStart w:id="608" w:name="_Toc304295577"/>
      <w:bookmarkStart w:id="609" w:name="_Toc296347200"/>
      <w:bookmarkStart w:id="610" w:name="_Toc296891241"/>
      <w:bookmarkStart w:id="611" w:name="_Toc292559406"/>
      <w:bookmarkStart w:id="612" w:name="_Toc296891029"/>
      <w:bookmarkStart w:id="613" w:name="_Toc303539157"/>
      <w:bookmarkStart w:id="614" w:name="_Toc312678039"/>
      <w:bookmarkStart w:id="615" w:name="_Toc297048387"/>
      <w:r>
        <w:rPr>
          <w:rFonts w:ascii="黑体" w:hAnsi="黑体" w:eastAsia="黑体"/>
          <w:color w:val="000000"/>
          <w:sz w:val="24"/>
          <w:szCs w:val="24"/>
          <w:highlight w:val="none"/>
        </w:rPr>
        <w:t>11.1 市场价格波动引起的调整</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57C7130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市场价格波动是否调整合同价格的约定：</w:t>
      </w:r>
      <w:r>
        <w:rPr>
          <w:rFonts w:hint="eastAsia" w:ascii="Times New Roman" w:hAnsi="Times New Roman" w:eastAsia="仿宋_GB2312"/>
          <w:color w:val="000000"/>
          <w:sz w:val="24"/>
          <w:szCs w:val="24"/>
          <w:highlight w:val="none"/>
          <w:u w:val="single"/>
          <w:lang w:val="en-US" w:eastAsia="zh-CN"/>
        </w:rPr>
        <w:t xml:space="preserve">  不</w:t>
      </w:r>
      <w:r>
        <w:rPr>
          <w:rFonts w:ascii="Times New Roman" w:hAnsi="Times New Roman" w:eastAsia="仿宋_GB2312"/>
          <w:color w:val="000000"/>
          <w:sz w:val="24"/>
          <w:szCs w:val="24"/>
          <w:highlight w:val="none"/>
          <w:u w:val="single"/>
        </w:rPr>
        <w:t>调整</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w:t>
      </w:r>
    </w:p>
    <w:p w14:paraId="1E44114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因市场价格波动调整合同价格，采用以下第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种方式对合同价格进行调整：</w:t>
      </w:r>
    </w:p>
    <w:p w14:paraId="1D5320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第1种方式：采用价格指数进行价格调整。</w:t>
      </w:r>
    </w:p>
    <w:p w14:paraId="239B113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关于各可调因子、定值和变值权重，以及基本价格指数及其来源的约定：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5C4EDF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第2种方式：采用造价信息进行价格调整。</w:t>
      </w:r>
    </w:p>
    <w:p w14:paraId="0D414AE9">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lang w:eastAsia="zh-CN"/>
        </w:rPr>
        <w:t>（</w:t>
      </w:r>
      <w:r>
        <w:rPr>
          <w:rFonts w:hint="eastAsia" w:ascii="Times New Roman" w:hAnsi="Times New Roman" w:eastAsia="仿宋_GB2312"/>
          <w:color w:val="000000"/>
          <w:sz w:val="24"/>
          <w:szCs w:val="24"/>
          <w:highlight w:val="none"/>
          <w:lang w:val="en-US" w:eastAsia="zh-CN"/>
        </w:rPr>
        <w:t>2</w:t>
      </w:r>
      <w:r>
        <w:rPr>
          <w:rFonts w:hint="eastAsia" w:ascii="Times New Roman" w:hAnsi="Times New Roman" w:eastAsia="仿宋_GB2312"/>
          <w:color w:val="000000"/>
          <w:sz w:val="24"/>
          <w:szCs w:val="24"/>
          <w:highlight w:val="none"/>
          <w:lang w:eastAsia="zh-CN"/>
        </w:rPr>
        <w:t>）</w:t>
      </w:r>
      <w:r>
        <w:rPr>
          <w:rFonts w:ascii="Times New Roman" w:hAnsi="Times New Roman" w:eastAsia="仿宋_GB2312"/>
          <w:color w:val="000000"/>
          <w:sz w:val="24"/>
          <w:szCs w:val="24"/>
          <w:highlight w:val="none"/>
        </w:rPr>
        <w:t>关于基准价格的约定：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限</w:t>
      </w:r>
      <w:r>
        <w:rPr>
          <w:rFonts w:hint="eastAsia" w:ascii="Times New Roman" w:hAnsi="Times New Roman" w:eastAsia="仿宋_GB2312"/>
          <w:color w:val="000000"/>
          <w:sz w:val="24"/>
          <w:szCs w:val="24"/>
          <w:highlight w:val="none"/>
          <w:u w:val="single"/>
        </w:rPr>
        <w:t>价编制时的材料价格信息</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B9B19BD">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%时，或材料单价跌幅以已标价工程量清单或预算书中载明材料单价为基础超过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p>
    <w:p w14:paraId="5802F780">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②承包人在已标价工程量清单或预算书中载明的材料单价高于基准价格的：专用合同条款合同履行期间材料单价跌幅以基准价格为基础超过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%时，材料单价涨幅以已标价工程量清单或预算书中载明材料单价为基础超过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p>
    <w:p w14:paraId="2F2B0DF6">
      <w:pPr>
        <w:spacing w:line="360" w:lineRule="auto"/>
        <w:jc w:val="left"/>
        <w:rPr>
          <w:rFonts w:hint="eastAsia" w:ascii="宋体" w:hAnsi="宋体" w:eastAsia="宋体" w:cs="宋体"/>
          <w:color w:val="auto"/>
          <w:sz w:val="24"/>
          <w:szCs w:val="24"/>
          <w:highlight w:val="none"/>
        </w:rPr>
      </w:pPr>
      <w:r>
        <w:rPr>
          <w:rFonts w:hint="eastAsia" w:ascii="Times New Roman" w:hAnsi="Times New Roman" w:eastAsia="仿宋_GB2312"/>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r>
        <w:rPr>
          <w:rFonts w:hint="eastAsia" w:ascii="宋体" w:hAnsi="宋体" w:eastAsia="宋体" w:cs="宋体"/>
          <w:color w:val="auto"/>
          <w:sz w:val="24"/>
          <w:szCs w:val="24"/>
          <w:highlight w:val="none"/>
        </w:rPr>
        <w:t>。</w:t>
      </w:r>
    </w:p>
    <w:p w14:paraId="60B644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第3种方式：其他价格调整方式：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503"/>
    <w:bookmarkEnd w:id="504"/>
    <w:bookmarkEnd w:id="505"/>
    <w:bookmarkEnd w:id="506"/>
    <w:bookmarkEnd w:id="507"/>
    <w:bookmarkEnd w:id="508"/>
    <w:p w14:paraId="17483318">
      <w:pPr>
        <w:spacing w:line="360" w:lineRule="auto"/>
        <w:jc w:val="left"/>
        <w:rPr>
          <w:rFonts w:ascii="黑体" w:hAnsi="黑体" w:eastAsia="黑体"/>
          <w:b/>
          <w:bCs/>
          <w:color w:val="000000"/>
          <w:sz w:val="24"/>
          <w:szCs w:val="24"/>
          <w:highlight w:val="none"/>
        </w:rPr>
      </w:pPr>
      <w:bookmarkStart w:id="616" w:name="_Toc297048391"/>
      <w:bookmarkStart w:id="617" w:name="_Toc292559410"/>
      <w:bookmarkStart w:id="618" w:name="_Toc292559915"/>
      <w:bookmarkStart w:id="619" w:name="_Toc296891245"/>
      <w:bookmarkStart w:id="620" w:name="_Toc296944544"/>
      <w:bookmarkStart w:id="621" w:name="_Toc296891033"/>
      <w:bookmarkStart w:id="622" w:name="_Toc296346706"/>
      <w:bookmarkStart w:id="623" w:name="_Toc297120505"/>
      <w:bookmarkStart w:id="624" w:name="_Toc296347204"/>
      <w:bookmarkStart w:id="625" w:name="_Toc296503205"/>
      <w:bookmarkStart w:id="626" w:name="_Toc351203644"/>
      <w:bookmarkStart w:id="627" w:name="_Toc304295579"/>
      <w:bookmarkStart w:id="628" w:name="_Toc312678040"/>
      <w:bookmarkStart w:id="629" w:name="_Toc297216211"/>
      <w:bookmarkStart w:id="630" w:name="_Toc300935002"/>
      <w:bookmarkStart w:id="631" w:name="_Toc303539159"/>
      <w:bookmarkStart w:id="632" w:name="_Toc297123552"/>
      <w:r>
        <w:rPr>
          <w:rFonts w:ascii="黑体" w:hAnsi="黑体" w:eastAsia="黑体"/>
          <w:b/>
          <w:bCs/>
          <w:color w:val="000000"/>
          <w:sz w:val="24"/>
          <w:szCs w:val="24"/>
          <w:highlight w:val="none"/>
        </w:rPr>
        <w:t xml:space="preserve">12. </w:t>
      </w:r>
      <w:bookmarkEnd w:id="616"/>
      <w:bookmarkEnd w:id="617"/>
      <w:bookmarkEnd w:id="618"/>
      <w:bookmarkEnd w:id="619"/>
      <w:bookmarkEnd w:id="620"/>
      <w:bookmarkEnd w:id="621"/>
      <w:bookmarkEnd w:id="622"/>
      <w:bookmarkEnd w:id="623"/>
      <w:bookmarkEnd w:id="624"/>
      <w:bookmarkEnd w:id="625"/>
      <w:r>
        <w:rPr>
          <w:rFonts w:ascii="黑体" w:hAnsi="黑体" w:eastAsia="黑体"/>
          <w:b/>
          <w:bCs/>
          <w:color w:val="000000"/>
          <w:sz w:val="24"/>
          <w:szCs w:val="24"/>
          <w:highlight w:val="none"/>
        </w:rPr>
        <w:t>合同价格、计量与支付</w:t>
      </w:r>
      <w:bookmarkEnd w:id="626"/>
    </w:p>
    <w:bookmarkEnd w:id="627"/>
    <w:bookmarkEnd w:id="628"/>
    <w:bookmarkEnd w:id="629"/>
    <w:bookmarkEnd w:id="630"/>
    <w:bookmarkEnd w:id="631"/>
    <w:bookmarkEnd w:id="632"/>
    <w:p w14:paraId="4D76AB0B">
      <w:pPr>
        <w:spacing w:line="360" w:lineRule="auto"/>
        <w:jc w:val="left"/>
        <w:rPr>
          <w:rFonts w:ascii="黑体" w:hAnsi="黑体" w:eastAsia="黑体"/>
          <w:color w:val="000000"/>
          <w:sz w:val="24"/>
          <w:szCs w:val="24"/>
          <w:highlight w:val="none"/>
        </w:rPr>
      </w:pPr>
      <w:bookmarkStart w:id="633" w:name="_Toc292559411"/>
      <w:bookmarkStart w:id="634" w:name="_Toc267251461"/>
      <w:bookmarkStart w:id="635" w:name="_Toc292559916"/>
      <w:bookmarkStart w:id="636" w:name="_Toc296503206"/>
      <w:bookmarkStart w:id="637" w:name="_Toc297120506"/>
      <w:bookmarkStart w:id="638" w:name="_Toc296891034"/>
      <w:bookmarkStart w:id="639" w:name="_Toc296944545"/>
      <w:bookmarkStart w:id="640" w:name="_Toc297048392"/>
      <w:bookmarkStart w:id="641" w:name="_Toc296347205"/>
      <w:bookmarkStart w:id="642" w:name="_Toc296346707"/>
      <w:bookmarkStart w:id="643" w:name="_Toc296891246"/>
      <w:bookmarkStart w:id="644" w:name="_Toc312678041"/>
      <w:bookmarkStart w:id="645" w:name="_Toc304295580"/>
      <w:bookmarkStart w:id="646" w:name="_Toc300935003"/>
      <w:bookmarkStart w:id="647" w:name="_Toc303539160"/>
      <w:bookmarkStart w:id="648" w:name="_Toc297123553"/>
      <w:bookmarkStart w:id="649" w:name="_Toc297216212"/>
      <w:r>
        <w:rPr>
          <w:rFonts w:ascii="黑体" w:hAnsi="黑体" w:eastAsia="黑体"/>
          <w:color w:val="000000"/>
          <w:sz w:val="24"/>
          <w:szCs w:val="24"/>
          <w:highlight w:val="none"/>
        </w:rPr>
        <w:t>12.1 合</w:t>
      </w:r>
      <w:bookmarkEnd w:id="633"/>
      <w:bookmarkEnd w:id="634"/>
      <w:bookmarkEnd w:id="635"/>
      <w:r>
        <w:rPr>
          <w:rFonts w:ascii="黑体" w:hAnsi="黑体" w:eastAsia="黑体"/>
          <w:color w:val="000000"/>
          <w:sz w:val="24"/>
          <w:szCs w:val="24"/>
          <w:highlight w:val="none"/>
        </w:rPr>
        <w:t>同价</w:t>
      </w:r>
      <w:bookmarkEnd w:id="636"/>
      <w:bookmarkEnd w:id="637"/>
      <w:bookmarkEnd w:id="638"/>
      <w:bookmarkEnd w:id="639"/>
      <w:bookmarkEnd w:id="640"/>
      <w:bookmarkEnd w:id="641"/>
      <w:bookmarkEnd w:id="642"/>
      <w:bookmarkEnd w:id="643"/>
      <w:r>
        <w:rPr>
          <w:rFonts w:ascii="黑体" w:hAnsi="黑体" w:eastAsia="黑体"/>
          <w:color w:val="000000"/>
          <w:sz w:val="24"/>
          <w:szCs w:val="24"/>
          <w:highlight w:val="none"/>
        </w:rPr>
        <w:t>格形式</w:t>
      </w:r>
    </w:p>
    <w:bookmarkEnd w:id="644"/>
    <w:bookmarkEnd w:id="645"/>
    <w:bookmarkEnd w:id="646"/>
    <w:bookmarkEnd w:id="647"/>
    <w:bookmarkEnd w:id="648"/>
    <w:bookmarkEnd w:id="649"/>
    <w:p w14:paraId="707FB894">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b/>
          <w:bCs/>
          <w:color w:val="000000"/>
          <w:sz w:val="24"/>
          <w:szCs w:val="24"/>
          <w:highlight w:val="none"/>
        </w:rPr>
        <w:t>1、单价合同。</w:t>
      </w:r>
    </w:p>
    <w:p w14:paraId="4320CC43">
      <w:pPr>
        <w:spacing w:line="360" w:lineRule="auto"/>
        <w:jc w:val="left"/>
        <w:rPr>
          <w:rFonts w:hint="eastAsia" w:ascii="Times New Roman" w:hAnsi="Times New Roman" w:eastAsia="仿宋_GB2312"/>
          <w:color w:val="000000"/>
          <w:sz w:val="24"/>
          <w:szCs w:val="24"/>
          <w:highlight w:val="none"/>
          <w:u w:val="single"/>
          <w:lang w:eastAsia="zh-CN"/>
        </w:rPr>
      </w:pPr>
      <w:r>
        <w:rPr>
          <w:rFonts w:ascii="Times New Roman" w:hAnsi="Times New Roman" w:eastAsia="仿宋_GB2312"/>
          <w:color w:val="000000"/>
          <w:sz w:val="24"/>
          <w:szCs w:val="24"/>
          <w:highlight w:val="none"/>
        </w:rPr>
        <w:t>综合单价包含的风险范围：</w:t>
      </w:r>
      <w:r>
        <w:rPr>
          <w:rFonts w:hint="eastAsia" w:ascii="Times New Roman" w:hAnsi="Times New Roman" w:eastAsia="仿宋_GB2312"/>
          <w:color w:val="000000"/>
          <w:sz w:val="24"/>
          <w:szCs w:val="24"/>
          <w:highlight w:val="none"/>
          <w:u w:val="single"/>
          <w:lang w:eastAsia="zh-CN"/>
        </w:rPr>
        <w:t>1.对于法律、法规、规章或有关政策出台导致工程税金、规费、人工费发生变化，并由省级、行业建设行政主管部门或其授权的工程造价管理机构根据上述变化发布的政策性调整，承包人不承担此类风险，按照有关调整规定执行</w:t>
      </w:r>
      <w:r>
        <w:rPr>
          <w:rFonts w:hint="eastAsia" w:ascii="Times New Roman" w:hAnsi="Times New Roman" w:eastAsia="仿宋_GB2312"/>
          <w:color w:val="000000"/>
          <w:sz w:val="24"/>
          <w:szCs w:val="24"/>
          <w:highlight w:val="none"/>
          <w:u w:val="none"/>
          <w:lang w:eastAsia="zh-CN"/>
        </w:rPr>
        <w:t>。</w:t>
      </w:r>
    </w:p>
    <w:p w14:paraId="50B5EF29">
      <w:pPr>
        <w:spacing w:line="360" w:lineRule="auto"/>
        <w:jc w:val="left"/>
        <w:rPr>
          <w:rFonts w:ascii="Times New Roman" w:hAnsi="Times New Roman" w:eastAsia="仿宋_GB2312"/>
          <w:b/>
          <w:bCs/>
          <w:color w:val="000000"/>
          <w:sz w:val="24"/>
          <w:szCs w:val="24"/>
          <w:highlight w:val="none"/>
        </w:rPr>
      </w:pPr>
      <w:r>
        <w:rPr>
          <w:rFonts w:hint="eastAsia" w:ascii="Times New Roman" w:hAnsi="Times New Roman" w:eastAsia="仿宋_GB2312"/>
          <w:color w:val="000000"/>
          <w:sz w:val="24"/>
          <w:szCs w:val="24"/>
          <w:highlight w:val="none"/>
          <w:u w:val="single"/>
          <w:lang w:eastAsia="zh-CN"/>
        </w:rPr>
        <w:t>2.对于承包人自身技术水平、管理、经营状况能够自主控制的风险，如承包人的管理费、利润的风险，承包人应结合市场情况、自身实际合理自主报价，该部分风险由承包人全部承担</w:t>
      </w:r>
      <w:r>
        <w:rPr>
          <w:rFonts w:hint="eastAsia" w:ascii="Times New Roman" w:hAnsi="Times New Roman" w:eastAsia="仿宋_GB2312"/>
          <w:color w:val="000000"/>
          <w:sz w:val="24"/>
          <w:szCs w:val="24"/>
          <w:highlight w:val="none"/>
          <w:u w:val="none"/>
          <w:lang w:eastAsia="zh-CN"/>
        </w:rPr>
        <w:t xml:space="preserve">。   </w:t>
      </w:r>
    </w:p>
    <w:p w14:paraId="2F6CE75D">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风险费用的计算方法：</w:t>
      </w:r>
      <w:r>
        <w:rPr>
          <w:rFonts w:hint="eastAsia" w:ascii="Times New Roman" w:hAnsi="Times New Roman" w:eastAsia="仿宋_GB2312"/>
          <w:color w:val="000000"/>
          <w:sz w:val="24"/>
          <w:szCs w:val="24"/>
          <w:highlight w:val="none"/>
          <w:u w:val="single"/>
          <w:lang w:eastAsia="zh-CN"/>
        </w:rPr>
        <w:t xml:space="preserve">   依据现行2013清单计价规范规定  </w:t>
      </w:r>
      <w:r>
        <w:rPr>
          <w:rFonts w:ascii="Times New Roman" w:hAnsi="Times New Roman" w:eastAsia="仿宋_GB2312"/>
          <w:b w:val="0"/>
          <w:bCs w:val="0"/>
          <w:color w:val="000000"/>
          <w:sz w:val="24"/>
          <w:szCs w:val="24"/>
          <w:highlight w:val="none"/>
        </w:rPr>
        <w:t>。</w:t>
      </w:r>
    </w:p>
    <w:p w14:paraId="61B532E5">
      <w:pPr>
        <w:keepNext w:val="0"/>
        <w:keepLines w:val="0"/>
        <w:widowControl/>
        <w:suppressLineNumbers w:val="0"/>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风险范围以外合同价格的调整方法：</w:t>
      </w:r>
      <w:r>
        <w:rPr>
          <w:rFonts w:hint="eastAsia" w:ascii="Times New Roman" w:hAnsi="Times New Roman" w:eastAsia="仿宋_GB2312"/>
          <w:color w:val="000000"/>
          <w:sz w:val="24"/>
          <w:szCs w:val="24"/>
          <w:highlight w:val="none"/>
          <w:u w:val="single"/>
          <w:lang w:eastAsia="zh-CN"/>
        </w:rPr>
        <w:t>1.工程措施项目费</w:t>
      </w:r>
      <w:r>
        <w:rPr>
          <w:rFonts w:hint="eastAsia" w:ascii="Times New Roman" w:hAnsi="Times New Roman" w:eastAsia="仿宋_GB2312"/>
          <w:color w:val="000000"/>
          <w:sz w:val="24"/>
          <w:szCs w:val="24"/>
          <w:highlight w:val="none"/>
          <w:u w:val="single"/>
          <w:lang w:val="en-US" w:eastAsia="zh-CN"/>
        </w:rPr>
        <w:t>据实结算</w:t>
      </w:r>
      <w:r>
        <w:rPr>
          <w:rFonts w:hint="eastAsia" w:ascii="Times New Roman" w:hAnsi="Times New Roman" w:eastAsia="仿宋_GB2312"/>
          <w:color w:val="000000"/>
          <w:sz w:val="24"/>
          <w:szCs w:val="24"/>
          <w:highlight w:val="none"/>
          <w:u w:val="single"/>
          <w:lang w:eastAsia="zh-CN"/>
        </w:rPr>
        <w:t>。2.允许调整合同价格的工程量偏差范围：当工程量清单项目工程量的变化幅度在±15%（含15%）以内时，其综合单价不做调整，执行原有综合单价。当工程量清单项目工程量的变化幅度在15%以外时，且其影响本工程分部分项工程总费用0.1%时，其综合单价应作调整，调整方法为：超出15%的在原综合单价下浮 5%。漏项按当地预算定额取费计取，管理费和利润按</w:t>
      </w:r>
      <w:r>
        <w:rPr>
          <w:rFonts w:hint="eastAsia" w:ascii="Times New Roman" w:hAnsi="Times New Roman" w:eastAsia="仿宋_GB2312"/>
          <w:color w:val="000000"/>
          <w:sz w:val="24"/>
          <w:szCs w:val="24"/>
          <w:highlight w:val="none"/>
          <w:u w:val="single"/>
          <w:lang w:val="en-US" w:eastAsia="zh-CN"/>
        </w:rPr>
        <w:t>上</w:t>
      </w:r>
      <w:r>
        <w:rPr>
          <w:rFonts w:hint="eastAsia" w:ascii="Times New Roman" w:hAnsi="Times New Roman" w:eastAsia="仿宋_GB2312"/>
          <w:color w:val="000000"/>
          <w:sz w:val="24"/>
          <w:szCs w:val="24"/>
          <w:highlight w:val="none"/>
          <w:u w:val="single"/>
          <w:lang w:eastAsia="zh-CN"/>
        </w:rPr>
        <w:t>限值计。当确认变更的费用发生争议时，施工方不得以该争议作为怠工、停工等的理由，必须正常施工。3.合同价中暂列金额是发包人为可能发生的工程量变更而预留的金额，并非支付给承包人的实际费用，应按实际完成的情况进行结算，剩余部分仍归发包人所有</w:t>
      </w:r>
      <w:r>
        <w:rPr>
          <w:rFonts w:hint="eastAsia" w:ascii="Times New Roman" w:hAnsi="Times New Roman" w:eastAsia="仿宋_GB2312"/>
          <w:b w:val="0"/>
          <w:bCs w:val="0"/>
          <w:color w:val="000000"/>
          <w:sz w:val="24"/>
          <w:szCs w:val="24"/>
          <w:highlight w:val="none"/>
          <w:u w:val="none"/>
          <w:lang w:val="en-US" w:eastAsia="zh-CN"/>
        </w:rPr>
        <w:t>。</w:t>
      </w:r>
    </w:p>
    <w:p w14:paraId="0CFD50A0">
      <w:pPr>
        <w:spacing w:line="360" w:lineRule="auto"/>
        <w:jc w:val="left"/>
        <w:rPr>
          <w:rFonts w:ascii="黑体" w:hAnsi="黑体" w:eastAsia="黑体"/>
          <w:color w:val="000000"/>
          <w:sz w:val="24"/>
          <w:szCs w:val="24"/>
          <w:highlight w:val="none"/>
        </w:rPr>
      </w:pPr>
      <w:r>
        <w:rPr>
          <w:rFonts w:ascii="Times New Roman" w:hAnsi="Times New Roman" w:eastAsia="仿宋_GB2312"/>
          <w:color w:val="000000"/>
          <w:sz w:val="24"/>
          <w:szCs w:val="24"/>
          <w:highlight w:val="none"/>
        </w:rPr>
        <w:t>2、总价合同。</w:t>
      </w:r>
    </w:p>
    <w:p w14:paraId="3F88C00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总价包含的风险范围：</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2BC893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风险费用的计算方法：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461D33">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 xml:space="preserve">    风险范围以外合同价格的调整方法：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CA5BF79">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3、其他价格方式：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03CD033">
      <w:pPr>
        <w:spacing w:line="360" w:lineRule="auto"/>
        <w:jc w:val="left"/>
        <w:rPr>
          <w:rFonts w:ascii="黑体" w:hAnsi="黑体" w:eastAsia="黑体"/>
          <w:color w:val="000000"/>
          <w:sz w:val="24"/>
          <w:szCs w:val="24"/>
          <w:highlight w:val="none"/>
        </w:rPr>
      </w:pPr>
      <w:bookmarkStart w:id="650" w:name="_Toc297216213"/>
      <w:bookmarkStart w:id="651" w:name="_Toc312678042"/>
      <w:bookmarkStart w:id="652" w:name="_Toc300935004"/>
      <w:bookmarkStart w:id="653" w:name="_Toc304295581"/>
      <w:bookmarkStart w:id="654" w:name="_Toc297123554"/>
      <w:bookmarkStart w:id="655" w:name="_Toc303539161"/>
      <w:bookmarkStart w:id="656" w:name="_Toc292559412"/>
      <w:bookmarkStart w:id="657" w:name="_Toc296891247"/>
      <w:bookmarkStart w:id="658" w:name="_Toc296346708"/>
      <w:bookmarkStart w:id="659" w:name="_Toc296944546"/>
      <w:bookmarkStart w:id="660" w:name="_Toc297120507"/>
      <w:bookmarkStart w:id="661" w:name="_Toc292559917"/>
      <w:bookmarkStart w:id="662" w:name="_Toc297048393"/>
      <w:bookmarkStart w:id="663" w:name="_Toc296347206"/>
      <w:bookmarkStart w:id="664" w:name="_Toc296503207"/>
      <w:bookmarkStart w:id="665" w:name="_Toc296891035"/>
      <w:r>
        <w:rPr>
          <w:rFonts w:ascii="黑体" w:hAnsi="黑体" w:eastAsia="黑体"/>
          <w:color w:val="000000"/>
          <w:sz w:val="24"/>
          <w:szCs w:val="24"/>
          <w:highlight w:val="none"/>
        </w:rPr>
        <w:t>12.2 预付款</w:t>
      </w:r>
    </w:p>
    <w:bookmarkEnd w:id="650"/>
    <w:bookmarkEnd w:id="651"/>
    <w:bookmarkEnd w:id="652"/>
    <w:bookmarkEnd w:id="653"/>
    <w:bookmarkEnd w:id="654"/>
    <w:bookmarkEnd w:id="655"/>
    <w:p w14:paraId="3541A23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12.2.1 预付款的支付</w:t>
      </w:r>
    </w:p>
    <w:p w14:paraId="6C6DC4D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预付款支付比例或金额:</w:t>
      </w:r>
      <w:r>
        <w:rPr>
          <w:rFonts w:hint="eastAsia" w:ascii="Times New Roman" w:hAnsi="Times New Roman" w:eastAsia="仿宋_GB2312"/>
          <w:color w:val="000000"/>
          <w:sz w:val="24"/>
          <w:szCs w:val="24"/>
          <w:highlight w:val="non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签约合同价的30%</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4909B2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预付款支付期限：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合同签订后</w:t>
      </w:r>
      <w:r>
        <w:rPr>
          <w:rFonts w:hint="eastAsia" w:ascii="Times New Roman" w:eastAsia="仿宋_GB2312"/>
          <w:color w:val="000000"/>
          <w:sz w:val="24"/>
          <w:szCs w:val="24"/>
          <w:highlight w:val="none"/>
          <w:u w:val="single"/>
          <w:lang w:val="en-US" w:eastAsia="zh-CN"/>
        </w:rPr>
        <w:t>7</w:t>
      </w:r>
      <w:r>
        <w:rPr>
          <w:rFonts w:hint="eastAsia" w:ascii="Times New Roman" w:hAnsi="Times New Roman" w:eastAsia="仿宋_GB2312"/>
          <w:color w:val="000000"/>
          <w:sz w:val="24"/>
          <w:szCs w:val="24"/>
          <w:highlight w:val="none"/>
          <w:u w:val="single"/>
          <w:lang w:eastAsia="zh-CN"/>
        </w:rPr>
        <w:t>天内</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1FC36B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预付款扣回的方式：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 xml:space="preserve"> 随进度款按比例扣回 </w:t>
      </w:r>
      <w:r>
        <w:rPr>
          <w:rFonts w:ascii="Times New Roman" w:hAnsi="Times New Roman" w:eastAsia="仿宋_GB2312"/>
          <w:color w:val="000000"/>
          <w:sz w:val="24"/>
          <w:szCs w:val="24"/>
          <w:highlight w:val="none"/>
        </w:rPr>
        <w:t>。</w:t>
      </w:r>
    </w:p>
    <w:p w14:paraId="30D39CF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12.2.2 预付款担保</w:t>
      </w:r>
    </w:p>
    <w:p w14:paraId="01B7401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承包人提交预付款担保的期限：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合同签订后</w:t>
      </w:r>
      <w:r>
        <w:rPr>
          <w:rFonts w:hint="eastAsia" w:ascii="Times New Roman" w:hAnsi="Times New Roman" w:eastAsia="仿宋_GB2312"/>
          <w:color w:val="000000"/>
          <w:sz w:val="24"/>
          <w:szCs w:val="24"/>
          <w:highlight w:val="none"/>
          <w:u w:val="single"/>
          <w:lang w:val="en-US" w:eastAsia="zh-CN"/>
        </w:rPr>
        <w:t>2</w:t>
      </w:r>
      <w:r>
        <w:rPr>
          <w:rFonts w:hint="eastAsia" w:ascii="Times New Roman" w:hAnsi="Times New Roman" w:eastAsia="仿宋_GB2312"/>
          <w:color w:val="000000"/>
          <w:sz w:val="24"/>
          <w:szCs w:val="24"/>
          <w:highlight w:val="none"/>
          <w:u w:val="single"/>
          <w:lang w:eastAsia="zh-CN"/>
        </w:rPr>
        <w:t>0天内</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23DF9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预付款担保的形式为：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656"/>
    <w:bookmarkEnd w:id="657"/>
    <w:bookmarkEnd w:id="658"/>
    <w:bookmarkEnd w:id="659"/>
    <w:bookmarkEnd w:id="660"/>
    <w:bookmarkEnd w:id="661"/>
    <w:bookmarkEnd w:id="662"/>
    <w:bookmarkEnd w:id="663"/>
    <w:bookmarkEnd w:id="664"/>
    <w:bookmarkEnd w:id="665"/>
    <w:p w14:paraId="3FB31C3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12.3 计量</w:t>
      </w:r>
    </w:p>
    <w:p w14:paraId="14891B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12.3.1 计量原则</w:t>
      </w:r>
    </w:p>
    <w:p w14:paraId="2CFEE91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工程量计算规则：</w:t>
      </w:r>
      <w:r>
        <w:rPr>
          <w:rFonts w:hint="eastAsia" w:ascii="Times New Roman" w:hAnsi="Times New Roman" w:eastAsia="仿宋_GB2312"/>
          <w:color w:val="000000"/>
          <w:sz w:val="24"/>
          <w:szCs w:val="24"/>
          <w:highlight w:val="none"/>
          <w:u w:val="single"/>
          <w:lang w:eastAsia="zh-CN"/>
        </w:rPr>
        <w:t>按《建设工程工程量清单计价规范》B50500-2013、国家或地区现行规范、行业标准等</w:t>
      </w:r>
      <w:r>
        <w:rPr>
          <w:rFonts w:ascii="Times New Roman" w:hAnsi="Times New Roman" w:eastAsia="仿宋_GB2312"/>
          <w:color w:val="000000"/>
          <w:sz w:val="24"/>
          <w:szCs w:val="24"/>
          <w:highlight w:val="none"/>
        </w:rPr>
        <w:t>。</w:t>
      </w:r>
    </w:p>
    <w:p w14:paraId="34749A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12.3.2 计量周期</w:t>
      </w:r>
    </w:p>
    <w:p w14:paraId="43A7BD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关于计量周期的约定：</w:t>
      </w:r>
      <w:r>
        <w:rPr>
          <w:rFonts w:ascii="Times New Roman" w:hAnsi="Times New Roman" w:eastAsia="仿宋_GB2312"/>
          <w:color w:val="000000"/>
          <w:sz w:val="24"/>
          <w:szCs w:val="24"/>
          <w:highlight w:val="none"/>
          <w:u w:val="single"/>
        </w:rPr>
        <w:t xml:space="preserve">  每月20日   </w:t>
      </w:r>
      <w:r>
        <w:rPr>
          <w:rFonts w:ascii="Times New Roman" w:hAnsi="Times New Roman" w:eastAsia="仿宋_GB2312"/>
          <w:color w:val="000000"/>
          <w:sz w:val="24"/>
          <w:szCs w:val="24"/>
          <w:highlight w:val="none"/>
        </w:rPr>
        <w:t>。</w:t>
      </w:r>
    </w:p>
    <w:p w14:paraId="6EF430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12.3.3 单价合同的计量</w:t>
      </w:r>
    </w:p>
    <w:p w14:paraId="1D7E4F9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关于单价合同计量的约定：</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执行通用条款12.3.3  </w:t>
      </w:r>
      <w:r>
        <w:rPr>
          <w:rFonts w:ascii="Times New Roman" w:hAnsi="Times New Roman" w:eastAsia="仿宋_GB2312"/>
          <w:color w:val="000000"/>
          <w:sz w:val="24"/>
          <w:szCs w:val="24"/>
          <w:highlight w:val="none"/>
        </w:rPr>
        <w:t>。</w:t>
      </w:r>
    </w:p>
    <w:p w14:paraId="44D6A11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12.3.4 总价合同的计量</w:t>
      </w:r>
    </w:p>
    <w:p w14:paraId="5E86CF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关于总价合同计量的约定：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D4ECA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12.3.5总价合同采用支付分解表计量支付的，是否适用第12.3.4 项〔总价合同的计量〕约定进行计量：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13386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12.3.6 其他价格形式合同的计量</w:t>
      </w:r>
    </w:p>
    <w:p w14:paraId="6FFCBC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其他价格形式的计量方式和程序：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AC50B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12.4 工程进度款支付</w:t>
      </w:r>
    </w:p>
    <w:p w14:paraId="073678A9">
      <w:pPr>
        <w:spacing w:line="360" w:lineRule="auto"/>
        <w:jc w:val="left"/>
        <w:rPr>
          <w:rFonts w:ascii="Times New Roman" w:hAnsi="Times New Roman" w:eastAsia="仿宋_GB2312"/>
          <w:color w:val="000000"/>
          <w:sz w:val="24"/>
          <w:szCs w:val="24"/>
          <w:highlight w:val="none"/>
        </w:rPr>
      </w:pPr>
      <w:bookmarkStart w:id="666" w:name="_Toc296891251"/>
      <w:bookmarkStart w:id="667" w:name="_Toc300935006"/>
      <w:bookmarkStart w:id="668" w:name="_Toc292559416"/>
      <w:bookmarkStart w:id="669" w:name="_Toc297120511"/>
      <w:bookmarkStart w:id="670" w:name="_Toc297048397"/>
      <w:bookmarkStart w:id="671" w:name="_Toc296346712"/>
      <w:bookmarkStart w:id="672" w:name="_Toc292559921"/>
      <w:bookmarkStart w:id="673" w:name="_Toc297216215"/>
      <w:bookmarkStart w:id="674" w:name="_Toc296503211"/>
      <w:bookmarkStart w:id="675" w:name="_Toc297123556"/>
      <w:bookmarkStart w:id="676" w:name="_Toc296944550"/>
      <w:bookmarkStart w:id="677" w:name="_Toc303539163"/>
      <w:bookmarkStart w:id="678" w:name="_Toc296347210"/>
      <w:bookmarkStart w:id="679" w:name="_Toc296891039"/>
      <w:r>
        <w:rPr>
          <w:rFonts w:ascii="Times New Roman" w:hAnsi="Times New Roman" w:eastAsia="仿宋_GB2312"/>
          <w:color w:val="000000"/>
          <w:sz w:val="24"/>
          <w:szCs w:val="24"/>
          <w:highlight w:val="none"/>
        </w:rPr>
        <w:t>12.4.1 付款周期</w:t>
      </w:r>
    </w:p>
    <w:p w14:paraId="5F54B9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关于付款周期的约定：</w:t>
      </w:r>
      <w:r>
        <w:rPr>
          <w:rFonts w:ascii="Times New Roman" w:hAnsi="Times New Roman" w:eastAsia="仿宋_GB2312"/>
          <w:color w:val="000000"/>
          <w:sz w:val="24"/>
          <w:szCs w:val="24"/>
          <w:highlight w:val="none"/>
          <w:u w:val="single"/>
        </w:rPr>
        <w:t xml:space="preserve">  按月支付进度款  </w:t>
      </w:r>
      <w:r>
        <w:rPr>
          <w:rFonts w:ascii="Times New Roman" w:hAnsi="Times New Roman" w:eastAsia="仿宋_GB2312"/>
          <w:color w:val="000000"/>
          <w:sz w:val="24"/>
          <w:szCs w:val="24"/>
          <w:highlight w:val="none"/>
        </w:rPr>
        <w:t>。</w:t>
      </w:r>
    </w:p>
    <w:p w14:paraId="22BBB5B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12.4.2 进度付款申请单的编制</w:t>
      </w:r>
    </w:p>
    <w:p w14:paraId="390C1426">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关于进度付款申请单编制的约定：</w:t>
      </w:r>
      <w:r>
        <w:rPr>
          <w:rFonts w:hint="eastAsia" w:ascii="Times New Roman" w:hAnsi="Times New Roman" w:eastAsia="仿宋_GB2312"/>
          <w:color w:val="000000"/>
          <w:sz w:val="24"/>
          <w:szCs w:val="24"/>
          <w:highlight w:val="none"/>
          <w:u w:val="single"/>
        </w:rPr>
        <w:t>按每月经监理公司、建设方、审计单位等三方审核确认的工程进度报表80%进行支付，工程款累计支付到工程总价款的</w:t>
      </w:r>
      <w:r>
        <w:rPr>
          <w:rFonts w:hint="eastAsia" w:ascii="Times New Roman" w:hAnsi="Times New Roman" w:eastAsia="仿宋_GB2312"/>
          <w:color w:val="000000"/>
          <w:sz w:val="24"/>
          <w:szCs w:val="24"/>
          <w:highlight w:val="none"/>
          <w:u w:val="single"/>
          <w:lang w:val="en-US" w:eastAsia="zh-CN"/>
        </w:rPr>
        <w:t>95</w:t>
      </w:r>
      <w:r>
        <w:rPr>
          <w:rFonts w:hint="eastAsia" w:ascii="Times New Roman" w:hAnsi="Times New Roman" w:eastAsia="仿宋_GB2312"/>
          <w:color w:val="000000"/>
          <w:sz w:val="24"/>
          <w:szCs w:val="24"/>
          <w:highlight w:val="none"/>
          <w:u w:val="single"/>
        </w:rPr>
        <w:t>%时停止，待工程竣工验收合格以审计单位的审计价为工程结算依据。竣工验收结算完成后付至结算价的97%，留3%的结算价款作为工程质保金，质保期满经确认无遗留问题返还。工程款必须专用不得挪用。若政府审计局对本工程进行审计，承包人必须按政府规定配合审计</w:t>
      </w:r>
      <w:r>
        <w:rPr>
          <w:rFonts w:ascii="Times New Roman" w:hAnsi="Times New Roman" w:eastAsia="仿宋_GB2312"/>
          <w:b w:val="0"/>
          <w:bCs w:val="0"/>
          <w:color w:val="000000"/>
          <w:sz w:val="24"/>
          <w:szCs w:val="24"/>
          <w:highlight w:val="none"/>
          <w:u w:val="none"/>
        </w:rPr>
        <w:t>。</w:t>
      </w:r>
    </w:p>
    <w:p w14:paraId="4192BB6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Fonts w:ascii="Times New Roman" w:hAnsi="Times New Roman" w:eastAsia="仿宋_GB2312"/>
          <w:color w:val="000000"/>
          <w:sz w:val="24"/>
          <w:szCs w:val="24"/>
          <w:highlight w:val="none"/>
        </w:rPr>
        <w:t>2.4.3 进度付款申请单的提交</w:t>
      </w:r>
    </w:p>
    <w:p w14:paraId="3FDDA4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（1）单价合同进度付款申请单提交的约定：</w:t>
      </w:r>
      <w:r>
        <w:rPr>
          <w:rFonts w:ascii="Times New Roman" w:hAnsi="Times New Roman" w:eastAsia="仿宋_GB2312"/>
          <w:color w:val="000000"/>
          <w:sz w:val="24"/>
          <w:szCs w:val="24"/>
          <w:highlight w:val="none"/>
          <w:u w:val="single"/>
        </w:rPr>
        <w:t xml:space="preserve">每月25日前 </w:t>
      </w:r>
      <w:r>
        <w:rPr>
          <w:rFonts w:ascii="Times New Roman" w:hAnsi="Times New Roman" w:eastAsia="仿宋_GB2312"/>
          <w:color w:val="000000"/>
          <w:sz w:val="24"/>
          <w:szCs w:val="24"/>
          <w:highlight w:val="none"/>
        </w:rPr>
        <w:t>。</w:t>
      </w:r>
    </w:p>
    <w:p w14:paraId="1E3748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（2）总价合同进度付款申请单提交的约定：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D6611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（3）其他价格形式合同进度付款申请单提交的约定：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75ED7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12.4.4 进度款审核和支付</w:t>
      </w:r>
    </w:p>
    <w:p w14:paraId="67B28DD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（1）监理人审查并报送发包人的期限：</w:t>
      </w:r>
      <w:r>
        <w:rPr>
          <w:rFonts w:ascii="Times New Roman" w:hAnsi="Times New Roman" w:eastAsia="仿宋_GB2312"/>
          <w:color w:val="000000"/>
          <w:sz w:val="24"/>
          <w:szCs w:val="24"/>
          <w:highlight w:val="none"/>
          <w:u w:val="single"/>
        </w:rPr>
        <w:t xml:space="preserve">收到申请7天内 </w:t>
      </w:r>
      <w:r>
        <w:rPr>
          <w:rFonts w:ascii="Times New Roman" w:hAnsi="Times New Roman" w:eastAsia="仿宋_GB2312"/>
          <w:color w:val="000000"/>
          <w:sz w:val="24"/>
          <w:szCs w:val="24"/>
          <w:highlight w:val="none"/>
        </w:rPr>
        <w:t>。</w:t>
      </w:r>
    </w:p>
    <w:p w14:paraId="7DA7D29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发包人完成审批并签发进度款支付证书的期限：</w:t>
      </w:r>
      <w:r>
        <w:rPr>
          <w:rFonts w:ascii="Times New Roman" w:hAnsi="Times New Roman" w:eastAsia="仿宋_GB2312"/>
          <w:color w:val="000000"/>
          <w:sz w:val="24"/>
          <w:szCs w:val="24"/>
          <w:highlight w:val="none"/>
          <w:u w:val="single"/>
        </w:rPr>
        <w:t xml:space="preserve">收到申请7天内 </w:t>
      </w:r>
      <w:r>
        <w:rPr>
          <w:rFonts w:ascii="Times New Roman" w:hAnsi="Times New Roman" w:eastAsia="仿宋_GB2312"/>
          <w:color w:val="000000"/>
          <w:sz w:val="24"/>
          <w:szCs w:val="24"/>
          <w:highlight w:val="none"/>
        </w:rPr>
        <w:t>。</w:t>
      </w:r>
    </w:p>
    <w:p w14:paraId="5C4BFDA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（2）发包人支付进度款的期限：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BE97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发包人逾期支付进度款的违约金的计算方式：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F521C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12.4.6 支付分解表的编制</w:t>
      </w:r>
    </w:p>
    <w:p w14:paraId="2056CE9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1、总价合同支付分解表的编制与审批：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AB355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2、单价合同的总价项目支付分解表的编制与审批：</w:t>
      </w:r>
      <w:r>
        <w:rPr>
          <w:rFonts w:ascii="Times New Roman" w:hAnsi="Times New Roman" w:eastAsia="仿宋_GB2312"/>
          <w:color w:val="000000"/>
          <w:sz w:val="24"/>
          <w:szCs w:val="24"/>
          <w:highlight w:val="none"/>
          <w:u w:val="single"/>
        </w:rPr>
        <w:t xml:space="preserve"> 执行通用条款</w:t>
      </w:r>
      <w:r>
        <w:rPr>
          <w:rFonts w:ascii="Times New Roman" w:hAnsi="Times New Roman" w:eastAsia="仿宋_GB2312"/>
          <w:color w:val="000000"/>
          <w:sz w:val="24"/>
          <w:szCs w:val="24"/>
          <w:highlight w:val="none"/>
        </w:rPr>
        <w:t>。</w:t>
      </w:r>
    </w:p>
    <w:bookmarkEnd w:id="509"/>
    <w:p w14:paraId="679B8A41">
      <w:pPr>
        <w:spacing w:line="360" w:lineRule="auto"/>
        <w:jc w:val="left"/>
        <w:rPr>
          <w:rFonts w:ascii="黑体" w:hAnsi="黑体" w:eastAsia="黑体"/>
          <w:b/>
          <w:bCs/>
          <w:color w:val="000000"/>
          <w:sz w:val="24"/>
          <w:szCs w:val="24"/>
          <w:highlight w:val="none"/>
        </w:rPr>
      </w:pPr>
      <w:bookmarkStart w:id="680" w:name="_Toc351203645"/>
      <w:bookmarkStart w:id="681" w:name="_Toc296944558"/>
      <w:bookmarkStart w:id="682" w:name="_Toc300935015"/>
      <w:bookmarkStart w:id="683" w:name="_Toc312678053"/>
      <w:bookmarkStart w:id="684" w:name="_Toc297123564"/>
      <w:bookmarkStart w:id="685" w:name="_Toc292559424"/>
      <w:bookmarkStart w:id="686" w:name="_Toc296891047"/>
      <w:bookmarkStart w:id="687" w:name="_Toc303539172"/>
      <w:bookmarkStart w:id="688" w:name="_Toc297048405"/>
      <w:bookmarkStart w:id="689" w:name="_Toc296346720"/>
      <w:bookmarkStart w:id="690" w:name="_Toc292559929"/>
      <w:bookmarkStart w:id="691" w:name="_Toc297120519"/>
      <w:bookmarkStart w:id="692" w:name="_Toc304295593"/>
      <w:bookmarkStart w:id="693" w:name="_Toc297216223"/>
      <w:bookmarkStart w:id="694" w:name="_Toc296503219"/>
      <w:bookmarkStart w:id="695" w:name="_Toc296347218"/>
      <w:bookmarkStart w:id="696" w:name="_Toc296891259"/>
      <w:r>
        <w:rPr>
          <w:rFonts w:ascii="黑体" w:hAnsi="黑体" w:eastAsia="黑体"/>
          <w:b/>
          <w:bCs/>
          <w:color w:val="000000"/>
          <w:sz w:val="24"/>
          <w:szCs w:val="24"/>
          <w:highlight w:val="none"/>
        </w:rPr>
        <w:t>13. 验收和工程试车</w:t>
      </w:r>
      <w:bookmarkEnd w:id="680"/>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14:paraId="3254F6E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13.1 分部分项工程验收</w:t>
      </w:r>
    </w:p>
    <w:p w14:paraId="413121C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13.1.2监理人不能按时进行验收时，应提前</w:t>
      </w:r>
      <w:r>
        <w:rPr>
          <w:rFonts w:ascii="Times New Roman" w:hAnsi="Times New Roman" w:eastAsia="仿宋_GB2312"/>
          <w:color w:val="000000"/>
          <w:sz w:val="24"/>
          <w:szCs w:val="24"/>
          <w:highlight w:val="none"/>
          <w:u w:val="single"/>
        </w:rPr>
        <w:t xml:space="preserve">  24  </w:t>
      </w:r>
      <w:r>
        <w:rPr>
          <w:rFonts w:ascii="Times New Roman" w:hAnsi="Times New Roman" w:eastAsia="仿宋_GB2312"/>
          <w:color w:val="000000"/>
          <w:sz w:val="24"/>
          <w:szCs w:val="24"/>
          <w:highlight w:val="none"/>
        </w:rPr>
        <w:t>小时提交书面延期要求。</w:t>
      </w:r>
    </w:p>
    <w:p w14:paraId="655F6D3E">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关于延期最长不得超过：</w:t>
      </w:r>
      <w:r>
        <w:rPr>
          <w:rFonts w:ascii="Times New Roman" w:hAnsi="Times New Roman" w:eastAsia="仿宋_GB2312"/>
          <w:color w:val="000000"/>
          <w:sz w:val="24"/>
          <w:szCs w:val="24"/>
          <w:highlight w:val="none"/>
          <w:u w:val="single"/>
        </w:rPr>
        <w:t xml:space="preserve">  48 </w:t>
      </w:r>
      <w:r>
        <w:rPr>
          <w:rFonts w:ascii="Times New Roman" w:hAnsi="Times New Roman" w:eastAsia="仿宋_GB2312"/>
          <w:color w:val="000000"/>
          <w:sz w:val="24"/>
          <w:szCs w:val="24"/>
          <w:highlight w:val="none"/>
        </w:rPr>
        <w:t>小时。</w:t>
      </w:r>
    </w:p>
    <w:p w14:paraId="067AD1E0">
      <w:pPr>
        <w:spacing w:line="360" w:lineRule="auto"/>
        <w:jc w:val="left"/>
        <w:rPr>
          <w:rFonts w:ascii="黑体" w:hAnsi="黑体" w:eastAsia="黑体"/>
          <w:color w:val="000000"/>
          <w:sz w:val="24"/>
          <w:szCs w:val="24"/>
          <w:highlight w:val="none"/>
        </w:rPr>
      </w:pPr>
      <w:bookmarkStart w:id="697" w:name="_Toc304295596"/>
      <w:bookmarkStart w:id="698" w:name="_Toc297216224"/>
      <w:bookmarkStart w:id="699" w:name="_Toc297048409"/>
      <w:bookmarkStart w:id="700" w:name="_Toc297120523"/>
      <w:bookmarkStart w:id="701" w:name="_Toc297123565"/>
      <w:bookmarkStart w:id="702" w:name="_Toc296891263"/>
      <w:bookmarkStart w:id="703" w:name="_Toc292559428"/>
      <w:bookmarkStart w:id="704" w:name="_Toc312678056"/>
      <w:bookmarkStart w:id="705" w:name="_Toc292559933"/>
      <w:bookmarkStart w:id="706" w:name="_Toc296891051"/>
      <w:bookmarkStart w:id="707" w:name="_Toc296346724"/>
      <w:bookmarkStart w:id="708" w:name="_Toc296944562"/>
      <w:bookmarkStart w:id="709" w:name="_Toc300935016"/>
      <w:bookmarkStart w:id="710" w:name="_Toc296347222"/>
      <w:bookmarkStart w:id="711" w:name="_Toc303539173"/>
      <w:bookmarkStart w:id="712" w:name="_Toc296503223"/>
      <w:bookmarkStart w:id="713" w:name="_Toc267251476"/>
      <w:bookmarkStart w:id="714" w:name="_Toc267251474"/>
      <w:bookmarkStart w:id="715" w:name="_Toc267251470"/>
      <w:bookmarkStart w:id="716" w:name="_Toc267251473"/>
      <w:bookmarkStart w:id="717" w:name="_Toc267251475"/>
      <w:bookmarkStart w:id="718" w:name="_Toc267251472"/>
      <w:bookmarkStart w:id="719" w:name="_Toc267251471"/>
      <w:r>
        <w:rPr>
          <w:rFonts w:ascii="黑体" w:hAnsi="黑体" w:eastAsia="黑体"/>
          <w:color w:val="000000"/>
          <w:sz w:val="24"/>
          <w:szCs w:val="24"/>
          <w:highlight w:val="none"/>
        </w:rPr>
        <w:t>13.2 竣工验收</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14:paraId="7BE93045">
      <w:pPr>
        <w:spacing w:line="360" w:lineRule="auto"/>
        <w:jc w:val="left"/>
        <w:rPr>
          <w:rFonts w:ascii="Times New Roman" w:hAnsi="Times New Roman" w:eastAsia="仿宋_GB2312"/>
          <w:color w:val="000000"/>
          <w:sz w:val="24"/>
          <w:szCs w:val="24"/>
          <w:highlight w:val="none"/>
        </w:rPr>
      </w:pPr>
      <w:bookmarkStart w:id="720" w:name="_Toc280868704"/>
      <w:bookmarkStart w:id="721" w:name="_Toc280868705"/>
      <w:bookmarkStart w:id="722" w:name="_Toc280868706"/>
      <w:bookmarkStart w:id="723" w:name="_Toc280868707"/>
      <w:bookmarkStart w:id="724" w:name="_Toc280868708"/>
      <w:bookmarkStart w:id="725" w:name="_Toc280868709"/>
      <w:r>
        <w:rPr>
          <w:rFonts w:ascii="Times New Roman" w:hAnsi="Times New Roman" w:eastAsia="仿宋_GB2312"/>
          <w:color w:val="000000"/>
          <w:sz w:val="24"/>
          <w:szCs w:val="24"/>
          <w:highlight w:val="none"/>
        </w:rPr>
        <w:t>13.2.2竣工验收程序</w:t>
      </w:r>
    </w:p>
    <w:bookmarkEnd w:id="720"/>
    <w:p w14:paraId="24C6AFD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关于竣工验收程序的约定：</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49DAB2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发包人不按照本项约定组织竣工验收、颁发工程接收证书的违约金的计算方法：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1"/>
    <w:p w14:paraId="04B31F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13.2.5移交、接收全部与部分工程</w:t>
      </w:r>
    </w:p>
    <w:bookmarkEnd w:id="722"/>
    <w:p w14:paraId="5D2C5E1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承包人向发包人移交工程的期限：</w:t>
      </w:r>
      <w:r>
        <w:rPr>
          <w:rFonts w:ascii="Times New Roman" w:hAnsi="Times New Roman" w:eastAsia="仿宋_GB2312"/>
          <w:color w:val="000000"/>
          <w:sz w:val="24"/>
          <w:szCs w:val="24"/>
          <w:highlight w:val="none"/>
          <w:u w:val="single"/>
        </w:rPr>
        <w:t>按照发包人约定执行</w:t>
      </w:r>
      <w:r>
        <w:rPr>
          <w:rFonts w:ascii="Times New Roman" w:hAnsi="Times New Roman" w:eastAsia="仿宋_GB2312"/>
          <w:color w:val="000000"/>
          <w:sz w:val="24"/>
          <w:szCs w:val="24"/>
          <w:highlight w:val="none"/>
        </w:rPr>
        <w:t>。</w:t>
      </w:r>
    </w:p>
    <w:p w14:paraId="25AD8077">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发包人未按本合同约定接收全部或部分工程的，违约金的计算方法为：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3"/>
    <w:p w14:paraId="621FC9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承包人未按时移交工程的，违约金的计算方法为：</w:t>
      </w:r>
      <w:r>
        <w:rPr>
          <w:rFonts w:hint="eastAsia" w:ascii="Times New Roman" w:hAnsi="Times New Roman" w:eastAsia="仿宋_GB2312"/>
          <w:color w:val="000000"/>
          <w:sz w:val="24"/>
          <w:szCs w:val="24"/>
          <w:highlight w:val="none"/>
          <w:u w:val="single"/>
        </w:rPr>
        <w:t>扣除全部履约保证金和工程质保金</w:t>
      </w:r>
      <w:r>
        <w:rPr>
          <w:rFonts w:hint="eastAsia" w:ascii="仿宋" w:hAnsi="仿宋" w:eastAsia="仿宋" w:cs="仿宋"/>
          <w:color w:val="000000"/>
          <w:sz w:val="24"/>
          <w:szCs w:val="24"/>
          <w:u w:val="single"/>
        </w:rPr>
        <w:t xml:space="preserve"> </w:t>
      </w:r>
      <w:r>
        <w:rPr>
          <w:rFonts w:ascii="Times New Roman" w:hAnsi="Times New Roman" w:eastAsia="仿宋_GB2312"/>
          <w:color w:val="000000"/>
          <w:sz w:val="24"/>
          <w:szCs w:val="24"/>
          <w:highlight w:val="none"/>
        </w:rPr>
        <w:t>。</w:t>
      </w:r>
    </w:p>
    <w:p w14:paraId="38DD762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13.3 工程试车</w:t>
      </w:r>
    </w:p>
    <w:bookmarkEnd w:id="724"/>
    <w:p w14:paraId="616FFF5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13.3.1 试车程序</w:t>
      </w:r>
    </w:p>
    <w:p w14:paraId="12F7C52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工程试车内容：</w:t>
      </w:r>
      <w:r>
        <w:rPr>
          <w:rFonts w:ascii="Times New Roman" w:hAnsi="Times New Roman" w:eastAsia="仿宋_GB2312"/>
          <w:color w:val="000000"/>
          <w:sz w:val="24"/>
          <w:szCs w:val="24"/>
          <w:highlight w:val="none"/>
          <w:u w:val="single"/>
        </w:rPr>
        <w:t xml:space="preserve">    按实际情况确定   </w:t>
      </w:r>
      <w:r>
        <w:rPr>
          <w:rFonts w:ascii="Times New Roman" w:hAnsi="Times New Roman" w:eastAsia="仿宋_GB2312"/>
          <w:color w:val="000000"/>
          <w:sz w:val="24"/>
          <w:szCs w:val="24"/>
          <w:highlight w:val="none"/>
        </w:rPr>
        <w:t>。</w:t>
      </w:r>
    </w:p>
    <w:p w14:paraId="7653380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（1）单机无负荷试车费用</w:t>
      </w:r>
      <w:r>
        <w:rPr>
          <w:rFonts w:ascii="Times New Roman" w:hAnsi="Times New Roman" w:eastAsia="仿宋_GB2312"/>
          <w:color w:val="000000"/>
          <w:sz w:val="24"/>
          <w:szCs w:val="24"/>
          <w:highlight w:val="none"/>
          <w:u w:val="single"/>
        </w:rPr>
        <w:t>由承包人承担、费用含在合同价中承担</w:t>
      </w:r>
      <w:r>
        <w:rPr>
          <w:rFonts w:ascii="Times New Roman" w:hAnsi="Times New Roman" w:eastAsia="仿宋_GB2312"/>
          <w:color w:val="000000"/>
          <w:sz w:val="24"/>
          <w:szCs w:val="24"/>
          <w:highlight w:val="none"/>
          <w:u w:val="none"/>
        </w:rPr>
        <w:t>；</w:t>
      </w:r>
    </w:p>
    <w:p w14:paraId="2FB4420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（2）无负荷联动试车费用由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承担。</w:t>
      </w:r>
    </w:p>
    <w:p w14:paraId="3CB507A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13.3.3 投料试车</w:t>
      </w:r>
    </w:p>
    <w:p w14:paraId="3A1519C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关于投料试车相关事项的约定：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96A7B1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w:t>
      </w:r>
      <w:r>
        <w:rPr>
          <w:rFonts w:hint="eastAsia" w:ascii="黑体" w:hAnsi="黑体" w:eastAsia="黑体"/>
          <w:color w:val="000000"/>
          <w:sz w:val="24"/>
          <w:szCs w:val="24"/>
          <w:highlight w:val="none"/>
        </w:rPr>
        <w:t>4</w:t>
      </w:r>
      <w:r>
        <w:rPr>
          <w:rFonts w:ascii="黑体" w:hAnsi="黑体" w:eastAsia="黑体"/>
          <w:color w:val="000000"/>
          <w:sz w:val="24"/>
          <w:szCs w:val="24"/>
          <w:highlight w:val="none"/>
        </w:rPr>
        <w:t xml:space="preserve"> 竣工退场</w:t>
      </w:r>
    </w:p>
    <w:p w14:paraId="4AAEF7F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w:t>
      </w:r>
      <w:r>
        <w:rPr>
          <w:rFonts w:hint="eastAsia" w:ascii="Times New Roman" w:hAnsi="Times New Roman" w:eastAsia="仿宋_GB2312"/>
          <w:color w:val="000000"/>
          <w:sz w:val="24"/>
          <w:szCs w:val="24"/>
          <w:highlight w:val="none"/>
        </w:rPr>
        <w:t>4</w:t>
      </w:r>
      <w:r>
        <w:rPr>
          <w:rFonts w:ascii="Times New Roman" w:hAnsi="Times New Roman" w:eastAsia="仿宋_GB2312"/>
          <w:color w:val="000000"/>
          <w:sz w:val="24"/>
          <w:szCs w:val="24"/>
          <w:highlight w:val="none"/>
        </w:rPr>
        <w:t>.1 竣工退场</w:t>
      </w:r>
    </w:p>
    <w:p w14:paraId="1B4594F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承包人完成竣工退场的期限：</w:t>
      </w:r>
      <w:r>
        <w:rPr>
          <w:rFonts w:ascii="Times New Roman" w:hAnsi="Times New Roman" w:eastAsia="仿宋_GB2312"/>
          <w:color w:val="000000"/>
          <w:sz w:val="24"/>
          <w:szCs w:val="24"/>
          <w:highlight w:val="none"/>
          <w:u w:val="single"/>
        </w:rPr>
        <w:t xml:space="preserve">按照发包人要求执行 </w:t>
      </w:r>
      <w:r>
        <w:rPr>
          <w:rFonts w:ascii="Times New Roman" w:hAnsi="Times New Roman" w:eastAsia="仿宋_GB2312"/>
          <w:color w:val="000000"/>
          <w:sz w:val="24"/>
          <w:szCs w:val="24"/>
          <w:highlight w:val="none"/>
        </w:rPr>
        <w:t>。</w:t>
      </w:r>
    </w:p>
    <w:p w14:paraId="0388A27C">
      <w:pPr>
        <w:spacing w:line="360" w:lineRule="auto"/>
        <w:jc w:val="left"/>
        <w:rPr>
          <w:rFonts w:ascii="黑体" w:hAnsi="黑体" w:eastAsia="黑体"/>
          <w:b/>
          <w:bCs/>
          <w:color w:val="000000"/>
          <w:sz w:val="24"/>
          <w:szCs w:val="24"/>
          <w:highlight w:val="none"/>
        </w:rPr>
      </w:pPr>
      <w:bookmarkStart w:id="726" w:name="_Toc351203646"/>
      <w:r>
        <w:rPr>
          <w:rFonts w:ascii="黑体" w:hAnsi="黑体" w:eastAsia="黑体"/>
          <w:b/>
          <w:bCs/>
          <w:color w:val="000000"/>
          <w:sz w:val="24"/>
          <w:szCs w:val="24"/>
          <w:highlight w:val="none"/>
        </w:rPr>
        <w:t>14. 竣工结算</w:t>
      </w:r>
      <w:bookmarkEnd w:id="726"/>
    </w:p>
    <w:p w14:paraId="25848EF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14.1 竣工付款申请</w:t>
      </w:r>
    </w:p>
    <w:p w14:paraId="5F3DE6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承包人提交竣工付款申请单的期限：</w:t>
      </w:r>
      <w:r>
        <w:rPr>
          <w:rFonts w:ascii="Times New Roman" w:hAnsi="Times New Roman" w:eastAsia="仿宋_GB2312"/>
          <w:color w:val="000000"/>
          <w:sz w:val="24"/>
          <w:szCs w:val="24"/>
          <w:highlight w:val="none"/>
          <w:u w:val="single"/>
        </w:rPr>
        <w:t>工程竣工验收合格后28天内</w:t>
      </w:r>
      <w:r>
        <w:rPr>
          <w:rFonts w:ascii="Times New Roman" w:hAnsi="Times New Roman" w:eastAsia="仿宋_GB2312"/>
          <w:color w:val="000000"/>
          <w:sz w:val="24"/>
          <w:szCs w:val="24"/>
          <w:highlight w:val="none"/>
        </w:rPr>
        <w:t>。</w:t>
      </w:r>
    </w:p>
    <w:p w14:paraId="2A504D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竣工付款申请单应包括的内容：</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7409500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14.2 竣工结算审核</w:t>
      </w:r>
    </w:p>
    <w:p w14:paraId="00C614C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发包人审批竣工付款申请单的期限：</w:t>
      </w:r>
      <w:r>
        <w:rPr>
          <w:rFonts w:ascii="Times New Roman" w:hAnsi="Times New Roman" w:eastAsia="仿宋_GB2312"/>
          <w:color w:val="000000"/>
          <w:sz w:val="24"/>
          <w:szCs w:val="24"/>
          <w:highlight w:val="none"/>
          <w:u w:val="single"/>
        </w:rPr>
        <w:t>工程竣工验收合格后28天内</w:t>
      </w:r>
      <w:r>
        <w:rPr>
          <w:rFonts w:ascii="Times New Roman" w:hAnsi="Times New Roman" w:eastAsia="仿宋_GB2312"/>
          <w:color w:val="000000"/>
          <w:sz w:val="24"/>
          <w:szCs w:val="24"/>
          <w:highlight w:val="none"/>
        </w:rPr>
        <w:t>。</w:t>
      </w:r>
    </w:p>
    <w:p w14:paraId="673F622A">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none"/>
        </w:rPr>
        <w:t>竣工结算审核期限：</w:t>
      </w:r>
      <w:r>
        <w:rPr>
          <w:rFonts w:hint="eastAsia" w:ascii="Times New Roman" w:hAnsi="Times New Roman" w:eastAsia="仿宋_GB2312"/>
          <w:color w:val="000000"/>
          <w:sz w:val="24"/>
          <w:szCs w:val="24"/>
          <w:highlight w:val="none"/>
          <w:u w:val="single"/>
        </w:rPr>
        <w:t>发包人收到承包人上报的竣工结算书后6个月内审核完毕，并确认竣工结算价。若因</w:t>
      </w:r>
      <w:r>
        <w:rPr>
          <w:rFonts w:hint="eastAsia" w:ascii="Times New Roman" w:hAnsi="Times New Roman" w:eastAsia="仿宋_GB2312"/>
          <w:color w:val="000000"/>
          <w:sz w:val="24"/>
          <w:szCs w:val="24"/>
          <w:highlight w:val="none"/>
          <w:u w:val="single"/>
          <w:lang w:val="en-US" w:eastAsia="zh-CN"/>
        </w:rPr>
        <w:t>发包人</w:t>
      </w:r>
      <w:r>
        <w:rPr>
          <w:rFonts w:hint="eastAsia" w:ascii="Times New Roman" w:hAnsi="Times New Roman" w:eastAsia="仿宋_GB2312"/>
          <w:color w:val="000000"/>
          <w:sz w:val="24"/>
          <w:szCs w:val="24"/>
          <w:highlight w:val="none"/>
          <w:u w:val="single"/>
        </w:rPr>
        <w:t>原因造成延误，则顺延</w:t>
      </w:r>
      <w:r>
        <w:rPr>
          <w:rFonts w:hint="eastAsia" w:ascii="Times New Roman" w:hAnsi="Times New Roman" w:eastAsia="仿宋_GB2312"/>
          <w:color w:val="000000"/>
          <w:sz w:val="24"/>
          <w:szCs w:val="24"/>
          <w:highlight w:val="none"/>
          <w:u w:val="none"/>
        </w:rPr>
        <w:t>。</w:t>
      </w:r>
    </w:p>
    <w:p w14:paraId="2F1001D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发包人完成竣工付款的期限：</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3ABAF3F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关于竣工付款证书异议部分复核的方式和程序：</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20BF48F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14.4 最终结清</w:t>
      </w:r>
    </w:p>
    <w:p w14:paraId="1AC2602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14.4.1 最终结清申请单</w:t>
      </w:r>
    </w:p>
    <w:p w14:paraId="122C80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承包人提交最终结清申请单的份数：</w:t>
      </w:r>
      <w:r>
        <w:rPr>
          <w:rFonts w:ascii="Times New Roman" w:hAnsi="Times New Roman" w:eastAsia="仿宋_GB2312"/>
          <w:color w:val="000000"/>
          <w:sz w:val="24"/>
          <w:szCs w:val="24"/>
          <w:highlight w:val="none"/>
          <w:u w:val="single"/>
        </w:rPr>
        <w:t xml:space="preserve">   八份  </w:t>
      </w:r>
      <w:r>
        <w:rPr>
          <w:rFonts w:ascii="Times New Roman" w:hAnsi="Times New Roman" w:eastAsia="仿宋_GB2312"/>
          <w:color w:val="000000"/>
          <w:sz w:val="24"/>
          <w:szCs w:val="24"/>
          <w:highlight w:val="none"/>
        </w:rPr>
        <w:t>。</w:t>
      </w:r>
    </w:p>
    <w:p w14:paraId="1E706CC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承包人提交最终结算申请单的期限：</w:t>
      </w:r>
      <w:r>
        <w:rPr>
          <w:rFonts w:ascii="Times New Roman" w:hAnsi="Times New Roman" w:eastAsia="仿宋_GB2312"/>
          <w:color w:val="000000"/>
          <w:sz w:val="24"/>
          <w:szCs w:val="24"/>
          <w:highlight w:val="none"/>
          <w:u w:val="single"/>
        </w:rPr>
        <w:t xml:space="preserve">  缺陷责任期满后7日内 </w:t>
      </w:r>
      <w:r>
        <w:rPr>
          <w:rFonts w:ascii="Times New Roman" w:hAnsi="Times New Roman" w:eastAsia="仿宋_GB2312"/>
          <w:color w:val="000000"/>
          <w:sz w:val="24"/>
          <w:szCs w:val="24"/>
          <w:highlight w:val="none"/>
        </w:rPr>
        <w:t xml:space="preserve">。 </w:t>
      </w:r>
    </w:p>
    <w:p w14:paraId="712266F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14.4.2 最终结清证书和支付</w:t>
      </w:r>
    </w:p>
    <w:p w14:paraId="460844C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（1）发包人完成最终结清申请单的审批并颁发最终结清证书的期限：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563224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（2）发包人完成支付的期限：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13"/>
    <w:bookmarkEnd w:id="714"/>
    <w:bookmarkEnd w:id="715"/>
    <w:bookmarkEnd w:id="716"/>
    <w:bookmarkEnd w:id="717"/>
    <w:bookmarkEnd w:id="718"/>
    <w:bookmarkEnd w:id="719"/>
    <w:bookmarkEnd w:id="725"/>
    <w:p w14:paraId="7D36BAAE">
      <w:pPr>
        <w:spacing w:line="360" w:lineRule="auto"/>
        <w:jc w:val="left"/>
        <w:rPr>
          <w:rFonts w:ascii="黑体" w:hAnsi="黑体" w:eastAsia="黑体"/>
          <w:b/>
          <w:bCs/>
          <w:color w:val="000000"/>
          <w:sz w:val="24"/>
          <w:szCs w:val="24"/>
          <w:highlight w:val="none"/>
        </w:rPr>
      </w:pPr>
      <w:bookmarkStart w:id="727" w:name="_Toc351203647"/>
      <w:bookmarkStart w:id="728" w:name="_Toc267251483"/>
      <w:bookmarkStart w:id="729" w:name="_Toc267251482"/>
      <w:bookmarkStart w:id="730" w:name="_Toc267251484"/>
      <w:bookmarkStart w:id="731" w:name="_Toc267251485"/>
      <w:bookmarkStart w:id="732" w:name="_Toc267251488"/>
      <w:bookmarkStart w:id="733" w:name="_Toc267251489"/>
      <w:bookmarkStart w:id="734" w:name="_Toc267251486"/>
      <w:bookmarkStart w:id="735" w:name="_Toc267251490"/>
      <w:bookmarkStart w:id="736" w:name="_Toc267251499"/>
      <w:bookmarkStart w:id="737" w:name="_Toc267251498"/>
      <w:bookmarkStart w:id="738" w:name="_Toc267251503"/>
      <w:bookmarkStart w:id="739" w:name="_Toc267251494"/>
      <w:bookmarkStart w:id="740" w:name="_Toc267251497"/>
      <w:bookmarkStart w:id="741" w:name="_Toc267251492"/>
      <w:bookmarkStart w:id="742" w:name="_Toc267251496"/>
      <w:bookmarkStart w:id="743" w:name="_Toc267251491"/>
      <w:bookmarkStart w:id="744" w:name="_Toc267251501"/>
      <w:bookmarkStart w:id="745" w:name="_Toc267251502"/>
      <w:bookmarkStart w:id="746" w:name="_Toc267251493"/>
      <w:bookmarkStart w:id="747" w:name="_Toc267251495"/>
      <w:bookmarkStart w:id="748" w:name="_Toc267251504"/>
      <w:bookmarkStart w:id="749" w:name="_Toc267251506"/>
      <w:bookmarkStart w:id="750" w:name="_Toc267251507"/>
      <w:bookmarkStart w:id="751" w:name="_Toc267251508"/>
      <w:bookmarkStart w:id="752" w:name="_Toc267251509"/>
      <w:bookmarkStart w:id="753" w:name="_Toc267251511"/>
      <w:bookmarkStart w:id="754" w:name="_Toc267251510"/>
      <w:bookmarkStart w:id="755" w:name="_Toc267251515"/>
      <w:bookmarkStart w:id="756" w:name="_Toc267251513"/>
      <w:bookmarkStart w:id="757" w:name="_Toc267251514"/>
      <w:r>
        <w:rPr>
          <w:rFonts w:ascii="黑体" w:hAnsi="黑体" w:eastAsia="黑体"/>
          <w:b/>
          <w:bCs/>
          <w:color w:val="000000"/>
          <w:sz w:val="24"/>
          <w:szCs w:val="24"/>
          <w:highlight w:val="none"/>
        </w:rPr>
        <w:t>15. 缺陷责任期与保修</w:t>
      </w:r>
      <w:bookmarkEnd w:id="727"/>
    </w:p>
    <w:p w14:paraId="2322E83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15.2缺陷责任期</w:t>
      </w:r>
      <w:bookmarkEnd w:id="728"/>
    </w:p>
    <w:p w14:paraId="4AFBB81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缺陷责任期的具体期限：</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竣工验收合格后起算，具体期限详见工程质量保修书 </w:t>
      </w:r>
      <w:r>
        <w:rPr>
          <w:rFonts w:ascii="Times New Roman" w:hAnsi="Times New Roman" w:eastAsia="仿宋_GB2312"/>
          <w:color w:val="000000"/>
          <w:sz w:val="24"/>
          <w:szCs w:val="24"/>
          <w:highlight w:val="none"/>
        </w:rPr>
        <w:t>。</w:t>
      </w:r>
    </w:p>
    <w:p w14:paraId="42E9618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15.3 质量保证金</w:t>
      </w:r>
    </w:p>
    <w:p w14:paraId="1560A5B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关于是否扣留质量保证金的约定：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扣留工程竣工结算价格的3%作为工程质量保证金</w:t>
      </w:r>
      <w:r>
        <w:rPr>
          <w:rFonts w:hint="eastAsia" w:ascii="宋体" w:hAnsi="宋体" w:eastAsia="宋体" w:cs="宋体"/>
          <w:color w:val="auto"/>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21D768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15.3.1 承包人提供质量保证金的方式</w:t>
      </w:r>
    </w:p>
    <w:p w14:paraId="1CEFDBD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质量保证金采用以下第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w:t>
      </w:r>
    </w:p>
    <w:p w14:paraId="0C392D6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（1）质量保证金保函，保证金额为：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18E9152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3</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%的工程终审价款；</w:t>
      </w:r>
    </w:p>
    <w:p w14:paraId="54F8549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（3）其他方式: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FC19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15.3.2 质量保证金的扣留 </w:t>
      </w:r>
    </w:p>
    <w:p w14:paraId="3376607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质量保证金的扣留采取以下第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w:t>
      </w:r>
    </w:p>
    <w:p w14:paraId="740B8CE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（1）在支付工程进度款时逐次扣留，在此情形下，质量保证金的计算基数不包括预付款的支付、扣回以及价格调整的金额；</w:t>
      </w:r>
    </w:p>
    <w:p w14:paraId="73EB3E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（2）工程竣工结算时一次性扣留质量保证金；</w:t>
      </w:r>
    </w:p>
    <w:p w14:paraId="3D24F2B7">
      <w:pPr>
        <w:spacing w:line="360" w:lineRule="auto"/>
        <w:ind w:left="900" w:hanging="720" w:hangingChars="300"/>
        <w:jc w:val="left"/>
        <w:rPr>
          <w:rFonts w:hint="eastAsia" w:ascii="Times New Roman" w:hAnsi="Times New Roman" w:eastAsia="仿宋_GB2312"/>
          <w:color w:val="000000"/>
          <w:sz w:val="24"/>
          <w:szCs w:val="24"/>
          <w:highlight w:val="none"/>
          <w:lang w:eastAsia="zh-CN"/>
        </w:rPr>
      </w:pPr>
      <w:r>
        <w:rPr>
          <w:rFonts w:ascii="Times New Roman" w:hAnsi="Times New Roman" w:eastAsia="仿宋_GB2312"/>
          <w:color w:val="000000"/>
          <w:sz w:val="24"/>
          <w:szCs w:val="24"/>
          <w:highlight w:val="none"/>
        </w:rPr>
        <w:t>（3）其他扣留方式</w:t>
      </w:r>
      <w:r>
        <w:rPr>
          <w:rFonts w:hint="eastAsia"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u w:val="single"/>
          <w:lang w:val="en-US" w:eastAsia="zh-CN"/>
        </w:rPr>
        <w:t xml:space="preserve">       /       </w:t>
      </w:r>
      <w:r>
        <w:rPr>
          <w:rFonts w:ascii="Times New Roman" w:hAnsi="Times New Roman" w:eastAsia="仿宋_GB2312"/>
          <w:color w:val="000000"/>
          <w:sz w:val="24"/>
          <w:szCs w:val="24"/>
          <w:highlight w:val="none"/>
        </w:rPr>
        <w:t>。</w:t>
      </w:r>
    </w:p>
    <w:p w14:paraId="070F027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关于质量保证金的补充约定：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9"/>
    <w:bookmarkEnd w:id="730"/>
    <w:p w14:paraId="5BE6BC0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15.4保修</w:t>
      </w:r>
    </w:p>
    <w:bookmarkEnd w:id="731"/>
    <w:p w14:paraId="03694E4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15.4.1 保修责任</w:t>
      </w:r>
    </w:p>
    <w:p w14:paraId="468633B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工程保修期为：</w:t>
      </w:r>
      <w:r>
        <w:rPr>
          <w:rFonts w:ascii="Times New Roman" w:hAnsi="Times New Roman" w:eastAsia="仿宋_GB2312"/>
          <w:color w:val="000000"/>
          <w:sz w:val="24"/>
          <w:szCs w:val="24"/>
          <w:highlight w:val="none"/>
          <w:u w:val="single"/>
        </w:rPr>
        <w:t xml:space="preserve">    见工程质量保修书   </w:t>
      </w:r>
      <w:r>
        <w:rPr>
          <w:rFonts w:ascii="Times New Roman" w:hAnsi="Times New Roman" w:eastAsia="仿宋_GB2312"/>
          <w:color w:val="000000"/>
          <w:sz w:val="24"/>
          <w:szCs w:val="24"/>
          <w:highlight w:val="none"/>
        </w:rPr>
        <w:t>。</w:t>
      </w:r>
    </w:p>
    <w:p w14:paraId="4815CC6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15.4.3 修复通知</w:t>
      </w:r>
    </w:p>
    <w:p w14:paraId="3C872B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承包人收到保修通知并到达工程现场的合理时间：</w:t>
      </w:r>
      <w:r>
        <w:rPr>
          <w:rFonts w:ascii="Times New Roman" w:hAnsi="Times New Roman" w:eastAsia="仿宋_GB2312"/>
          <w:color w:val="000000"/>
          <w:sz w:val="24"/>
          <w:szCs w:val="24"/>
          <w:highlight w:val="none"/>
          <w:u w:val="single"/>
        </w:rPr>
        <w:t>收到通知后24小时内</w:t>
      </w:r>
      <w:r>
        <w:rPr>
          <w:rFonts w:ascii="Times New Roman" w:hAnsi="Times New Roman" w:eastAsia="仿宋_GB2312"/>
          <w:color w:val="000000"/>
          <w:sz w:val="24"/>
          <w:szCs w:val="24"/>
          <w:highlight w:val="none"/>
        </w:rPr>
        <w:t>。</w:t>
      </w:r>
    </w:p>
    <w:bookmarkEnd w:id="732"/>
    <w:bookmarkEnd w:id="733"/>
    <w:bookmarkEnd w:id="734"/>
    <w:bookmarkEnd w:id="735"/>
    <w:p w14:paraId="47687E03">
      <w:pPr>
        <w:spacing w:line="360" w:lineRule="auto"/>
        <w:jc w:val="left"/>
        <w:rPr>
          <w:rFonts w:ascii="黑体" w:hAnsi="黑体" w:eastAsia="黑体"/>
          <w:b/>
          <w:bCs/>
          <w:color w:val="000000"/>
          <w:sz w:val="24"/>
          <w:szCs w:val="24"/>
          <w:highlight w:val="none"/>
        </w:rPr>
      </w:pPr>
      <w:bookmarkStart w:id="758" w:name="_Toc351203648"/>
      <w:bookmarkStart w:id="759" w:name="_Toc280868717"/>
      <w:bookmarkStart w:id="760" w:name="_Toc280868718"/>
      <w:r>
        <w:rPr>
          <w:rFonts w:ascii="黑体" w:hAnsi="黑体" w:eastAsia="黑体"/>
          <w:b/>
          <w:bCs/>
          <w:color w:val="000000"/>
          <w:sz w:val="24"/>
          <w:szCs w:val="24"/>
          <w:highlight w:val="none"/>
        </w:rPr>
        <w:t>16. 违约</w:t>
      </w:r>
      <w:bookmarkEnd w:id="758"/>
    </w:p>
    <w:p w14:paraId="3E06D24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16.1 发包人违约</w:t>
      </w:r>
    </w:p>
    <w:p w14:paraId="100AE02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16.1.1发包人违约的情形</w:t>
      </w:r>
    </w:p>
    <w:p w14:paraId="442D9D3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发包人违约的其他情形：</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color w:val="000000"/>
          <w:sz w:val="24"/>
          <w:szCs w:val="24"/>
          <w:highlight w:val="none"/>
          <w:u w:val="single"/>
          <w:lang w:eastAsia="zh-CN"/>
        </w:rPr>
        <w:t>执行通用条款</w:t>
      </w:r>
      <w:r>
        <w:rPr>
          <w:rFonts w:ascii="Times New Roman" w:hAnsi="Times New Roman" w:eastAsia="仿宋_GB2312" w:cs="Times New Roman"/>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8CEDA9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16.1.2 发包人违约的责任</w:t>
      </w:r>
    </w:p>
    <w:p w14:paraId="22708D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发包人违约责任的承担方式和计算方法：</w:t>
      </w:r>
    </w:p>
    <w:p w14:paraId="5CA9FC5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（1）因发包人原因未能在计划开工日期前7天内下达开工通知的违约责任：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A0B757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（2）因发包人原因未能按合同约定支付合同价款的违约责任：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执行通用条款  </w:t>
      </w:r>
      <w:r>
        <w:rPr>
          <w:rFonts w:ascii="Times New Roman" w:hAnsi="Times New Roman" w:eastAsia="仿宋_GB2312"/>
          <w:color w:val="000000"/>
          <w:sz w:val="24"/>
          <w:szCs w:val="24"/>
          <w:highlight w:val="none"/>
        </w:rPr>
        <w:t>。</w:t>
      </w:r>
    </w:p>
    <w:p w14:paraId="2AC668FD">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（3）发包人违反第10.1款〔变更的范围〕第（2）项约定，自行实施被取消的工作或转由他人实施的违约责任：</w:t>
      </w:r>
      <w:r>
        <w:rPr>
          <w:rFonts w:hint="eastAsia" w:ascii="Times New Roman" w:hAnsi="Times New Roman" w:eastAsia="仿宋_GB2312"/>
          <w:color w:val="000000"/>
          <w:sz w:val="24"/>
          <w:szCs w:val="24"/>
          <w:highlight w:val="none"/>
          <w:u w:val="single"/>
        </w:rPr>
        <w:t>执行通用条款</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none"/>
        </w:rPr>
        <w:t>。</w:t>
      </w:r>
    </w:p>
    <w:p w14:paraId="5D36713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4634D5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（5）因发包人违反合同约定造成暂停施工的违约责任：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68F85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（6）发包人无正当理由没有在约定期限内发出复工指示，导致承包人无法复工的违约责任：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D3442B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（7）其他：</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965205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16.1.3 因发包人违约解除合同</w:t>
      </w:r>
    </w:p>
    <w:p w14:paraId="61807E7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承包人按16.1.1项〔发包人违约的情形〕约定暂停施工满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天后发包人仍不纠正其违约行为并致使合同目的不能实现的，承包人有权解除合同。</w:t>
      </w:r>
    </w:p>
    <w:p w14:paraId="5C51587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16.2 承包人违约</w:t>
      </w:r>
    </w:p>
    <w:p w14:paraId="52F5668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16.2.1 承包人违约的情形</w:t>
      </w:r>
    </w:p>
    <w:p w14:paraId="160173F5">
      <w:pPr>
        <w:spacing w:line="360" w:lineRule="auto"/>
        <w:jc w:val="left"/>
        <w:rPr>
          <w:rFonts w:ascii="Times New Roman" w:hAnsi="Times New Roman" w:eastAsia="仿宋_GB2312"/>
          <w:b w:val="0"/>
          <w:bCs w:val="0"/>
          <w:color w:val="000000"/>
          <w:sz w:val="24"/>
          <w:szCs w:val="24"/>
          <w:highlight w:val="none"/>
        </w:rPr>
      </w:pPr>
      <w:r>
        <w:rPr>
          <w:rFonts w:ascii="Times New Roman" w:hAnsi="Times New Roman" w:eastAsia="仿宋_GB2312"/>
          <w:b w:val="0"/>
          <w:bCs w:val="0"/>
          <w:color w:val="000000"/>
          <w:sz w:val="24"/>
          <w:szCs w:val="24"/>
          <w:highlight w:val="none"/>
        </w:rPr>
        <w:t>承包人违约的其他情形：</w:t>
      </w:r>
      <w:r>
        <w:rPr>
          <w:rFonts w:hint="eastAsia" w:ascii="Times New Roman" w:hAnsi="Times New Roman" w:eastAsia="仿宋_GB2312"/>
          <w:color w:val="000000"/>
          <w:sz w:val="24"/>
          <w:szCs w:val="24"/>
          <w:highlight w:val="none"/>
          <w:u w:val="single"/>
        </w:rPr>
        <w:t>（1）因承包人原因造成工程质量不合格的，承包人应按照施工图设计要求将不合格的工程返工至合格，并承担返工费用。质量仍不合格的，由承包人按竣工结算价3%向发包人支付违约金，并承担应全部经济责任。如果因承包人原因造成工期延误而遇不可抗力时，责任由承包人全部承担，并承担工程不能按期竣工的违约责任</w:t>
      </w:r>
      <w:r>
        <w:rPr>
          <w:rFonts w:ascii="Times New Roman" w:hAnsi="Times New Roman" w:eastAsia="仿宋_GB2312"/>
          <w:b w:val="0"/>
          <w:bCs w:val="0"/>
          <w:color w:val="0000FF"/>
          <w:sz w:val="24"/>
          <w:szCs w:val="24"/>
          <w:highlight w:val="none"/>
        </w:rPr>
        <w:t>。</w:t>
      </w:r>
    </w:p>
    <w:p w14:paraId="082ACC6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16.2.2承包人违约的责任</w:t>
      </w:r>
    </w:p>
    <w:p w14:paraId="13C11E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承包人违约责任的承担方式和计算方法：</w:t>
      </w:r>
      <w:r>
        <w:rPr>
          <w:rFonts w:hint="eastAsia" w:ascii="Times New Roman" w:hAnsi="Times New Roman" w:eastAsia="仿宋_GB2312"/>
          <w:color w:val="000000"/>
          <w:sz w:val="24"/>
          <w:szCs w:val="24"/>
          <w:highlight w:val="none"/>
          <w:u w:val="single"/>
        </w:rPr>
        <w:t>按照合同工期，每推延一天，赔偿壹万元整，投标报价中计取的赶工期措施费扣除同时还得赔偿由于延误给发包人带来的其它损失，违约金上限不超过合同总价的2%</w:t>
      </w:r>
      <w:r>
        <w:rPr>
          <w:rFonts w:ascii="Times New Roman" w:hAnsi="Times New Roman" w:eastAsia="仿宋_GB2312"/>
          <w:color w:val="000000"/>
          <w:sz w:val="24"/>
          <w:szCs w:val="24"/>
          <w:highlight w:val="none"/>
        </w:rPr>
        <w:t>。</w:t>
      </w:r>
    </w:p>
    <w:p w14:paraId="1049BC9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16.2.3 因承包人违约解除合同</w:t>
      </w:r>
    </w:p>
    <w:p w14:paraId="09306B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关于承包人违约解除合同的特别约定：</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u w:val="none"/>
        </w:rPr>
        <w:t>。</w:t>
      </w:r>
    </w:p>
    <w:p w14:paraId="14B561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发包人继续使用承包人在施工现场的材料、设备、临时工程、承包人文件和由承包人或以其名义编制的其他文件的费用承担方式：</w:t>
      </w:r>
      <w:r>
        <w:rPr>
          <w:rFonts w:ascii="Times New Roman" w:hAnsi="Times New Roman" w:eastAsia="仿宋_GB2312"/>
          <w:color w:val="000000"/>
          <w:sz w:val="24"/>
          <w:szCs w:val="24"/>
          <w:highlight w:val="none"/>
          <w:u w:val="single"/>
        </w:rPr>
        <w:t>经双方协商后确认</w:t>
      </w:r>
      <w:r>
        <w:rPr>
          <w:rFonts w:ascii="Times New Roman" w:hAnsi="Times New Roman" w:eastAsia="仿宋_GB2312"/>
          <w:color w:val="000000"/>
          <w:sz w:val="24"/>
          <w:szCs w:val="24"/>
          <w:highlight w:val="none"/>
        </w:rPr>
        <w:t>。</w:t>
      </w:r>
    </w:p>
    <w:p w14:paraId="56E5AA91">
      <w:pPr>
        <w:spacing w:line="360" w:lineRule="auto"/>
        <w:jc w:val="left"/>
        <w:rPr>
          <w:rFonts w:ascii="黑体" w:hAnsi="黑体" w:eastAsia="黑体"/>
          <w:b/>
          <w:bCs/>
          <w:color w:val="000000"/>
          <w:sz w:val="24"/>
          <w:szCs w:val="24"/>
          <w:highlight w:val="none"/>
        </w:rPr>
      </w:pPr>
      <w:bookmarkStart w:id="761" w:name="_Toc351203649"/>
      <w:r>
        <w:rPr>
          <w:rFonts w:ascii="黑体" w:hAnsi="黑体" w:eastAsia="黑体"/>
          <w:b/>
          <w:bCs/>
          <w:color w:val="000000"/>
          <w:sz w:val="24"/>
          <w:szCs w:val="24"/>
          <w:highlight w:val="none"/>
        </w:rPr>
        <w:t>17. 不可抗力</w:t>
      </w:r>
      <w:bookmarkEnd w:id="761"/>
      <w:r>
        <w:rPr>
          <w:rFonts w:ascii="黑体" w:hAnsi="黑体" w:eastAsia="黑体"/>
          <w:b/>
          <w:bCs/>
          <w:color w:val="000000"/>
          <w:sz w:val="24"/>
          <w:szCs w:val="24"/>
          <w:highlight w:val="none"/>
        </w:rPr>
        <w:t xml:space="preserve"> </w:t>
      </w:r>
      <w:bookmarkEnd w:id="759"/>
    </w:p>
    <w:p w14:paraId="5BC5763B">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17.1 不可抗力的确认</w:t>
      </w:r>
    </w:p>
    <w:p w14:paraId="26161A7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除通用合同条款约定的不可抗力事件之外，视为不可抗力的其他情形：</w:t>
      </w:r>
      <w:r>
        <w:rPr>
          <w:rFonts w:hint="eastAsia" w:ascii="Times New Roman" w:hAnsi="Times New Roman" w:eastAsia="仿宋_GB2312"/>
          <w:color w:val="000000"/>
          <w:sz w:val="24"/>
          <w:szCs w:val="24"/>
          <w:highlight w:val="none"/>
          <w:u w:val="single"/>
        </w:rPr>
        <w:t>不可抗力不包括（1）因一方或其雇员的疏忽或有意行为而造成的事件；（2）勤勉的一方可以合理的在合同签署时考虑到和在以后履行义务时避免或克服的事件；（3）不可抗力不包括资金短缺或无力支付</w:t>
      </w:r>
      <w:r>
        <w:rPr>
          <w:rFonts w:ascii="Times New Roman" w:hAnsi="Times New Roman" w:eastAsia="仿宋_GB2312"/>
          <w:color w:val="000000"/>
          <w:sz w:val="24"/>
          <w:szCs w:val="24"/>
          <w:highlight w:val="none"/>
        </w:rPr>
        <w:t>。</w:t>
      </w:r>
    </w:p>
    <w:p w14:paraId="296F000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17.4 因不可抗力解除合同</w:t>
      </w:r>
    </w:p>
    <w:p w14:paraId="1E5DE15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合同解除后，发包人应在商定或确定发包人应支付款项后</w:t>
      </w:r>
      <w:r>
        <w:rPr>
          <w:rFonts w:hint="eastAsia" w:ascii="Times New Roman" w:hAnsi="Times New Roman" w:eastAsia="仿宋_GB2312"/>
          <w:color w:val="000000"/>
          <w:sz w:val="24"/>
          <w:szCs w:val="24"/>
          <w:highlight w:val="none"/>
          <w:u w:val="single"/>
        </w:rPr>
        <w:t xml:space="preserve"> 90</w:t>
      </w:r>
      <w:r>
        <w:rPr>
          <w:rFonts w:hint="eastAsia" w:ascii="宋体" w:hAnsi="宋体" w:eastAsia="宋体" w:cs="宋体"/>
          <w:color w:val="auto"/>
          <w:sz w:val="24"/>
          <w:szCs w:val="24"/>
          <w:highlight w:val="none"/>
          <w:u w:val="single"/>
        </w:rPr>
        <w:t xml:space="preserve"> </w:t>
      </w:r>
      <w:r>
        <w:rPr>
          <w:rFonts w:hint="eastAsia" w:ascii="Times New Roman" w:hAnsi="Times New Roman" w:eastAsia="仿宋_GB2312"/>
          <w:color w:val="000000"/>
          <w:sz w:val="24"/>
          <w:szCs w:val="24"/>
          <w:highlight w:val="none"/>
        </w:rPr>
        <w:t>天内</w:t>
      </w:r>
      <w:r>
        <w:rPr>
          <w:rFonts w:ascii="Times New Roman" w:hAnsi="Times New Roman" w:eastAsia="仿宋_GB2312"/>
          <w:color w:val="000000"/>
          <w:sz w:val="24"/>
          <w:szCs w:val="24"/>
          <w:highlight w:val="none"/>
        </w:rPr>
        <w:t>完成款项的支付。</w:t>
      </w:r>
    </w:p>
    <w:p w14:paraId="185E5DF8">
      <w:pPr>
        <w:spacing w:line="360" w:lineRule="auto"/>
        <w:jc w:val="left"/>
        <w:rPr>
          <w:rFonts w:ascii="黑体" w:hAnsi="黑体" w:eastAsia="黑体"/>
          <w:b/>
          <w:bCs/>
          <w:color w:val="000000"/>
          <w:sz w:val="24"/>
          <w:szCs w:val="24"/>
          <w:highlight w:val="none"/>
        </w:rPr>
      </w:pPr>
      <w:bookmarkStart w:id="762" w:name="_Toc351203650"/>
      <w:r>
        <w:rPr>
          <w:rFonts w:ascii="黑体" w:hAnsi="黑体" w:eastAsia="黑体"/>
          <w:b/>
          <w:bCs/>
          <w:color w:val="000000"/>
          <w:sz w:val="24"/>
          <w:szCs w:val="24"/>
          <w:highlight w:val="none"/>
        </w:rPr>
        <w:t>18. 保险</w:t>
      </w:r>
      <w:bookmarkEnd w:id="762"/>
    </w:p>
    <w:bookmarkEnd w:id="760"/>
    <w:p w14:paraId="6A4D2CF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18.1 工程保险</w:t>
      </w:r>
    </w:p>
    <w:p w14:paraId="71A912A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关于工程保险的特别约定：</w:t>
      </w:r>
      <w:r>
        <w:rPr>
          <w:rFonts w:ascii="Times New Roman" w:hAnsi="Times New Roman" w:eastAsia="仿宋_GB2312"/>
          <w:color w:val="000000"/>
          <w:sz w:val="24"/>
          <w:szCs w:val="24"/>
          <w:highlight w:val="none"/>
          <w:u w:val="single"/>
        </w:rPr>
        <w:t>由承包人投保，费用含在合同价中</w:t>
      </w:r>
      <w:r>
        <w:rPr>
          <w:rFonts w:ascii="Times New Roman" w:hAnsi="Times New Roman" w:eastAsia="仿宋_GB2312"/>
          <w:color w:val="000000"/>
          <w:sz w:val="24"/>
          <w:szCs w:val="24"/>
          <w:highlight w:val="none"/>
        </w:rPr>
        <w:t>。</w:t>
      </w:r>
    </w:p>
    <w:p w14:paraId="62E98FC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18.2 其他保险</w:t>
      </w:r>
    </w:p>
    <w:p w14:paraId="50A8CD0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关于其他保险的约定：</w:t>
      </w:r>
      <w:r>
        <w:rPr>
          <w:rFonts w:ascii="Times New Roman" w:hAnsi="Times New Roman" w:eastAsia="仿宋_GB2312"/>
          <w:color w:val="000000"/>
          <w:sz w:val="24"/>
          <w:szCs w:val="24"/>
          <w:highlight w:val="none"/>
          <w:u w:val="single"/>
        </w:rPr>
        <w:t>承包人应为施工现场的全部人员办理意外保险并支付保险费用</w:t>
      </w:r>
      <w:r>
        <w:rPr>
          <w:rFonts w:hint="eastAsia" w:ascii="Times New Roman" w:hAnsi="Times New Roman" w:eastAsia="仿宋_GB2312"/>
          <w:color w:val="000000"/>
          <w:sz w:val="24"/>
          <w:szCs w:val="24"/>
          <w:highlight w:val="none"/>
          <w:u w:val="single"/>
          <w:lang w:eastAsia="zh-CN"/>
        </w:rPr>
        <w:t>，</w:t>
      </w:r>
      <w:r>
        <w:rPr>
          <w:rFonts w:hint="eastAsia" w:ascii="Times New Roman" w:hAnsi="Times New Roman" w:eastAsia="仿宋_GB2312"/>
          <w:color w:val="000000"/>
          <w:sz w:val="24"/>
          <w:szCs w:val="24"/>
          <w:highlight w:val="none"/>
          <w:u w:val="single"/>
          <w:lang w:val="en-US" w:eastAsia="zh-CN"/>
        </w:rPr>
        <w:t>费用含在合同价中</w:t>
      </w:r>
      <w:r>
        <w:rPr>
          <w:rFonts w:ascii="Times New Roman" w:hAnsi="Times New Roman" w:eastAsia="仿宋_GB2312"/>
          <w:color w:val="000000"/>
          <w:sz w:val="24"/>
          <w:szCs w:val="24"/>
          <w:highlight w:val="none"/>
        </w:rPr>
        <w:t>。</w:t>
      </w:r>
    </w:p>
    <w:p w14:paraId="6287195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承包人是否应为其施工设备等办理财产保险：</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432E0C37">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18.7 通知义务</w:t>
      </w:r>
    </w:p>
    <w:p w14:paraId="325C8D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关于变更保险合同时的通知义务的约定：</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bookmarkEnd w:id="736"/>
    <w:bookmarkEnd w:id="737"/>
    <w:bookmarkEnd w:id="738"/>
    <w:bookmarkEnd w:id="739"/>
    <w:bookmarkEnd w:id="740"/>
    <w:bookmarkEnd w:id="741"/>
    <w:bookmarkEnd w:id="742"/>
    <w:bookmarkEnd w:id="743"/>
    <w:bookmarkEnd w:id="744"/>
    <w:bookmarkEnd w:id="745"/>
    <w:bookmarkEnd w:id="746"/>
    <w:bookmarkEnd w:id="747"/>
    <w:p w14:paraId="1D811678">
      <w:pPr>
        <w:spacing w:line="360" w:lineRule="auto"/>
        <w:jc w:val="left"/>
        <w:rPr>
          <w:rFonts w:ascii="黑体" w:hAnsi="黑体" w:eastAsia="黑体"/>
          <w:b/>
          <w:bCs/>
          <w:color w:val="000000"/>
          <w:sz w:val="24"/>
          <w:szCs w:val="24"/>
          <w:highlight w:val="none"/>
        </w:rPr>
      </w:pPr>
      <w:bookmarkStart w:id="763" w:name="_Toc351203651"/>
      <w:r>
        <w:rPr>
          <w:rFonts w:ascii="黑体" w:hAnsi="黑体" w:eastAsia="黑体"/>
          <w:b/>
          <w:bCs/>
          <w:color w:val="000000"/>
          <w:sz w:val="24"/>
          <w:szCs w:val="24"/>
          <w:highlight w:val="none"/>
        </w:rPr>
        <w:t>20. 争议解决</w:t>
      </w:r>
      <w:bookmarkEnd w:id="763"/>
    </w:p>
    <w:bookmarkEnd w:id="748"/>
    <w:bookmarkEnd w:id="749"/>
    <w:p w14:paraId="5B443BA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20.3 争</w:t>
      </w:r>
      <w:bookmarkEnd w:id="750"/>
      <w:r>
        <w:rPr>
          <w:rFonts w:ascii="黑体" w:hAnsi="黑体" w:eastAsia="黑体"/>
          <w:color w:val="000000"/>
          <w:sz w:val="24"/>
          <w:szCs w:val="24"/>
          <w:highlight w:val="none"/>
        </w:rPr>
        <w:t>议评审</w:t>
      </w:r>
    </w:p>
    <w:p w14:paraId="60490A0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合同当事人是否同意将工程争议提交争议评审小组决定：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否  </w:t>
      </w:r>
      <w:r>
        <w:rPr>
          <w:rFonts w:ascii="Times New Roman" w:hAnsi="Times New Roman" w:eastAsia="仿宋_GB2312"/>
          <w:color w:val="000000"/>
          <w:sz w:val="24"/>
          <w:szCs w:val="24"/>
          <w:highlight w:val="none"/>
        </w:rPr>
        <w:t xml:space="preserve">。  </w:t>
      </w:r>
    </w:p>
    <w:p w14:paraId="4F7D6C8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20.3.1 争议评审小组的确定</w:t>
      </w:r>
    </w:p>
    <w:p w14:paraId="28818D57">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争议评审小组成员的确定：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25A9DC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选定争议评审员的期限：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E896AE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争议评审小组成员的报酬承担方式：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AADFA2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其他事项的约定：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1A4977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20.3.2 争议评审小组的决定</w:t>
      </w:r>
    </w:p>
    <w:p w14:paraId="557C4EC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合同当事人关于本项的约定：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AAB87D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20.4仲裁或诉讼</w:t>
      </w:r>
      <w:bookmarkEnd w:id="751"/>
    </w:p>
    <w:p w14:paraId="1FADA22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因合同及合同有关事项发生的争议，按下列第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种方式解决：</w:t>
      </w:r>
    </w:p>
    <w:p w14:paraId="50E86B3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（1）向</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合同签订地</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仲裁委员会申请仲裁；</w:t>
      </w:r>
    </w:p>
    <w:p w14:paraId="60A0B05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（2）向</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合同签订地</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人民法院起诉。</w:t>
      </w:r>
      <w:bookmarkEnd w:id="752"/>
      <w:bookmarkEnd w:id="753"/>
      <w:bookmarkEnd w:id="754"/>
      <w:bookmarkEnd w:id="755"/>
      <w:bookmarkEnd w:id="756"/>
      <w:bookmarkEnd w:id="757"/>
    </w:p>
    <w:p w14:paraId="2D3E692C">
      <w:pPr>
        <w:spacing w:line="360" w:lineRule="auto"/>
        <w:jc w:val="left"/>
        <w:rPr>
          <w:rFonts w:hint="eastAsia" w:ascii="Times New Roman" w:hAnsi="Times New Roman" w:eastAsia="仿宋_GB2312"/>
          <w:color w:val="000000"/>
          <w:sz w:val="24"/>
          <w:szCs w:val="24"/>
          <w:highlight w:val="none"/>
        </w:rPr>
      </w:pPr>
    </w:p>
    <w:p w14:paraId="76C7C57E">
      <w:pPr>
        <w:spacing w:line="360" w:lineRule="auto"/>
        <w:jc w:val="left"/>
        <w:rPr>
          <w:rFonts w:hint="eastAsia" w:ascii="Times New Roman" w:hAnsi="Times New Roman" w:eastAsia="仿宋_GB2312"/>
          <w:color w:val="000000"/>
          <w:sz w:val="24"/>
          <w:szCs w:val="24"/>
          <w:highlight w:val="none"/>
        </w:rPr>
      </w:pPr>
    </w:p>
    <w:p w14:paraId="1A14F01A">
      <w:pPr>
        <w:spacing w:line="360" w:lineRule="auto"/>
        <w:jc w:val="left"/>
        <w:rPr>
          <w:rFonts w:hint="eastAsia" w:ascii="Times New Roman" w:hAnsi="Times New Roman" w:eastAsia="仿宋_GB2312"/>
          <w:color w:val="000000"/>
          <w:sz w:val="24"/>
          <w:szCs w:val="24"/>
          <w:highlight w:val="none"/>
        </w:rPr>
      </w:pPr>
    </w:p>
    <w:p w14:paraId="56455265">
      <w:pPr>
        <w:spacing w:line="360" w:lineRule="auto"/>
        <w:jc w:val="left"/>
        <w:rPr>
          <w:rFonts w:hint="eastAsia" w:ascii="Times New Roman" w:hAnsi="Times New Roman" w:eastAsia="仿宋_GB2312"/>
          <w:color w:val="000000"/>
          <w:sz w:val="24"/>
          <w:szCs w:val="24"/>
          <w:highlight w:val="none"/>
        </w:rPr>
      </w:pPr>
    </w:p>
    <w:p w14:paraId="4F4A81A4">
      <w:pPr>
        <w:pStyle w:val="14"/>
        <w:rPr>
          <w:rFonts w:hint="eastAsia" w:ascii="Times New Roman" w:hAnsi="Times New Roman" w:eastAsia="仿宋_GB2312"/>
          <w:color w:val="000000"/>
          <w:sz w:val="24"/>
          <w:szCs w:val="24"/>
          <w:highlight w:val="none"/>
        </w:rPr>
      </w:pPr>
    </w:p>
    <w:p w14:paraId="50F8E34D">
      <w:pPr>
        <w:rPr>
          <w:rFonts w:hint="eastAsia" w:ascii="Times New Roman" w:hAnsi="Times New Roman" w:eastAsia="仿宋_GB2312"/>
          <w:color w:val="000000"/>
          <w:sz w:val="24"/>
          <w:szCs w:val="24"/>
          <w:highlight w:val="none"/>
        </w:rPr>
      </w:pPr>
    </w:p>
    <w:p w14:paraId="4E160D75">
      <w:pPr>
        <w:pStyle w:val="14"/>
        <w:rPr>
          <w:rFonts w:hint="eastAsia" w:ascii="Times New Roman" w:hAnsi="Times New Roman" w:eastAsia="仿宋_GB2312"/>
          <w:color w:val="000000"/>
          <w:sz w:val="24"/>
          <w:szCs w:val="24"/>
          <w:highlight w:val="none"/>
        </w:rPr>
      </w:pPr>
    </w:p>
    <w:p w14:paraId="5D089AE8">
      <w:pPr>
        <w:rPr>
          <w:rFonts w:hint="eastAsia" w:ascii="Times New Roman" w:hAnsi="Times New Roman" w:eastAsia="仿宋_GB2312"/>
          <w:color w:val="000000"/>
          <w:sz w:val="24"/>
          <w:szCs w:val="24"/>
          <w:highlight w:val="none"/>
        </w:rPr>
      </w:pPr>
    </w:p>
    <w:p w14:paraId="3D5E75BE">
      <w:pPr>
        <w:pStyle w:val="14"/>
        <w:rPr>
          <w:rFonts w:hint="eastAsia"/>
          <w:sz w:val="24"/>
          <w:szCs w:val="24"/>
        </w:rPr>
      </w:pPr>
    </w:p>
    <w:p w14:paraId="5E04740D">
      <w:pPr>
        <w:spacing w:line="360" w:lineRule="auto"/>
        <w:jc w:val="left"/>
        <w:rPr>
          <w:rFonts w:hint="eastAsia" w:ascii="Times New Roman" w:hAnsi="Times New Roman" w:eastAsia="仿宋_GB2312"/>
          <w:color w:val="000000"/>
          <w:sz w:val="24"/>
          <w:szCs w:val="24"/>
          <w:highlight w:val="none"/>
        </w:rPr>
      </w:pPr>
    </w:p>
    <w:p w14:paraId="7A3B8F6C">
      <w:pPr>
        <w:spacing w:line="360" w:lineRule="auto"/>
        <w:jc w:val="left"/>
        <w:rPr>
          <w:rFonts w:hint="eastAsia" w:ascii="Times New Roman" w:hAnsi="Times New Roman" w:eastAsia="仿宋_GB2312"/>
          <w:color w:val="000000"/>
          <w:sz w:val="24"/>
          <w:szCs w:val="24"/>
          <w:highlight w:val="none"/>
        </w:rPr>
      </w:pPr>
    </w:p>
    <w:p w14:paraId="53D72756">
      <w:pPr>
        <w:spacing w:line="360" w:lineRule="auto"/>
        <w:jc w:val="left"/>
        <w:rPr>
          <w:rFonts w:hint="eastAsia" w:ascii="Times New Roman" w:hAnsi="Times New Roman" w:eastAsia="仿宋_GB2312"/>
          <w:color w:val="000000"/>
          <w:sz w:val="24"/>
          <w:szCs w:val="24"/>
          <w:highlight w:val="none"/>
        </w:rPr>
      </w:pPr>
    </w:p>
    <w:p w14:paraId="59D0BAF5">
      <w:pPr>
        <w:pStyle w:val="2"/>
        <w:rPr>
          <w:rFonts w:hint="eastAsia" w:ascii="Times New Roman" w:hAnsi="Times New Roman" w:eastAsia="仿宋_GB2312"/>
          <w:color w:val="000000"/>
          <w:sz w:val="24"/>
          <w:szCs w:val="24"/>
          <w:highlight w:val="none"/>
        </w:rPr>
      </w:pPr>
    </w:p>
    <w:p w14:paraId="630D1F25">
      <w:pPr>
        <w:rPr>
          <w:rFonts w:hint="eastAsia"/>
          <w:sz w:val="24"/>
          <w:szCs w:val="24"/>
        </w:rPr>
      </w:pPr>
    </w:p>
    <w:p w14:paraId="568AE48E">
      <w:pPr>
        <w:spacing w:line="36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附件</w:t>
      </w:r>
    </w:p>
    <w:p w14:paraId="1B799788">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协议书附件：</w:t>
      </w:r>
    </w:p>
    <w:p w14:paraId="67839B9E">
      <w:pPr>
        <w:spacing w:line="360" w:lineRule="auto"/>
        <w:jc w:val="left"/>
        <w:rPr>
          <w:rFonts w:hint="eastAsia"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附件1：承包人承揽工程项目一览表</w:t>
      </w:r>
    </w:p>
    <w:p w14:paraId="4D77453F">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专用合同条款附件：</w:t>
      </w:r>
    </w:p>
    <w:p w14:paraId="2AA2BAF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附件2：发包人供应材料设备一览表</w:t>
      </w:r>
    </w:p>
    <w:p w14:paraId="57F749C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附件3：工程质量保修书</w:t>
      </w:r>
    </w:p>
    <w:p w14:paraId="04BDCD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附件4：主要建设工程文件目录</w:t>
      </w:r>
    </w:p>
    <w:p w14:paraId="360BB75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附件5：承包人用于本工程施工的机械设备表</w:t>
      </w:r>
    </w:p>
    <w:p w14:paraId="42C507E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附件6：承包人主要施工管理人员表</w:t>
      </w:r>
    </w:p>
    <w:p w14:paraId="669BBF1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附件7：分包人主要施工管理人员表</w:t>
      </w:r>
    </w:p>
    <w:p w14:paraId="707FCD5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附件8：履约担保格式</w:t>
      </w:r>
    </w:p>
    <w:p w14:paraId="37E3919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附件9：预付款担保格式</w:t>
      </w:r>
    </w:p>
    <w:p w14:paraId="60D9049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附件10：支付担保格式</w:t>
      </w:r>
    </w:p>
    <w:p w14:paraId="2BDB420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附件11：暂估价一览表</w:t>
      </w:r>
    </w:p>
    <w:p w14:paraId="34944A54">
      <w:pPr>
        <w:spacing w:line="360" w:lineRule="auto"/>
        <w:jc w:val="left"/>
        <w:rPr>
          <w:rFonts w:hint="eastAsia" w:ascii="Times New Roman" w:hAnsi="Times New Roman" w:eastAsia="仿宋_GB2312"/>
          <w:color w:val="000000"/>
          <w:sz w:val="24"/>
          <w:szCs w:val="24"/>
          <w:highlight w:val="none"/>
          <w:lang w:eastAsia="zh-CN"/>
        </w:rPr>
        <w:sectPr>
          <w:pgSz w:w="11906" w:h="16838"/>
          <w:pgMar w:top="1418" w:right="1555" w:bottom="1418" w:left="1531" w:header="851" w:footer="992" w:gutter="0"/>
          <w:pgNumType w:fmt="decimal"/>
          <w:cols w:space="720" w:num="1"/>
          <w:titlePg/>
          <w:docGrid w:type="lines" w:linePitch="312" w:charSpace="0"/>
        </w:sectPr>
      </w:pPr>
    </w:p>
    <w:p w14:paraId="504BF5D2">
      <w:pPr>
        <w:spacing w:before="156" w:beforeLines="50" w:after="156" w:afterLines="50" w:line="440" w:lineRule="exact"/>
        <w:jc w:val="left"/>
        <w:rPr>
          <w:rFonts w:hint="eastAsia" w:ascii="仿宋_GB2312" w:hAnsi="Times New Roman" w:eastAsia="仿宋_GB2312"/>
          <w:color w:val="000000"/>
          <w:sz w:val="24"/>
          <w:szCs w:val="24"/>
          <w:highlight w:val="none"/>
        </w:rPr>
      </w:pPr>
      <w:r>
        <w:rPr>
          <w:rFonts w:hint="eastAsia" w:ascii="仿宋_GB2312" w:hAnsi="Times New Roman" w:eastAsia="仿宋_GB2312"/>
          <w:color w:val="000000"/>
          <w:sz w:val="24"/>
          <w:szCs w:val="24"/>
          <w:highlight w:val="none"/>
        </w:rPr>
        <w:t>附件1：</w:t>
      </w:r>
    </w:p>
    <w:p w14:paraId="714ADC48">
      <w:pPr>
        <w:spacing w:before="156" w:beforeLines="50" w:after="156" w:afterLines="50" w:line="440" w:lineRule="exact"/>
        <w:jc w:val="center"/>
        <w:rPr>
          <w:rFonts w:hint="eastAsia"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承包人承揽工程项目一览表</w:t>
      </w:r>
    </w:p>
    <w:tbl>
      <w:tblPr>
        <w:tblStyle w:val="26"/>
        <w:tblW w:w="142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72"/>
        <w:gridCol w:w="1859"/>
        <w:gridCol w:w="1392"/>
        <w:gridCol w:w="1561"/>
        <w:gridCol w:w="805"/>
        <w:gridCol w:w="1478"/>
        <w:gridCol w:w="1134"/>
        <w:gridCol w:w="1579"/>
        <w:gridCol w:w="1365"/>
        <w:gridCol w:w="1349"/>
      </w:tblGrid>
      <w:tr w14:paraId="6BC70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4" w:hRule="atLeast"/>
          <w:jc w:val="center"/>
        </w:trPr>
        <w:tc>
          <w:tcPr>
            <w:tcW w:w="1772" w:type="dxa"/>
            <w:tcBorders>
              <w:top w:val="single" w:color="auto" w:sz="12" w:space="0"/>
              <w:bottom w:val="double" w:color="auto" w:sz="6" w:space="0"/>
            </w:tcBorders>
            <w:noWrap w:val="0"/>
            <w:vAlign w:val="center"/>
          </w:tcPr>
          <w:p w14:paraId="77EE6B40">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单位工程名称</w:t>
            </w:r>
          </w:p>
        </w:tc>
        <w:tc>
          <w:tcPr>
            <w:tcW w:w="1859" w:type="dxa"/>
            <w:tcBorders>
              <w:top w:val="single" w:color="auto" w:sz="12" w:space="0"/>
              <w:bottom w:val="double" w:color="auto" w:sz="6" w:space="0"/>
            </w:tcBorders>
            <w:noWrap w:val="0"/>
            <w:vAlign w:val="center"/>
          </w:tcPr>
          <w:p w14:paraId="0FBF58AB">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建设规模</w:t>
            </w:r>
          </w:p>
        </w:tc>
        <w:tc>
          <w:tcPr>
            <w:tcW w:w="1392" w:type="dxa"/>
            <w:tcBorders>
              <w:top w:val="single" w:color="auto" w:sz="12" w:space="0"/>
              <w:bottom w:val="double" w:color="auto" w:sz="6" w:space="0"/>
            </w:tcBorders>
            <w:noWrap w:val="0"/>
            <w:vAlign w:val="center"/>
          </w:tcPr>
          <w:p w14:paraId="4B6BBEE8">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建筑面积(平方米)</w:t>
            </w:r>
          </w:p>
        </w:tc>
        <w:tc>
          <w:tcPr>
            <w:tcW w:w="1561" w:type="dxa"/>
            <w:tcBorders>
              <w:top w:val="single" w:color="auto" w:sz="12" w:space="0"/>
              <w:bottom w:val="double" w:color="auto" w:sz="6" w:space="0"/>
            </w:tcBorders>
            <w:noWrap w:val="0"/>
            <w:vAlign w:val="center"/>
          </w:tcPr>
          <w:p w14:paraId="39FC4EF2">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结构</w:t>
            </w:r>
            <w:r>
              <w:rPr>
                <w:rFonts w:hint="eastAsia" w:eastAsia="仿宋_GB2312"/>
                <w:color w:val="000000"/>
                <w:kern w:val="2"/>
                <w:sz w:val="24"/>
                <w:szCs w:val="24"/>
                <w:highlight w:val="none"/>
                <w:lang w:val="en-US" w:eastAsia="zh-CN"/>
              </w:rPr>
              <w:t>形式</w:t>
            </w:r>
          </w:p>
        </w:tc>
        <w:tc>
          <w:tcPr>
            <w:tcW w:w="805" w:type="dxa"/>
            <w:tcBorders>
              <w:top w:val="single" w:color="auto" w:sz="12" w:space="0"/>
              <w:bottom w:val="double" w:color="auto" w:sz="6" w:space="0"/>
            </w:tcBorders>
            <w:noWrap w:val="0"/>
            <w:vAlign w:val="center"/>
          </w:tcPr>
          <w:p w14:paraId="63B56AE8">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层数</w:t>
            </w:r>
          </w:p>
        </w:tc>
        <w:tc>
          <w:tcPr>
            <w:tcW w:w="1478" w:type="dxa"/>
            <w:tcBorders>
              <w:top w:val="single" w:color="auto" w:sz="12" w:space="0"/>
              <w:bottom w:val="double" w:color="auto" w:sz="6" w:space="0"/>
            </w:tcBorders>
            <w:noWrap w:val="0"/>
            <w:vAlign w:val="center"/>
          </w:tcPr>
          <w:p w14:paraId="233F3295">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生产能力</w:t>
            </w:r>
          </w:p>
        </w:tc>
        <w:tc>
          <w:tcPr>
            <w:tcW w:w="1134" w:type="dxa"/>
            <w:tcBorders>
              <w:top w:val="single" w:color="auto" w:sz="12" w:space="0"/>
              <w:bottom w:val="double" w:color="auto" w:sz="6" w:space="0"/>
            </w:tcBorders>
            <w:noWrap w:val="0"/>
            <w:vAlign w:val="center"/>
          </w:tcPr>
          <w:p w14:paraId="3517FDAC">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设备安装内容</w:t>
            </w:r>
          </w:p>
        </w:tc>
        <w:tc>
          <w:tcPr>
            <w:tcW w:w="1579" w:type="dxa"/>
            <w:tcBorders>
              <w:top w:val="single" w:color="auto" w:sz="12" w:space="0"/>
              <w:bottom w:val="double" w:color="auto" w:sz="6" w:space="0"/>
            </w:tcBorders>
            <w:noWrap w:val="0"/>
            <w:vAlign w:val="center"/>
          </w:tcPr>
          <w:p w14:paraId="5F8B0D11">
            <w:pPr>
              <w:pStyle w:val="5"/>
              <w:keepNext/>
              <w:spacing w:after="0" w:afterLines="0" w:line="440" w:lineRule="exact"/>
              <w:ind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合同价格（元）</w:t>
            </w:r>
          </w:p>
        </w:tc>
        <w:tc>
          <w:tcPr>
            <w:tcW w:w="1365" w:type="dxa"/>
            <w:tcBorders>
              <w:top w:val="single" w:color="auto" w:sz="12" w:space="0"/>
              <w:bottom w:val="double" w:color="auto" w:sz="6" w:space="0"/>
            </w:tcBorders>
            <w:noWrap w:val="0"/>
            <w:vAlign w:val="center"/>
          </w:tcPr>
          <w:p w14:paraId="20C48752">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开工日期</w:t>
            </w:r>
          </w:p>
        </w:tc>
        <w:tc>
          <w:tcPr>
            <w:tcW w:w="1349" w:type="dxa"/>
            <w:tcBorders>
              <w:top w:val="single" w:color="auto" w:sz="12" w:space="0"/>
              <w:bottom w:val="double" w:color="auto" w:sz="6" w:space="0"/>
            </w:tcBorders>
            <w:noWrap w:val="0"/>
            <w:vAlign w:val="center"/>
          </w:tcPr>
          <w:p w14:paraId="0118065B">
            <w:pPr>
              <w:pStyle w:val="5"/>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竣工日期</w:t>
            </w:r>
          </w:p>
        </w:tc>
      </w:tr>
      <w:tr w14:paraId="2DEF2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1772" w:type="dxa"/>
            <w:tcBorders>
              <w:top w:val="double" w:color="auto" w:sz="6" w:space="0"/>
              <w:bottom w:val="single" w:color="auto" w:sz="6" w:space="0"/>
            </w:tcBorders>
            <w:noWrap w:val="0"/>
            <w:vAlign w:val="center"/>
          </w:tcPr>
          <w:p w14:paraId="298D15D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59" w:type="dxa"/>
            <w:tcBorders>
              <w:top w:val="double" w:color="auto" w:sz="6" w:space="0"/>
              <w:bottom w:val="single" w:color="auto" w:sz="6" w:space="0"/>
            </w:tcBorders>
            <w:noWrap w:val="0"/>
            <w:vAlign w:val="center"/>
          </w:tcPr>
          <w:p w14:paraId="54039A1D">
            <w:pPr>
              <w:pStyle w:val="5"/>
              <w:keepNext/>
              <w:spacing w:after="0" w:afterLines="0" w:line="440" w:lineRule="exact"/>
              <w:ind w:left="63" w:right="63"/>
              <w:jc w:val="center"/>
              <w:rPr>
                <w:rFonts w:eastAsia="仿宋_GB2312"/>
                <w:color w:val="000000"/>
                <w:kern w:val="2"/>
                <w:sz w:val="24"/>
                <w:szCs w:val="24"/>
                <w:highlight w:val="none"/>
                <w:lang w:val="en-US" w:eastAsia="zh-CN"/>
              </w:rPr>
            </w:pPr>
          </w:p>
        </w:tc>
        <w:tc>
          <w:tcPr>
            <w:tcW w:w="1392" w:type="dxa"/>
            <w:tcBorders>
              <w:top w:val="double" w:color="auto" w:sz="6" w:space="0"/>
              <w:bottom w:val="single" w:color="auto" w:sz="6" w:space="0"/>
            </w:tcBorders>
            <w:noWrap w:val="0"/>
            <w:vAlign w:val="center"/>
          </w:tcPr>
          <w:p w14:paraId="38ED5D2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61" w:type="dxa"/>
            <w:tcBorders>
              <w:top w:val="double" w:color="auto" w:sz="6" w:space="0"/>
              <w:bottom w:val="single" w:color="auto" w:sz="6" w:space="0"/>
            </w:tcBorders>
            <w:noWrap w:val="0"/>
            <w:vAlign w:val="center"/>
          </w:tcPr>
          <w:p w14:paraId="1C01999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05" w:type="dxa"/>
            <w:tcBorders>
              <w:top w:val="double" w:color="auto" w:sz="6" w:space="0"/>
              <w:bottom w:val="single" w:color="auto" w:sz="6" w:space="0"/>
            </w:tcBorders>
            <w:noWrap w:val="0"/>
            <w:vAlign w:val="center"/>
          </w:tcPr>
          <w:p w14:paraId="4B7D8B0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78" w:type="dxa"/>
            <w:tcBorders>
              <w:top w:val="double" w:color="auto" w:sz="6" w:space="0"/>
              <w:bottom w:val="single" w:color="auto" w:sz="6" w:space="0"/>
            </w:tcBorders>
            <w:noWrap w:val="0"/>
            <w:vAlign w:val="center"/>
          </w:tcPr>
          <w:p w14:paraId="2F8C88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34" w:type="dxa"/>
            <w:tcBorders>
              <w:top w:val="double" w:color="auto" w:sz="6" w:space="0"/>
              <w:bottom w:val="single" w:color="auto" w:sz="6" w:space="0"/>
            </w:tcBorders>
            <w:noWrap w:val="0"/>
            <w:vAlign w:val="center"/>
          </w:tcPr>
          <w:p w14:paraId="4A8D29B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79" w:type="dxa"/>
            <w:tcBorders>
              <w:top w:val="double" w:color="auto" w:sz="6" w:space="0"/>
              <w:bottom w:val="single" w:color="auto" w:sz="6" w:space="0"/>
            </w:tcBorders>
            <w:noWrap w:val="0"/>
            <w:vAlign w:val="center"/>
          </w:tcPr>
          <w:p w14:paraId="4FD352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65" w:type="dxa"/>
            <w:tcBorders>
              <w:top w:val="double" w:color="auto" w:sz="6" w:space="0"/>
              <w:bottom w:val="single" w:color="auto" w:sz="6" w:space="0"/>
            </w:tcBorders>
            <w:noWrap w:val="0"/>
            <w:vAlign w:val="center"/>
          </w:tcPr>
          <w:p w14:paraId="63EE0BB8">
            <w:pPr>
              <w:pStyle w:val="5"/>
              <w:keepNext/>
              <w:spacing w:after="0" w:afterLines="0" w:line="440" w:lineRule="exact"/>
              <w:ind w:left="63" w:right="63"/>
              <w:rPr>
                <w:rFonts w:hint="default" w:ascii="Times New Roman" w:hAnsi="Times New Roman" w:eastAsia="仿宋_GB2312"/>
                <w:color w:val="000000"/>
                <w:kern w:val="2"/>
                <w:sz w:val="24"/>
                <w:szCs w:val="24"/>
                <w:highlight w:val="none"/>
                <w:lang w:val="en-US" w:eastAsia="zh-CN"/>
              </w:rPr>
            </w:pPr>
          </w:p>
        </w:tc>
        <w:tc>
          <w:tcPr>
            <w:tcW w:w="1349" w:type="dxa"/>
            <w:tcBorders>
              <w:top w:val="double" w:color="auto" w:sz="6" w:space="0"/>
              <w:bottom w:val="single" w:color="auto" w:sz="6" w:space="0"/>
            </w:tcBorders>
            <w:noWrap w:val="0"/>
            <w:vAlign w:val="center"/>
          </w:tcPr>
          <w:p w14:paraId="37CB849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r>
    </w:tbl>
    <w:p w14:paraId="32B503B3">
      <w:pPr>
        <w:spacing w:line="440" w:lineRule="exact"/>
        <w:rPr>
          <w:rFonts w:ascii="Times New Roman" w:hAnsi="Times New Roman" w:eastAsia="仿宋_GB2312"/>
          <w:b/>
          <w:color w:val="000000"/>
          <w:sz w:val="24"/>
          <w:szCs w:val="24"/>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7CC667E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64" w:name="_Toc296347224"/>
      <w:bookmarkStart w:id="765" w:name="_Toc296891265"/>
      <w:bookmarkStart w:id="766" w:name="_Toc296944564"/>
      <w:bookmarkStart w:id="767" w:name="_Toc296346726"/>
      <w:bookmarkStart w:id="768" w:name="_Toc267261692"/>
      <w:bookmarkStart w:id="769" w:name="_Toc296503225"/>
      <w:bookmarkStart w:id="770" w:name="_Toc296891053"/>
      <w:r>
        <w:rPr>
          <w:rFonts w:ascii="Times New Roman" w:hAnsi="Times New Roman" w:eastAsia="仿宋_GB2312"/>
          <w:color w:val="000000"/>
          <w:sz w:val="24"/>
          <w:szCs w:val="24"/>
          <w:highlight w:val="none"/>
        </w:rPr>
        <w:t>件2：</w:t>
      </w:r>
    </w:p>
    <w:bookmarkEnd w:id="764"/>
    <w:bookmarkEnd w:id="765"/>
    <w:bookmarkEnd w:id="766"/>
    <w:bookmarkEnd w:id="767"/>
    <w:bookmarkEnd w:id="768"/>
    <w:bookmarkEnd w:id="769"/>
    <w:bookmarkEnd w:id="770"/>
    <w:p w14:paraId="00644E32">
      <w:pPr>
        <w:spacing w:before="156" w:beforeLines="50" w:after="156" w:afterLines="50" w:line="440" w:lineRule="exact"/>
        <w:jc w:val="center"/>
        <w:rPr>
          <w:rFonts w:hint="eastAsia" w:ascii="Times New Roman" w:hAnsi="Times New Roman" w:eastAsia="黑体"/>
          <w:color w:val="000000"/>
          <w:sz w:val="24"/>
          <w:szCs w:val="24"/>
          <w:highlight w:val="none"/>
        </w:rPr>
      </w:pPr>
      <w:r>
        <w:rPr>
          <w:rFonts w:ascii="Times New Roman" w:hAnsi="Times New Roman" w:eastAsia="黑体"/>
          <w:color w:val="000000"/>
          <w:sz w:val="24"/>
          <w:szCs w:val="24"/>
          <w:highlight w:val="none"/>
        </w:rPr>
        <w:t>发包人供应材料设备一览表</w:t>
      </w:r>
    </w:p>
    <w:tbl>
      <w:tblPr>
        <w:tblStyle w:val="26"/>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6"/>
        <w:gridCol w:w="1044"/>
        <w:gridCol w:w="1160"/>
        <w:gridCol w:w="769"/>
        <w:gridCol w:w="696"/>
        <w:gridCol w:w="854"/>
        <w:gridCol w:w="811"/>
        <w:gridCol w:w="696"/>
        <w:gridCol w:w="1217"/>
        <w:gridCol w:w="811"/>
      </w:tblGrid>
      <w:tr w14:paraId="154A1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6" w:hRule="atLeast"/>
          <w:jc w:val="center"/>
        </w:trPr>
        <w:tc>
          <w:tcPr>
            <w:tcW w:w="696" w:type="dxa"/>
            <w:tcBorders>
              <w:top w:val="single" w:color="auto" w:sz="12" w:space="0"/>
              <w:bottom w:val="double" w:color="auto" w:sz="6" w:space="0"/>
            </w:tcBorders>
            <w:noWrap w:val="0"/>
            <w:vAlign w:val="center"/>
          </w:tcPr>
          <w:p w14:paraId="6C74B978">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044" w:type="dxa"/>
            <w:tcBorders>
              <w:top w:val="single" w:color="auto" w:sz="12" w:space="0"/>
              <w:bottom w:val="double" w:color="auto" w:sz="6" w:space="0"/>
            </w:tcBorders>
            <w:noWrap w:val="0"/>
            <w:vAlign w:val="center"/>
          </w:tcPr>
          <w:p w14:paraId="53A3B595">
            <w:pPr>
              <w:pStyle w:val="5"/>
              <w:keepNext/>
              <w:spacing w:after="0" w:afterLines="0" w:line="440" w:lineRule="exact"/>
              <w:ind w:left="63" w:right="63"/>
              <w:rPr>
                <w:rFonts w:hint="eastAsia" w:eastAsia="仿宋_GB2312"/>
                <w:color w:val="000000"/>
                <w:kern w:val="2"/>
                <w:sz w:val="24"/>
                <w:szCs w:val="24"/>
                <w:highlight w:val="none"/>
                <w:lang w:val="en-US" w:eastAsia="zh-CN"/>
              </w:rPr>
            </w:pPr>
            <w:r>
              <w:rPr>
                <w:rFonts w:hint="eastAsia" w:eastAsia="仿宋_GB2312"/>
                <w:color w:val="000000"/>
                <w:kern w:val="2"/>
                <w:sz w:val="24"/>
                <w:szCs w:val="24"/>
                <w:highlight w:val="none"/>
                <w:lang w:val="en-US" w:eastAsia="zh-CN"/>
              </w:rPr>
              <w:t xml:space="preserve">  </w:t>
            </w:r>
            <w:r>
              <w:rPr>
                <w:rFonts w:eastAsia="仿宋_GB2312"/>
                <w:color w:val="000000"/>
                <w:kern w:val="2"/>
                <w:sz w:val="24"/>
                <w:szCs w:val="24"/>
                <w:highlight w:val="none"/>
                <w:lang w:val="en-US" w:eastAsia="zh-CN"/>
              </w:rPr>
              <w:t>材料、</w:t>
            </w:r>
          </w:p>
          <w:p w14:paraId="418691E8">
            <w:pPr>
              <w:pStyle w:val="5"/>
              <w:keepNext/>
              <w:spacing w:after="0" w:afterLines="0" w:line="440" w:lineRule="exact"/>
              <w:ind w:left="0" w:leftChars="0" w:right="63"/>
              <w:jc w:val="both"/>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设备品种</w:t>
            </w:r>
          </w:p>
        </w:tc>
        <w:tc>
          <w:tcPr>
            <w:tcW w:w="1160" w:type="dxa"/>
            <w:tcBorders>
              <w:top w:val="single" w:color="auto" w:sz="12" w:space="0"/>
              <w:bottom w:val="double" w:color="auto" w:sz="6" w:space="0"/>
            </w:tcBorders>
            <w:noWrap w:val="0"/>
            <w:vAlign w:val="center"/>
          </w:tcPr>
          <w:p w14:paraId="229212A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规格型号</w:t>
            </w:r>
          </w:p>
        </w:tc>
        <w:tc>
          <w:tcPr>
            <w:tcW w:w="769" w:type="dxa"/>
            <w:tcBorders>
              <w:top w:val="single" w:color="auto" w:sz="12" w:space="0"/>
              <w:bottom w:val="double" w:color="auto" w:sz="6" w:space="0"/>
            </w:tcBorders>
            <w:noWrap w:val="0"/>
            <w:vAlign w:val="center"/>
          </w:tcPr>
          <w:p w14:paraId="340AFC0A">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696" w:type="dxa"/>
            <w:tcBorders>
              <w:top w:val="single" w:color="auto" w:sz="12" w:space="0"/>
              <w:bottom w:val="double" w:color="auto" w:sz="6" w:space="0"/>
            </w:tcBorders>
            <w:noWrap w:val="0"/>
            <w:vAlign w:val="center"/>
          </w:tcPr>
          <w:p w14:paraId="5BED0B88">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854" w:type="dxa"/>
            <w:tcBorders>
              <w:top w:val="single" w:color="auto" w:sz="12" w:space="0"/>
              <w:bottom w:val="double" w:color="auto" w:sz="6" w:space="0"/>
            </w:tcBorders>
            <w:noWrap w:val="0"/>
            <w:vAlign w:val="center"/>
          </w:tcPr>
          <w:p w14:paraId="3103908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811" w:type="dxa"/>
            <w:tcBorders>
              <w:top w:val="single" w:color="auto" w:sz="12" w:space="0"/>
              <w:bottom w:val="double" w:color="auto" w:sz="6" w:space="0"/>
            </w:tcBorders>
            <w:noWrap w:val="0"/>
            <w:vAlign w:val="center"/>
          </w:tcPr>
          <w:p w14:paraId="568D16B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质量等级</w:t>
            </w:r>
          </w:p>
        </w:tc>
        <w:tc>
          <w:tcPr>
            <w:tcW w:w="696" w:type="dxa"/>
            <w:tcBorders>
              <w:top w:val="single" w:color="auto" w:sz="12" w:space="0"/>
              <w:bottom w:val="double" w:color="auto" w:sz="6" w:space="0"/>
            </w:tcBorders>
            <w:noWrap w:val="0"/>
            <w:vAlign w:val="center"/>
          </w:tcPr>
          <w:p w14:paraId="64BE980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供应时间</w:t>
            </w:r>
          </w:p>
        </w:tc>
        <w:tc>
          <w:tcPr>
            <w:tcW w:w="1217" w:type="dxa"/>
            <w:tcBorders>
              <w:top w:val="single" w:color="auto" w:sz="12" w:space="0"/>
              <w:bottom w:val="double" w:color="auto" w:sz="6" w:space="0"/>
            </w:tcBorders>
            <w:noWrap w:val="0"/>
            <w:vAlign w:val="center"/>
          </w:tcPr>
          <w:p w14:paraId="31ABF3C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送达地点</w:t>
            </w:r>
          </w:p>
        </w:tc>
        <w:tc>
          <w:tcPr>
            <w:tcW w:w="811" w:type="dxa"/>
            <w:tcBorders>
              <w:top w:val="single" w:color="auto" w:sz="12" w:space="0"/>
              <w:bottom w:val="double" w:color="auto" w:sz="6" w:space="0"/>
            </w:tcBorders>
            <w:noWrap w:val="0"/>
            <w:vAlign w:val="center"/>
          </w:tcPr>
          <w:p w14:paraId="23C068E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3A029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696" w:type="dxa"/>
            <w:tcBorders>
              <w:top w:val="double" w:color="auto" w:sz="6" w:space="0"/>
              <w:bottom w:val="single" w:color="auto" w:sz="6" w:space="0"/>
            </w:tcBorders>
            <w:noWrap w:val="0"/>
            <w:vAlign w:val="center"/>
          </w:tcPr>
          <w:p w14:paraId="4BBC7DF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tcBorders>
              <w:top w:val="double" w:color="auto" w:sz="6" w:space="0"/>
              <w:bottom w:val="single" w:color="auto" w:sz="6" w:space="0"/>
            </w:tcBorders>
            <w:noWrap w:val="0"/>
            <w:vAlign w:val="center"/>
          </w:tcPr>
          <w:p w14:paraId="034FA58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tcBorders>
              <w:top w:val="double" w:color="auto" w:sz="6" w:space="0"/>
              <w:bottom w:val="single" w:color="auto" w:sz="6" w:space="0"/>
            </w:tcBorders>
            <w:noWrap w:val="0"/>
            <w:vAlign w:val="center"/>
          </w:tcPr>
          <w:p w14:paraId="6401E0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tcBorders>
              <w:top w:val="double" w:color="auto" w:sz="6" w:space="0"/>
              <w:bottom w:val="single" w:color="auto" w:sz="6" w:space="0"/>
            </w:tcBorders>
            <w:noWrap w:val="0"/>
            <w:vAlign w:val="center"/>
          </w:tcPr>
          <w:p w14:paraId="0C245E3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double" w:color="auto" w:sz="6" w:space="0"/>
              <w:bottom w:val="single" w:color="auto" w:sz="6" w:space="0"/>
            </w:tcBorders>
            <w:noWrap w:val="0"/>
            <w:vAlign w:val="center"/>
          </w:tcPr>
          <w:p w14:paraId="41FC17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tcBorders>
              <w:top w:val="double" w:color="auto" w:sz="6" w:space="0"/>
              <w:bottom w:val="single" w:color="auto" w:sz="6" w:space="0"/>
            </w:tcBorders>
            <w:noWrap w:val="0"/>
            <w:vAlign w:val="center"/>
          </w:tcPr>
          <w:p w14:paraId="5E45AF1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double" w:color="auto" w:sz="6" w:space="0"/>
              <w:bottom w:val="single" w:color="auto" w:sz="6" w:space="0"/>
            </w:tcBorders>
            <w:noWrap w:val="0"/>
            <w:vAlign w:val="center"/>
          </w:tcPr>
          <w:p w14:paraId="0620EF1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double" w:color="auto" w:sz="6" w:space="0"/>
              <w:bottom w:val="single" w:color="auto" w:sz="6" w:space="0"/>
            </w:tcBorders>
            <w:noWrap w:val="0"/>
            <w:vAlign w:val="center"/>
          </w:tcPr>
          <w:p w14:paraId="633B0C4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tcBorders>
              <w:top w:val="double" w:color="auto" w:sz="6" w:space="0"/>
              <w:bottom w:val="single" w:color="auto" w:sz="6" w:space="0"/>
            </w:tcBorders>
            <w:noWrap w:val="0"/>
            <w:vAlign w:val="center"/>
          </w:tcPr>
          <w:p w14:paraId="683AB38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double" w:color="auto" w:sz="6" w:space="0"/>
              <w:bottom w:val="single" w:color="auto" w:sz="6" w:space="0"/>
            </w:tcBorders>
            <w:noWrap w:val="0"/>
            <w:vAlign w:val="center"/>
          </w:tcPr>
          <w:p w14:paraId="0AE25F1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415C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tcBorders>
              <w:top w:val="nil"/>
            </w:tcBorders>
            <w:noWrap w:val="0"/>
            <w:vAlign w:val="center"/>
          </w:tcPr>
          <w:p w14:paraId="513B55F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tcBorders>
              <w:top w:val="nil"/>
            </w:tcBorders>
            <w:noWrap w:val="0"/>
            <w:vAlign w:val="center"/>
          </w:tcPr>
          <w:p w14:paraId="480339F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tcBorders>
              <w:top w:val="nil"/>
            </w:tcBorders>
            <w:noWrap w:val="0"/>
            <w:vAlign w:val="center"/>
          </w:tcPr>
          <w:p w14:paraId="2D97436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tcBorders>
              <w:top w:val="nil"/>
            </w:tcBorders>
            <w:noWrap w:val="0"/>
            <w:vAlign w:val="center"/>
          </w:tcPr>
          <w:p w14:paraId="36207DF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nil"/>
            </w:tcBorders>
            <w:noWrap w:val="0"/>
            <w:vAlign w:val="center"/>
          </w:tcPr>
          <w:p w14:paraId="078F62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tcBorders>
              <w:top w:val="nil"/>
            </w:tcBorders>
            <w:noWrap w:val="0"/>
            <w:vAlign w:val="center"/>
          </w:tcPr>
          <w:p w14:paraId="4A2C997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nil"/>
            </w:tcBorders>
            <w:noWrap w:val="0"/>
            <w:vAlign w:val="center"/>
          </w:tcPr>
          <w:p w14:paraId="1ED9C7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nil"/>
            </w:tcBorders>
            <w:noWrap w:val="0"/>
            <w:vAlign w:val="center"/>
          </w:tcPr>
          <w:p w14:paraId="02D67ED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tcBorders>
              <w:top w:val="nil"/>
            </w:tcBorders>
            <w:noWrap w:val="0"/>
            <w:vAlign w:val="center"/>
          </w:tcPr>
          <w:p w14:paraId="77ACA6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nil"/>
            </w:tcBorders>
            <w:noWrap w:val="0"/>
            <w:vAlign w:val="center"/>
          </w:tcPr>
          <w:p w14:paraId="6943B0D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FAA9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056E8C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0607393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20D0B13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7834E03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837600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F1B148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E2F220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09C6F20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315297D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534039F">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D6F5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684AE4E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B9939F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417B2F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19F4B63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D6BA94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4D0BC35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18DFF45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C88CFF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DBE9B2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8B217F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FF5E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1FA30C3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DF1C9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67252FD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07C40E5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13F732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3F8E1B4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127F1CC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07D4F42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DCAA49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7D318B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7A0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757F8BF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999C86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3590F0D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7383BAC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FA3F92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2977AE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597FA28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59D85C7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E62425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2AB104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81BB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C1FFFB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24A7BE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37D1FD3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15C58EC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3BCCCF1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F91D2A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32C8CCA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6F693F1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0B5D33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16DA3F6">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FCE1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17C62EB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773A9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01BA210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5D8FFCB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3E1C5F5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0E8007B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024BC2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5547A6C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39A86BB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9DD229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F468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0E7C2686">
            <w:pPr>
              <w:jc w:val="center"/>
              <w:rPr>
                <w:rFonts w:eastAsia="仿宋_GB2312"/>
                <w:color w:val="000000"/>
                <w:sz w:val="24"/>
                <w:szCs w:val="24"/>
                <w:highlight w:val="none"/>
              </w:rPr>
            </w:pPr>
          </w:p>
        </w:tc>
        <w:tc>
          <w:tcPr>
            <w:tcW w:w="1044" w:type="dxa"/>
            <w:noWrap w:val="0"/>
            <w:vAlign w:val="center"/>
          </w:tcPr>
          <w:p w14:paraId="6E86C497">
            <w:pPr>
              <w:jc w:val="center"/>
              <w:rPr>
                <w:rFonts w:eastAsia="仿宋_GB2312"/>
                <w:color w:val="000000"/>
                <w:sz w:val="24"/>
                <w:szCs w:val="24"/>
                <w:highlight w:val="none"/>
              </w:rPr>
            </w:pPr>
          </w:p>
        </w:tc>
        <w:tc>
          <w:tcPr>
            <w:tcW w:w="1160" w:type="dxa"/>
            <w:noWrap w:val="0"/>
            <w:vAlign w:val="center"/>
          </w:tcPr>
          <w:p w14:paraId="0A25869C">
            <w:pPr>
              <w:jc w:val="center"/>
              <w:rPr>
                <w:rFonts w:eastAsia="仿宋_GB2312"/>
                <w:color w:val="000000"/>
                <w:sz w:val="24"/>
                <w:szCs w:val="24"/>
                <w:highlight w:val="none"/>
              </w:rPr>
            </w:pPr>
          </w:p>
        </w:tc>
        <w:tc>
          <w:tcPr>
            <w:tcW w:w="769" w:type="dxa"/>
            <w:noWrap w:val="0"/>
            <w:vAlign w:val="center"/>
          </w:tcPr>
          <w:p w14:paraId="287611E7">
            <w:pPr>
              <w:jc w:val="center"/>
              <w:rPr>
                <w:rFonts w:eastAsia="仿宋_GB2312"/>
                <w:color w:val="000000"/>
                <w:sz w:val="24"/>
                <w:szCs w:val="24"/>
                <w:highlight w:val="none"/>
              </w:rPr>
            </w:pPr>
          </w:p>
        </w:tc>
        <w:tc>
          <w:tcPr>
            <w:tcW w:w="696" w:type="dxa"/>
            <w:noWrap w:val="0"/>
            <w:vAlign w:val="center"/>
          </w:tcPr>
          <w:p w14:paraId="5A19AA58">
            <w:pPr>
              <w:jc w:val="center"/>
              <w:rPr>
                <w:rFonts w:eastAsia="仿宋_GB2312"/>
                <w:color w:val="000000"/>
                <w:sz w:val="24"/>
                <w:szCs w:val="24"/>
                <w:highlight w:val="none"/>
              </w:rPr>
            </w:pPr>
          </w:p>
        </w:tc>
        <w:tc>
          <w:tcPr>
            <w:tcW w:w="854" w:type="dxa"/>
            <w:noWrap w:val="0"/>
            <w:vAlign w:val="center"/>
          </w:tcPr>
          <w:p w14:paraId="41C3BB42">
            <w:pPr>
              <w:jc w:val="center"/>
              <w:rPr>
                <w:rFonts w:eastAsia="仿宋_GB2312"/>
                <w:color w:val="000000"/>
                <w:sz w:val="24"/>
                <w:szCs w:val="24"/>
                <w:highlight w:val="none"/>
              </w:rPr>
            </w:pPr>
          </w:p>
        </w:tc>
        <w:tc>
          <w:tcPr>
            <w:tcW w:w="811" w:type="dxa"/>
            <w:noWrap w:val="0"/>
            <w:vAlign w:val="center"/>
          </w:tcPr>
          <w:p w14:paraId="3238D55E">
            <w:pPr>
              <w:jc w:val="center"/>
              <w:rPr>
                <w:rFonts w:eastAsia="仿宋_GB2312"/>
                <w:color w:val="000000"/>
                <w:sz w:val="24"/>
                <w:szCs w:val="24"/>
                <w:highlight w:val="none"/>
              </w:rPr>
            </w:pPr>
          </w:p>
        </w:tc>
        <w:tc>
          <w:tcPr>
            <w:tcW w:w="696" w:type="dxa"/>
            <w:noWrap w:val="0"/>
            <w:vAlign w:val="center"/>
          </w:tcPr>
          <w:p w14:paraId="6728F1E1">
            <w:pPr>
              <w:jc w:val="center"/>
              <w:rPr>
                <w:rFonts w:eastAsia="仿宋_GB2312"/>
                <w:color w:val="000000"/>
                <w:sz w:val="24"/>
                <w:szCs w:val="24"/>
                <w:highlight w:val="none"/>
              </w:rPr>
            </w:pPr>
          </w:p>
        </w:tc>
        <w:tc>
          <w:tcPr>
            <w:tcW w:w="1217" w:type="dxa"/>
            <w:noWrap w:val="0"/>
            <w:vAlign w:val="center"/>
          </w:tcPr>
          <w:p w14:paraId="5E5FD47B">
            <w:pPr>
              <w:jc w:val="center"/>
              <w:rPr>
                <w:rFonts w:eastAsia="仿宋_GB2312"/>
                <w:color w:val="000000"/>
                <w:sz w:val="24"/>
                <w:szCs w:val="24"/>
                <w:highlight w:val="none"/>
              </w:rPr>
            </w:pPr>
          </w:p>
        </w:tc>
        <w:tc>
          <w:tcPr>
            <w:tcW w:w="811" w:type="dxa"/>
            <w:noWrap w:val="0"/>
            <w:vAlign w:val="center"/>
          </w:tcPr>
          <w:p w14:paraId="44A5B93A">
            <w:pPr>
              <w:jc w:val="center"/>
              <w:rPr>
                <w:rFonts w:eastAsia="仿宋_GB2312"/>
                <w:color w:val="000000"/>
                <w:sz w:val="24"/>
                <w:szCs w:val="24"/>
                <w:highlight w:val="none"/>
              </w:rPr>
            </w:pPr>
          </w:p>
        </w:tc>
      </w:tr>
      <w:tr w14:paraId="2E2CA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249C2D9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76DEBD6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673811F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2330E37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5E19BC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E972C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69EDF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3F38F5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8AE00A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5571CC5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20E8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0BA83FB7">
            <w:pPr>
              <w:jc w:val="center"/>
              <w:rPr>
                <w:rFonts w:eastAsia="仿宋_GB2312"/>
                <w:color w:val="000000"/>
                <w:sz w:val="24"/>
                <w:szCs w:val="24"/>
                <w:highlight w:val="none"/>
              </w:rPr>
            </w:pPr>
          </w:p>
        </w:tc>
        <w:tc>
          <w:tcPr>
            <w:tcW w:w="1044" w:type="dxa"/>
            <w:noWrap w:val="0"/>
            <w:vAlign w:val="center"/>
          </w:tcPr>
          <w:p w14:paraId="5841354B">
            <w:pPr>
              <w:jc w:val="center"/>
              <w:rPr>
                <w:rFonts w:eastAsia="仿宋_GB2312"/>
                <w:color w:val="000000"/>
                <w:sz w:val="24"/>
                <w:szCs w:val="24"/>
                <w:highlight w:val="none"/>
              </w:rPr>
            </w:pPr>
          </w:p>
        </w:tc>
        <w:tc>
          <w:tcPr>
            <w:tcW w:w="1160" w:type="dxa"/>
            <w:noWrap w:val="0"/>
            <w:vAlign w:val="center"/>
          </w:tcPr>
          <w:p w14:paraId="79AFDD91">
            <w:pPr>
              <w:jc w:val="center"/>
              <w:rPr>
                <w:rFonts w:eastAsia="仿宋_GB2312"/>
                <w:color w:val="000000"/>
                <w:sz w:val="24"/>
                <w:szCs w:val="24"/>
                <w:highlight w:val="none"/>
              </w:rPr>
            </w:pPr>
          </w:p>
        </w:tc>
        <w:tc>
          <w:tcPr>
            <w:tcW w:w="769" w:type="dxa"/>
            <w:noWrap w:val="0"/>
            <w:vAlign w:val="center"/>
          </w:tcPr>
          <w:p w14:paraId="1E3A089E">
            <w:pPr>
              <w:jc w:val="center"/>
              <w:rPr>
                <w:rFonts w:eastAsia="仿宋_GB2312"/>
                <w:color w:val="000000"/>
                <w:sz w:val="24"/>
                <w:szCs w:val="24"/>
                <w:highlight w:val="none"/>
              </w:rPr>
            </w:pPr>
          </w:p>
        </w:tc>
        <w:tc>
          <w:tcPr>
            <w:tcW w:w="696" w:type="dxa"/>
            <w:noWrap w:val="0"/>
            <w:vAlign w:val="center"/>
          </w:tcPr>
          <w:p w14:paraId="29C38493">
            <w:pPr>
              <w:jc w:val="center"/>
              <w:rPr>
                <w:rFonts w:eastAsia="仿宋_GB2312"/>
                <w:color w:val="000000"/>
                <w:sz w:val="24"/>
                <w:szCs w:val="24"/>
                <w:highlight w:val="none"/>
              </w:rPr>
            </w:pPr>
          </w:p>
        </w:tc>
        <w:tc>
          <w:tcPr>
            <w:tcW w:w="854" w:type="dxa"/>
            <w:noWrap w:val="0"/>
            <w:vAlign w:val="center"/>
          </w:tcPr>
          <w:p w14:paraId="5DA1E9C1">
            <w:pPr>
              <w:jc w:val="center"/>
              <w:rPr>
                <w:rFonts w:eastAsia="仿宋_GB2312"/>
                <w:color w:val="000000"/>
                <w:sz w:val="24"/>
                <w:szCs w:val="24"/>
                <w:highlight w:val="none"/>
              </w:rPr>
            </w:pPr>
          </w:p>
        </w:tc>
        <w:tc>
          <w:tcPr>
            <w:tcW w:w="811" w:type="dxa"/>
            <w:noWrap w:val="0"/>
            <w:vAlign w:val="center"/>
          </w:tcPr>
          <w:p w14:paraId="354DE1AD">
            <w:pPr>
              <w:jc w:val="center"/>
              <w:rPr>
                <w:rFonts w:eastAsia="仿宋_GB2312"/>
                <w:color w:val="000000"/>
                <w:sz w:val="24"/>
                <w:szCs w:val="24"/>
                <w:highlight w:val="none"/>
              </w:rPr>
            </w:pPr>
          </w:p>
        </w:tc>
        <w:tc>
          <w:tcPr>
            <w:tcW w:w="696" w:type="dxa"/>
            <w:noWrap w:val="0"/>
            <w:vAlign w:val="center"/>
          </w:tcPr>
          <w:p w14:paraId="2BC7E1AD">
            <w:pPr>
              <w:jc w:val="center"/>
              <w:rPr>
                <w:rFonts w:eastAsia="仿宋_GB2312"/>
                <w:color w:val="000000"/>
                <w:sz w:val="24"/>
                <w:szCs w:val="24"/>
                <w:highlight w:val="none"/>
              </w:rPr>
            </w:pPr>
          </w:p>
        </w:tc>
        <w:tc>
          <w:tcPr>
            <w:tcW w:w="1217" w:type="dxa"/>
            <w:noWrap w:val="0"/>
            <w:vAlign w:val="center"/>
          </w:tcPr>
          <w:p w14:paraId="45AA0150">
            <w:pPr>
              <w:jc w:val="center"/>
              <w:rPr>
                <w:rFonts w:eastAsia="仿宋_GB2312"/>
                <w:color w:val="000000"/>
                <w:sz w:val="24"/>
                <w:szCs w:val="24"/>
                <w:highlight w:val="none"/>
              </w:rPr>
            </w:pPr>
          </w:p>
        </w:tc>
        <w:tc>
          <w:tcPr>
            <w:tcW w:w="811" w:type="dxa"/>
            <w:noWrap w:val="0"/>
            <w:vAlign w:val="center"/>
          </w:tcPr>
          <w:p w14:paraId="3736C9E5">
            <w:pPr>
              <w:jc w:val="center"/>
              <w:rPr>
                <w:rFonts w:eastAsia="仿宋_GB2312"/>
                <w:color w:val="000000"/>
                <w:sz w:val="24"/>
                <w:szCs w:val="24"/>
                <w:highlight w:val="none"/>
              </w:rPr>
            </w:pPr>
          </w:p>
        </w:tc>
      </w:tr>
      <w:tr w14:paraId="35BE6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6D0EB5D5">
            <w:pPr>
              <w:jc w:val="center"/>
              <w:rPr>
                <w:rFonts w:eastAsia="仿宋_GB2312"/>
                <w:color w:val="000000"/>
                <w:sz w:val="24"/>
                <w:szCs w:val="24"/>
                <w:highlight w:val="none"/>
              </w:rPr>
            </w:pPr>
          </w:p>
        </w:tc>
        <w:tc>
          <w:tcPr>
            <w:tcW w:w="1044" w:type="dxa"/>
            <w:noWrap w:val="0"/>
            <w:vAlign w:val="center"/>
          </w:tcPr>
          <w:p w14:paraId="10BFA8E4">
            <w:pPr>
              <w:jc w:val="center"/>
              <w:rPr>
                <w:rFonts w:eastAsia="仿宋_GB2312"/>
                <w:color w:val="000000"/>
                <w:sz w:val="24"/>
                <w:szCs w:val="24"/>
                <w:highlight w:val="none"/>
              </w:rPr>
            </w:pPr>
          </w:p>
        </w:tc>
        <w:tc>
          <w:tcPr>
            <w:tcW w:w="1160" w:type="dxa"/>
            <w:noWrap w:val="0"/>
            <w:vAlign w:val="center"/>
          </w:tcPr>
          <w:p w14:paraId="42F14E6C">
            <w:pPr>
              <w:jc w:val="center"/>
              <w:rPr>
                <w:rFonts w:eastAsia="仿宋_GB2312"/>
                <w:color w:val="000000"/>
                <w:sz w:val="24"/>
                <w:szCs w:val="24"/>
                <w:highlight w:val="none"/>
              </w:rPr>
            </w:pPr>
          </w:p>
        </w:tc>
        <w:tc>
          <w:tcPr>
            <w:tcW w:w="769" w:type="dxa"/>
            <w:noWrap w:val="0"/>
            <w:vAlign w:val="center"/>
          </w:tcPr>
          <w:p w14:paraId="33A009C3">
            <w:pPr>
              <w:jc w:val="center"/>
              <w:rPr>
                <w:rFonts w:eastAsia="仿宋_GB2312"/>
                <w:color w:val="000000"/>
                <w:sz w:val="24"/>
                <w:szCs w:val="24"/>
                <w:highlight w:val="none"/>
              </w:rPr>
            </w:pPr>
          </w:p>
        </w:tc>
        <w:tc>
          <w:tcPr>
            <w:tcW w:w="696" w:type="dxa"/>
            <w:noWrap w:val="0"/>
            <w:vAlign w:val="center"/>
          </w:tcPr>
          <w:p w14:paraId="24D58A06">
            <w:pPr>
              <w:jc w:val="center"/>
              <w:rPr>
                <w:rFonts w:eastAsia="仿宋_GB2312"/>
                <w:color w:val="000000"/>
                <w:sz w:val="24"/>
                <w:szCs w:val="24"/>
                <w:highlight w:val="none"/>
              </w:rPr>
            </w:pPr>
          </w:p>
        </w:tc>
        <w:tc>
          <w:tcPr>
            <w:tcW w:w="854" w:type="dxa"/>
            <w:noWrap w:val="0"/>
            <w:vAlign w:val="center"/>
          </w:tcPr>
          <w:p w14:paraId="0BDC2703">
            <w:pPr>
              <w:jc w:val="center"/>
              <w:rPr>
                <w:rFonts w:eastAsia="仿宋_GB2312"/>
                <w:color w:val="000000"/>
                <w:sz w:val="24"/>
                <w:szCs w:val="24"/>
                <w:highlight w:val="none"/>
              </w:rPr>
            </w:pPr>
          </w:p>
        </w:tc>
        <w:tc>
          <w:tcPr>
            <w:tcW w:w="811" w:type="dxa"/>
            <w:noWrap w:val="0"/>
            <w:vAlign w:val="center"/>
          </w:tcPr>
          <w:p w14:paraId="4582CB49">
            <w:pPr>
              <w:jc w:val="center"/>
              <w:rPr>
                <w:rFonts w:eastAsia="仿宋_GB2312"/>
                <w:color w:val="000000"/>
                <w:sz w:val="24"/>
                <w:szCs w:val="24"/>
                <w:highlight w:val="none"/>
              </w:rPr>
            </w:pPr>
          </w:p>
        </w:tc>
        <w:tc>
          <w:tcPr>
            <w:tcW w:w="696" w:type="dxa"/>
            <w:noWrap w:val="0"/>
            <w:vAlign w:val="center"/>
          </w:tcPr>
          <w:p w14:paraId="0E748010">
            <w:pPr>
              <w:jc w:val="center"/>
              <w:rPr>
                <w:rFonts w:eastAsia="仿宋_GB2312"/>
                <w:color w:val="000000"/>
                <w:sz w:val="24"/>
                <w:szCs w:val="24"/>
                <w:highlight w:val="none"/>
              </w:rPr>
            </w:pPr>
          </w:p>
        </w:tc>
        <w:tc>
          <w:tcPr>
            <w:tcW w:w="1217" w:type="dxa"/>
            <w:noWrap w:val="0"/>
            <w:vAlign w:val="center"/>
          </w:tcPr>
          <w:p w14:paraId="74F8EE93">
            <w:pPr>
              <w:jc w:val="center"/>
              <w:rPr>
                <w:rFonts w:eastAsia="仿宋_GB2312"/>
                <w:color w:val="000000"/>
                <w:sz w:val="24"/>
                <w:szCs w:val="24"/>
                <w:highlight w:val="none"/>
              </w:rPr>
            </w:pPr>
          </w:p>
        </w:tc>
        <w:tc>
          <w:tcPr>
            <w:tcW w:w="811" w:type="dxa"/>
            <w:noWrap w:val="0"/>
            <w:vAlign w:val="center"/>
          </w:tcPr>
          <w:p w14:paraId="2DAD1E75">
            <w:pPr>
              <w:jc w:val="center"/>
              <w:rPr>
                <w:rFonts w:eastAsia="仿宋_GB2312"/>
                <w:color w:val="000000"/>
                <w:sz w:val="24"/>
                <w:szCs w:val="24"/>
                <w:highlight w:val="none"/>
              </w:rPr>
            </w:pPr>
          </w:p>
        </w:tc>
      </w:tr>
      <w:tr w14:paraId="028D4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77C5A25">
            <w:pPr>
              <w:jc w:val="center"/>
              <w:rPr>
                <w:rFonts w:eastAsia="仿宋_GB2312"/>
                <w:color w:val="000000"/>
                <w:sz w:val="24"/>
                <w:szCs w:val="24"/>
                <w:highlight w:val="none"/>
              </w:rPr>
            </w:pPr>
          </w:p>
        </w:tc>
        <w:tc>
          <w:tcPr>
            <w:tcW w:w="1044" w:type="dxa"/>
            <w:noWrap w:val="0"/>
            <w:vAlign w:val="center"/>
          </w:tcPr>
          <w:p w14:paraId="6060044E">
            <w:pPr>
              <w:jc w:val="center"/>
              <w:rPr>
                <w:rFonts w:eastAsia="仿宋_GB2312"/>
                <w:color w:val="000000"/>
                <w:sz w:val="24"/>
                <w:szCs w:val="24"/>
                <w:highlight w:val="none"/>
              </w:rPr>
            </w:pPr>
          </w:p>
        </w:tc>
        <w:tc>
          <w:tcPr>
            <w:tcW w:w="1160" w:type="dxa"/>
            <w:noWrap w:val="0"/>
            <w:vAlign w:val="center"/>
          </w:tcPr>
          <w:p w14:paraId="1BBB525F">
            <w:pPr>
              <w:jc w:val="center"/>
              <w:rPr>
                <w:rFonts w:eastAsia="仿宋_GB2312"/>
                <w:color w:val="000000"/>
                <w:sz w:val="24"/>
                <w:szCs w:val="24"/>
                <w:highlight w:val="none"/>
              </w:rPr>
            </w:pPr>
          </w:p>
        </w:tc>
        <w:tc>
          <w:tcPr>
            <w:tcW w:w="769" w:type="dxa"/>
            <w:noWrap w:val="0"/>
            <w:vAlign w:val="center"/>
          </w:tcPr>
          <w:p w14:paraId="02211D3D">
            <w:pPr>
              <w:jc w:val="center"/>
              <w:rPr>
                <w:rFonts w:eastAsia="仿宋_GB2312"/>
                <w:color w:val="000000"/>
                <w:sz w:val="24"/>
                <w:szCs w:val="24"/>
                <w:highlight w:val="none"/>
              </w:rPr>
            </w:pPr>
          </w:p>
        </w:tc>
        <w:tc>
          <w:tcPr>
            <w:tcW w:w="696" w:type="dxa"/>
            <w:noWrap w:val="0"/>
            <w:vAlign w:val="center"/>
          </w:tcPr>
          <w:p w14:paraId="07405FA1">
            <w:pPr>
              <w:jc w:val="center"/>
              <w:rPr>
                <w:rFonts w:eastAsia="仿宋_GB2312"/>
                <w:color w:val="000000"/>
                <w:sz w:val="24"/>
                <w:szCs w:val="24"/>
                <w:highlight w:val="none"/>
              </w:rPr>
            </w:pPr>
          </w:p>
        </w:tc>
        <w:tc>
          <w:tcPr>
            <w:tcW w:w="854" w:type="dxa"/>
            <w:noWrap w:val="0"/>
            <w:vAlign w:val="center"/>
          </w:tcPr>
          <w:p w14:paraId="5CD47E6D">
            <w:pPr>
              <w:jc w:val="center"/>
              <w:rPr>
                <w:rFonts w:eastAsia="仿宋_GB2312"/>
                <w:color w:val="000000"/>
                <w:sz w:val="24"/>
                <w:szCs w:val="24"/>
                <w:highlight w:val="none"/>
              </w:rPr>
            </w:pPr>
          </w:p>
        </w:tc>
        <w:tc>
          <w:tcPr>
            <w:tcW w:w="811" w:type="dxa"/>
            <w:noWrap w:val="0"/>
            <w:vAlign w:val="center"/>
          </w:tcPr>
          <w:p w14:paraId="1507A164">
            <w:pPr>
              <w:jc w:val="center"/>
              <w:rPr>
                <w:rFonts w:eastAsia="仿宋_GB2312"/>
                <w:color w:val="000000"/>
                <w:sz w:val="24"/>
                <w:szCs w:val="24"/>
                <w:highlight w:val="none"/>
              </w:rPr>
            </w:pPr>
          </w:p>
        </w:tc>
        <w:tc>
          <w:tcPr>
            <w:tcW w:w="696" w:type="dxa"/>
            <w:noWrap w:val="0"/>
            <w:vAlign w:val="center"/>
          </w:tcPr>
          <w:p w14:paraId="6FD07506">
            <w:pPr>
              <w:jc w:val="center"/>
              <w:rPr>
                <w:rFonts w:eastAsia="仿宋_GB2312"/>
                <w:color w:val="000000"/>
                <w:sz w:val="24"/>
                <w:szCs w:val="24"/>
                <w:highlight w:val="none"/>
              </w:rPr>
            </w:pPr>
          </w:p>
        </w:tc>
        <w:tc>
          <w:tcPr>
            <w:tcW w:w="1217" w:type="dxa"/>
            <w:noWrap w:val="0"/>
            <w:vAlign w:val="center"/>
          </w:tcPr>
          <w:p w14:paraId="272DA867">
            <w:pPr>
              <w:jc w:val="center"/>
              <w:rPr>
                <w:rFonts w:eastAsia="仿宋_GB2312"/>
                <w:color w:val="000000"/>
                <w:sz w:val="24"/>
                <w:szCs w:val="24"/>
                <w:highlight w:val="none"/>
              </w:rPr>
            </w:pPr>
          </w:p>
        </w:tc>
        <w:tc>
          <w:tcPr>
            <w:tcW w:w="811" w:type="dxa"/>
            <w:noWrap w:val="0"/>
            <w:vAlign w:val="center"/>
          </w:tcPr>
          <w:p w14:paraId="17A3F385">
            <w:pPr>
              <w:jc w:val="center"/>
              <w:rPr>
                <w:rFonts w:eastAsia="仿宋_GB2312"/>
                <w:color w:val="000000"/>
                <w:sz w:val="24"/>
                <w:szCs w:val="24"/>
                <w:highlight w:val="none"/>
              </w:rPr>
            </w:pPr>
          </w:p>
        </w:tc>
      </w:tr>
      <w:tr w14:paraId="416BF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7BA7CA07">
            <w:pPr>
              <w:jc w:val="center"/>
              <w:rPr>
                <w:rFonts w:eastAsia="仿宋_GB2312"/>
                <w:color w:val="000000"/>
                <w:sz w:val="24"/>
                <w:szCs w:val="24"/>
                <w:highlight w:val="none"/>
              </w:rPr>
            </w:pPr>
          </w:p>
        </w:tc>
        <w:tc>
          <w:tcPr>
            <w:tcW w:w="1044" w:type="dxa"/>
            <w:noWrap w:val="0"/>
            <w:vAlign w:val="center"/>
          </w:tcPr>
          <w:p w14:paraId="1713E210">
            <w:pPr>
              <w:jc w:val="center"/>
              <w:rPr>
                <w:rFonts w:eastAsia="仿宋_GB2312"/>
                <w:color w:val="000000"/>
                <w:sz w:val="24"/>
                <w:szCs w:val="24"/>
                <w:highlight w:val="none"/>
              </w:rPr>
            </w:pPr>
          </w:p>
        </w:tc>
        <w:tc>
          <w:tcPr>
            <w:tcW w:w="1160" w:type="dxa"/>
            <w:noWrap w:val="0"/>
            <w:vAlign w:val="center"/>
          </w:tcPr>
          <w:p w14:paraId="0827C1DA">
            <w:pPr>
              <w:jc w:val="center"/>
              <w:rPr>
                <w:rFonts w:eastAsia="仿宋_GB2312"/>
                <w:color w:val="000000"/>
                <w:sz w:val="24"/>
                <w:szCs w:val="24"/>
                <w:highlight w:val="none"/>
              </w:rPr>
            </w:pPr>
          </w:p>
        </w:tc>
        <w:tc>
          <w:tcPr>
            <w:tcW w:w="769" w:type="dxa"/>
            <w:noWrap w:val="0"/>
            <w:vAlign w:val="center"/>
          </w:tcPr>
          <w:p w14:paraId="4856164E">
            <w:pPr>
              <w:jc w:val="center"/>
              <w:rPr>
                <w:rFonts w:eastAsia="仿宋_GB2312"/>
                <w:color w:val="000000"/>
                <w:sz w:val="24"/>
                <w:szCs w:val="24"/>
                <w:highlight w:val="none"/>
              </w:rPr>
            </w:pPr>
          </w:p>
        </w:tc>
        <w:tc>
          <w:tcPr>
            <w:tcW w:w="696" w:type="dxa"/>
            <w:noWrap w:val="0"/>
            <w:vAlign w:val="center"/>
          </w:tcPr>
          <w:p w14:paraId="6012AA9C">
            <w:pPr>
              <w:jc w:val="center"/>
              <w:rPr>
                <w:rFonts w:eastAsia="仿宋_GB2312"/>
                <w:color w:val="000000"/>
                <w:sz w:val="24"/>
                <w:szCs w:val="24"/>
                <w:highlight w:val="none"/>
              </w:rPr>
            </w:pPr>
          </w:p>
        </w:tc>
        <w:tc>
          <w:tcPr>
            <w:tcW w:w="854" w:type="dxa"/>
            <w:noWrap w:val="0"/>
            <w:vAlign w:val="center"/>
          </w:tcPr>
          <w:p w14:paraId="130EE47E">
            <w:pPr>
              <w:jc w:val="center"/>
              <w:rPr>
                <w:rFonts w:eastAsia="仿宋_GB2312"/>
                <w:color w:val="000000"/>
                <w:sz w:val="24"/>
                <w:szCs w:val="24"/>
                <w:highlight w:val="none"/>
              </w:rPr>
            </w:pPr>
          </w:p>
        </w:tc>
        <w:tc>
          <w:tcPr>
            <w:tcW w:w="811" w:type="dxa"/>
            <w:noWrap w:val="0"/>
            <w:vAlign w:val="center"/>
          </w:tcPr>
          <w:p w14:paraId="565D6082">
            <w:pPr>
              <w:jc w:val="center"/>
              <w:rPr>
                <w:rFonts w:eastAsia="仿宋_GB2312"/>
                <w:color w:val="000000"/>
                <w:sz w:val="24"/>
                <w:szCs w:val="24"/>
                <w:highlight w:val="none"/>
              </w:rPr>
            </w:pPr>
          </w:p>
        </w:tc>
        <w:tc>
          <w:tcPr>
            <w:tcW w:w="696" w:type="dxa"/>
            <w:noWrap w:val="0"/>
            <w:vAlign w:val="center"/>
          </w:tcPr>
          <w:p w14:paraId="0D31BF86">
            <w:pPr>
              <w:jc w:val="center"/>
              <w:rPr>
                <w:rFonts w:eastAsia="仿宋_GB2312"/>
                <w:color w:val="000000"/>
                <w:sz w:val="24"/>
                <w:szCs w:val="24"/>
                <w:highlight w:val="none"/>
              </w:rPr>
            </w:pPr>
          </w:p>
        </w:tc>
        <w:tc>
          <w:tcPr>
            <w:tcW w:w="1217" w:type="dxa"/>
            <w:noWrap w:val="0"/>
            <w:vAlign w:val="center"/>
          </w:tcPr>
          <w:p w14:paraId="72940324">
            <w:pPr>
              <w:jc w:val="center"/>
              <w:rPr>
                <w:rFonts w:eastAsia="仿宋_GB2312"/>
                <w:color w:val="000000"/>
                <w:sz w:val="24"/>
                <w:szCs w:val="24"/>
                <w:highlight w:val="none"/>
              </w:rPr>
            </w:pPr>
          </w:p>
        </w:tc>
        <w:tc>
          <w:tcPr>
            <w:tcW w:w="811" w:type="dxa"/>
            <w:noWrap w:val="0"/>
            <w:vAlign w:val="center"/>
          </w:tcPr>
          <w:p w14:paraId="767A520B">
            <w:pPr>
              <w:jc w:val="center"/>
              <w:rPr>
                <w:rFonts w:eastAsia="仿宋_GB2312"/>
                <w:color w:val="000000"/>
                <w:sz w:val="24"/>
                <w:szCs w:val="24"/>
                <w:highlight w:val="none"/>
              </w:rPr>
            </w:pPr>
          </w:p>
        </w:tc>
      </w:tr>
      <w:tr w14:paraId="35AAA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C596327">
            <w:pPr>
              <w:jc w:val="center"/>
              <w:rPr>
                <w:rFonts w:eastAsia="仿宋_GB2312"/>
                <w:color w:val="000000"/>
                <w:sz w:val="24"/>
                <w:szCs w:val="24"/>
                <w:highlight w:val="none"/>
              </w:rPr>
            </w:pPr>
          </w:p>
        </w:tc>
        <w:tc>
          <w:tcPr>
            <w:tcW w:w="1044" w:type="dxa"/>
            <w:noWrap w:val="0"/>
            <w:vAlign w:val="center"/>
          </w:tcPr>
          <w:p w14:paraId="65D9E301">
            <w:pPr>
              <w:jc w:val="center"/>
              <w:rPr>
                <w:rFonts w:eastAsia="仿宋_GB2312"/>
                <w:color w:val="000000"/>
                <w:sz w:val="24"/>
                <w:szCs w:val="24"/>
                <w:highlight w:val="none"/>
              </w:rPr>
            </w:pPr>
          </w:p>
        </w:tc>
        <w:tc>
          <w:tcPr>
            <w:tcW w:w="1160" w:type="dxa"/>
            <w:noWrap w:val="0"/>
            <w:vAlign w:val="center"/>
          </w:tcPr>
          <w:p w14:paraId="46A370EE">
            <w:pPr>
              <w:jc w:val="center"/>
              <w:rPr>
                <w:rFonts w:eastAsia="仿宋_GB2312"/>
                <w:color w:val="000000"/>
                <w:sz w:val="24"/>
                <w:szCs w:val="24"/>
                <w:highlight w:val="none"/>
              </w:rPr>
            </w:pPr>
          </w:p>
        </w:tc>
        <w:tc>
          <w:tcPr>
            <w:tcW w:w="769" w:type="dxa"/>
            <w:noWrap w:val="0"/>
            <w:vAlign w:val="center"/>
          </w:tcPr>
          <w:p w14:paraId="6471D6B4">
            <w:pPr>
              <w:jc w:val="center"/>
              <w:rPr>
                <w:rFonts w:eastAsia="仿宋_GB2312"/>
                <w:color w:val="000000"/>
                <w:sz w:val="24"/>
                <w:szCs w:val="24"/>
                <w:highlight w:val="none"/>
              </w:rPr>
            </w:pPr>
          </w:p>
        </w:tc>
        <w:tc>
          <w:tcPr>
            <w:tcW w:w="696" w:type="dxa"/>
            <w:noWrap w:val="0"/>
            <w:vAlign w:val="center"/>
          </w:tcPr>
          <w:p w14:paraId="5317D7E7">
            <w:pPr>
              <w:jc w:val="center"/>
              <w:rPr>
                <w:rFonts w:eastAsia="仿宋_GB2312"/>
                <w:color w:val="000000"/>
                <w:sz w:val="24"/>
                <w:szCs w:val="24"/>
                <w:highlight w:val="none"/>
              </w:rPr>
            </w:pPr>
          </w:p>
        </w:tc>
        <w:tc>
          <w:tcPr>
            <w:tcW w:w="854" w:type="dxa"/>
            <w:noWrap w:val="0"/>
            <w:vAlign w:val="center"/>
          </w:tcPr>
          <w:p w14:paraId="22B7D81A">
            <w:pPr>
              <w:jc w:val="center"/>
              <w:rPr>
                <w:rFonts w:eastAsia="仿宋_GB2312"/>
                <w:color w:val="000000"/>
                <w:sz w:val="24"/>
                <w:szCs w:val="24"/>
                <w:highlight w:val="none"/>
              </w:rPr>
            </w:pPr>
          </w:p>
        </w:tc>
        <w:tc>
          <w:tcPr>
            <w:tcW w:w="811" w:type="dxa"/>
            <w:noWrap w:val="0"/>
            <w:vAlign w:val="center"/>
          </w:tcPr>
          <w:p w14:paraId="45B1C76F">
            <w:pPr>
              <w:jc w:val="center"/>
              <w:rPr>
                <w:rFonts w:eastAsia="仿宋_GB2312"/>
                <w:color w:val="000000"/>
                <w:sz w:val="24"/>
                <w:szCs w:val="24"/>
                <w:highlight w:val="none"/>
              </w:rPr>
            </w:pPr>
          </w:p>
        </w:tc>
        <w:tc>
          <w:tcPr>
            <w:tcW w:w="696" w:type="dxa"/>
            <w:noWrap w:val="0"/>
            <w:vAlign w:val="center"/>
          </w:tcPr>
          <w:p w14:paraId="55899AE9">
            <w:pPr>
              <w:jc w:val="center"/>
              <w:rPr>
                <w:rFonts w:eastAsia="仿宋_GB2312"/>
                <w:color w:val="000000"/>
                <w:sz w:val="24"/>
                <w:szCs w:val="24"/>
                <w:highlight w:val="none"/>
              </w:rPr>
            </w:pPr>
          </w:p>
        </w:tc>
        <w:tc>
          <w:tcPr>
            <w:tcW w:w="1217" w:type="dxa"/>
            <w:noWrap w:val="0"/>
            <w:vAlign w:val="center"/>
          </w:tcPr>
          <w:p w14:paraId="024EB6BB">
            <w:pPr>
              <w:jc w:val="center"/>
              <w:rPr>
                <w:rFonts w:eastAsia="仿宋_GB2312"/>
                <w:color w:val="000000"/>
                <w:sz w:val="24"/>
                <w:szCs w:val="24"/>
                <w:highlight w:val="none"/>
              </w:rPr>
            </w:pPr>
          </w:p>
        </w:tc>
        <w:tc>
          <w:tcPr>
            <w:tcW w:w="811" w:type="dxa"/>
            <w:noWrap w:val="0"/>
            <w:vAlign w:val="center"/>
          </w:tcPr>
          <w:p w14:paraId="2CDF28E6">
            <w:pPr>
              <w:jc w:val="center"/>
              <w:rPr>
                <w:rFonts w:eastAsia="仿宋_GB2312"/>
                <w:color w:val="000000"/>
                <w:sz w:val="24"/>
                <w:szCs w:val="24"/>
                <w:highlight w:val="none"/>
              </w:rPr>
            </w:pPr>
          </w:p>
        </w:tc>
      </w:tr>
      <w:tr w14:paraId="551EF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C077C01">
            <w:pPr>
              <w:jc w:val="center"/>
              <w:rPr>
                <w:rFonts w:eastAsia="仿宋_GB2312"/>
                <w:color w:val="000000"/>
                <w:sz w:val="24"/>
                <w:szCs w:val="24"/>
                <w:highlight w:val="none"/>
              </w:rPr>
            </w:pPr>
          </w:p>
        </w:tc>
        <w:tc>
          <w:tcPr>
            <w:tcW w:w="1044" w:type="dxa"/>
            <w:noWrap w:val="0"/>
            <w:vAlign w:val="center"/>
          </w:tcPr>
          <w:p w14:paraId="7ABD9175">
            <w:pPr>
              <w:jc w:val="center"/>
              <w:rPr>
                <w:rFonts w:eastAsia="仿宋_GB2312"/>
                <w:color w:val="000000"/>
                <w:sz w:val="24"/>
                <w:szCs w:val="24"/>
                <w:highlight w:val="none"/>
              </w:rPr>
            </w:pPr>
          </w:p>
        </w:tc>
        <w:tc>
          <w:tcPr>
            <w:tcW w:w="1160" w:type="dxa"/>
            <w:noWrap w:val="0"/>
            <w:vAlign w:val="center"/>
          </w:tcPr>
          <w:p w14:paraId="04CB55B7">
            <w:pPr>
              <w:jc w:val="center"/>
              <w:rPr>
                <w:rFonts w:eastAsia="仿宋_GB2312"/>
                <w:color w:val="000000"/>
                <w:sz w:val="24"/>
                <w:szCs w:val="24"/>
                <w:highlight w:val="none"/>
              </w:rPr>
            </w:pPr>
          </w:p>
        </w:tc>
        <w:tc>
          <w:tcPr>
            <w:tcW w:w="769" w:type="dxa"/>
            <w:noWrap w:val="0"/>
            <w:vAlign w:val="center"/>
          </w:tcPr>
          <w:p w14:paraId="1CCBFAC0">
            <w:pPr>
              <w:jc w:val="center"/>
              <w:rPr>
                <w:rFonts w:eastAsia="仿宋_GB2312"/>
                <w:color w:val="000000"/>
                <w:sz w:val="24"/>
                <w:szCs w:val="24"/>
                <w:highlight w:val="none"/>
              </w:rPr>
            </w:pPr>
          </w:p>
        </w:tc>
        <w:tc>
          <w:tcPr>
            <w:tcW w:w="696" w:type="dxa"/>
            <w:noWrap w:val="0"/>
            <w:vAlign w:val="center"/>
          </w:tcPr>
          <w:p w14:paraId="305CAAB9">
            <w:pPr>
              <w:jc w:val="center"/>
              <w:rPr>
                <w:rFonts w:eastAsia="仿宋_GB2312"/>
                <w:color w:val="000000"/>
                <w:sz w:val="24"/>
                <w:szCs w:val="24"/>
                <w:highlight w:val="none"/>
              </w:rPr>
            </w:pPr>
          </w:p>
        </w:tc>
        <w:tc>
          <w:tcPr>
            <w:tcW w:w="854" w:type="dxa"/>
            <w:noWrap w:val="0"/>
            <w:vAlign w:val="center"/>
          </w:tcPr>
          <w:p w14:paraId="15ECE00F">
            <w:pPr>
              <w:jc w:val="center"/>
              <w:rPr>
                <w:rFonts w:eastAsia="仿宋_GB2312"/>
                <w:color w:val="000000"/>
                <w:sz w:val="24"/>
                <w:szCs w:val="24"/>
                <w:highlight w:val="none"/>
              </w:rPr>
            </w:pPr>
          </w:p>
        </w:tc>
        <w:tc>
          <w:tcPr>
            <w:tcW w:w="811" w:type="dxa"/>
            <w:noWrap w:val="0"/>
            <w:vAlign w:val="center"/>
          </w:tcPr>
          <w:p w14:paraId="32BE497A">
            <w:pPr>
              <w:jc w:val="center"/>
              <w:rPr>
                <w:rFonts w:eastAsia="仿宋_GB2312"/>
                <w:color w:val="000000"/>
                <w:sz w:val="24"/>
                <w:szCs w:val="24"/>
                <w:highlight w:val="none"/>
              </w:rPr>
            </w:pPr>
          </w:p>
        </w:tc>
        <w:tc>
          <w:tcPr>
            <w:tcW w:w="696" w:type="dxa"/>
            <w:noWrap w:val="0"/>
            <w:vAlign w:val="center"/>
          </w:tcPr>
          <w:p w14:paraId="2CA7C3E3">
            <w:pPr>
              <w:jc w:val="center"/>
              <w:rPr>
                <w:rFonts w:eastAsia="仿宋_GB2312"/>
                <w:color w:val="000000"/>
                <w:sz w:val="24"/>
                <w:szCs w:val="24"/>
                <w:highlight w:val="none"/>
              </w:rPr>
            </w:pPr>
          </w:p>
        </w:tc>
        <w:tc>
          <w:tcPr>
            <w:tcW w:w="1217" w:type="dxa"/>
            <w:noWrap w:val="0"/>
            <w:vAlign w:val="center"/>
          </w:tcPr>
          <w:p w14:paraId="1D1629AC">
            <w:pPr>
              <w:jc w:val="center"/>
              <w:rPr>
                <w:rFonts w:eastAsia="仿宋_GB2312"/>
                <w:color w:val="000000"/>
                <w:sz w:val="24"/>
                <w:szCs w:val="24"/>
                <w:highlight w:val="none"/>
              </w:rPr>
            </w:pPr>
          </w:p>
        </w:tc>
        <w:tc>
          <w:tcPr>
            <w:tcW w:w="811" w:type="dxa"/>
            <w:noWrap w:val="0"/>
            <w:vAlign w:val="center"/>
          </w:tcPr>
          <w:p w14:paraId="607CBF71">
            <w:pPr>
              <w:jc w:val="center"/>
              <w:rPr>
                <w:rFonts w:eastAsia="仿宋_GB2312"/>
                <w:color w:val="000000"/>
                <w:sz w:val="24"/>
                <w:szCs w:val="24"/>
                <w:highlight w:val="none"/>
              </w:rPr>
            </w:pPr>
          </w:p>
        </w:tc>
      </w:tr>
      <w:tr w14:paraId="109D5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1D7C72A">
            <w:pPr>
              <w:jc w:val="center"/>
              <w:rPr>
                <w:rFonts w:eastAsia="仿宋_GB2312"/>
                <w:color w:val="000000"/>
                <w:sz w:val="24"/>
                <w:szCs w:val="24"/>
                <w:highlight w:val="none"/>
              </w:rPr>
            </w:pPr>
          </w:p>
        </w:tc>
        <w:tc>
          <w:tcPr>
            <w:tcW w:w="1044" w:type="dxa"/>
            <w:noWrap w:val="0"/>
            <w:vAlign w:val="center"/>
          </w:tcPr>
          <w:p w14:paraId="6A62BCB0">
            <w:pPr>
              <w:jc w:val="center"/>
              <w:rPr>
                <w:rFonts w:eastAsia="仿宋_GB2312"/>
                <w:color w:val="000000"/>
                <w:sz w:val="24"/>
                <w:szCs w:val="24"/>
                <w:highlight w:val="none"/>
              </w:rPr>
            </w:pPr>
          </w:p>
        </w:tc>
        <w:tc>
          <w:tcPr>
            <w:tcW w:w="1160" w:type="dxa"/>
            <w:noWrap w:val="0"/>
            <w:vAlign w:val="center"/>
          </w:tcPr>
          <w:p w14:paraId="544F3124">
            <w:pPr>
              <w:jc w:val="center"/>
              <w:rPr>
                <w:rFonts w:eastAsia="仿宋_GB2312"/>
                <w:color w:val="000000"/>
                <w:sz w:val="24"/>
                <w:szCs w:val="24"/>
                <w:highlight w:val="none"/>
              </w:rPr>
            </w:pPr>
          </w:p>
        </w:tc>
        <w:tc>
          <w:tcPr>
            <w:tcW w:w="769" w:type="dxa"/>
            <w:noWrap w:val="0"/>
            <w:vAlign w:val="center"/>
          </w:tcPr>
          <w:p w14:paraId="37D30B12">
            <w:pPr>
              <w:jc w:val="center"/>
              <w:rPr>
                <w:rFonts w:eastAsia="仿宋_GB2312"/>
                <w:color w:val="000000"/>
                <w:sz w:val="24"/>
                <w:szCs w:val="24"/>
                <w:highlight w:val="none"/>
              </w:rPr>
            </w:pPr>
          </w:p>
        </w:tc>
        <w:tc>
          <w:tcPr>
            <w:tcW w:w="696" w:type="dxa"/>
            <w:noWrap w:val="0"/>
            <w:vAlign w:val="center"/>
          </w:tcPr>
          <w:p w14:paraId="09C7F2D6">
            <w:pPr>
              <w:jc w:val="center"/>
              <w:rPr>
                <w:rFonts w:eastAsia="仿宋_GB2312"/>
                <w:color w:val="000000"/>
                <w:sz w:val="24"/>
                <w:szCs w:val="24"/>
                <w:highlight w:val="none"/>
              </w:rPr>
            </w:pPr>
          </w:p>
        </w:tc>
        <w:tc>
          <w:tcPr>
            <w:tcW w:w="854" w:type="dxa"/>
            <w:noWrap w:val="0"/>
            <w:vAlign w:val="center"/>
          </w:tcPr>
          <w:p w14:paraId="40CA6134">
            <w:pPr>
              <w:jc w:val="center"/>
              <w:rPr>
                <w:rFonts w:eastAsia="仿宋_GB2312"/>
                <w:color w:val="000000"/>
                <w:sz w:val="24"/>
                <w:szCs w:val="24"/>
                <w:highlight w:val="none"/>
              </w:rPr>
            </w:pPr>
          </w:p>
        </w:tc>
        <w:tc>
          <w:tcPr>
            <w:tcW w:w="811" w:type="dxa"/>
            <w:noWrap w:val="0"/>
            <w:vAlign w:val="center"/>
          </w:tcPr>
          <w:p w14:paraId="3CF7C6F8">
            <w:pPr>
              <w:jc w:val="center"/>
              <w:rPr>
                <w:rFonts w:eastAsia="仿宋_GB2312"/>
                <w:color w:val="000000"/>
                <w:sz w:val="24"/>
                <w:szCs w:val="24"/>
                <w:highlight w:val="none"/>
              </w:rPr>
            </w:pPr>
          </w:p>
        </w:tc>
        <w:tc>
          <w:tcPr>
            <w:tcW w:w="696" w:type="dxa"/>
            <w:noWrap w:val="0"/>
            <w:vAlign w:val="center"/>
          </w:tcPr>
          <w:p w14:paraId="04F20D82">
            <w:pPr>
              <w:jc w:val="center"/>
              <w:rPr>
                <w:rFonts w:eastAsia="仿宋_GB2312"/>
                <w:color w:val="000000"/>
                <w:sz w:val="24"/>
                <w:szCs w:val="24"/>
                <w:highlight w:val="none"/>
              </w:rPr>
            </w:pPr>
          </w:p>
        </w:tc>
        <w:tc>
          <w:tcPr>
            <w:tcW w:w="1217" w:type="dxa"/>
            <w:noWrap w:val="0"/>
            <w:vAlign w:val="center"/>
          </w:tcPr>
          <w:p w14:paraId="35082308">
            <w:pPr>
              <w:jc w:val="center"/>
              <w:rPr>
                <w:rFonts w:eastAsia="仿宋_GB2312"/>
                <w:color w:val="000000"/>
                <w:sz w:val="24"/>
                <w:szCs w:val="24"/>
                <w:highlight w:val="none"/>
              </w:rPr>
            </w:pPr>
          </w:p>
        </w:tc>
        <w:tc>
          <w:tcPr>
            <w:tcW w:w="811" w:type="dxa"/>
            <w:noWrap w:val="0"/>
            <w:vAlign w:val="center"/>
          </w:tcPr>
          <w:p w14:paraId="57BB8D12">
            <w:pPr>
              <w:jc w:val="center"/>
              <w:rPr>
                <w:rFonts w:eastAsia="仿宋_GB2312"/>
                <w:color w:val="000000"/>
                <w:sz w:val="24"/>
                <w:szCs w:val="24"/>
                <w:highlight w:val="none"/>
              </w:rPr>
            </w:pPr>
          </w:p>
        </w:tc>
      </w:tr>
      <w:tr w14:paraId="04D2D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696" w:type="dxa"/>
            <w:noWrap w:val="0"/>
            <w:vAlign w:val="center"/>
          </w:tcPr>
          <w:p w14:paraId="04BC90DC">
            <w:pPr>
              <w:jc w:val="center"/>
              <w:rPr>
                <w:rFonts w:eastAsia="仿宋_GB2312"/>
                <w:color w:val="000000"/>
                <w:sz w:val="24"/>
                <w:szCs w:val="24"/>
                <w:highlight w:val="none"/>
              </w:rPr>
            </w:pPr>
          </w:p>
        </w:tc>
        <w:tc>
          <w:tcPr>
            <w:tcW w:w="1044" w:type="dxa"/>
            <w:noWrap w:val="0"/>
            <w:vAlign w:val="center"/>
          </w:tcPr>
          <w:p w14:paraId="5F81291A">
            <w:pPr>
              <w:jc w:val="center"/>
              <w:rPr>
                <w:rFonts w:eastAsia="仿宋_GB2312"/>
                <w:color w:val="000000"/>
                <w:sz w:val="24"/>
                <w:szCs w:val="24"/>
                <w:highlight w:val="none"/>
              </w:rPr>
            </w:pPr>
          </w:p>
        </w:tc>
        <w:tc>
          <w:tcPr>
            <w:tcW w:w="1160" w:type="dxa"/>
            <w:noWrap w:val="0"/>
            <w:vAlign w:val="center"/>
          </w:tcPr>
          <w:p w14:paraId="69299952">
            <w:pPr>
              <w:jc w:val="center"/>
              <w:rPr>
                <w:rFonts w:eastAsia="仿宋_GB2312"/>
                <w:color w:val="000000"/>
                <w:sz w:val="24"/>
                <w:szCs w:val="24"/>
                <w:highlight w:val="none"/>
              </w:rPr>
            </w:pPr>
          </w:p>
        </w:tc>
        <w:tc>
          <w:tcPr>
            <w:tcW w:w="769" w:type="dxa"/>
            <w:noWrap w:val="0"/>
            <w:vAlign w:val="center"/>
          </w:tcPr>
          <w:p w14:paraId="7AD3A824">
            <w:pPr>
              <w:jc w:val="center"/>
              <w:rPr>
                <w:rFonts w:eastAsia="仿宋_GB2312"/>
                <w:color w:val="000000"/>
                <w:sz w:val="24"/>
                <w:szCs w:val="24"/>
                <w:highlight w:val="none"/>
              </w:rPr>
            </w:pPr>
          </w:p>
        </w:tc>
        <w:tc>
          <w:tcPr>
            <w:tcW w:w="696" w:type="dxa"/>
            <w:noWrap w:val="0"/>
            <w:vAlign w:val="center"/>
          </w:tcPr>
          <w:p w14:paraId="18685CB3">
            <w:pPr>
              <w:jc w:val="center"/>
              <w:rPr>
                <w:rFonts w:eastAsia="仿宋_GB2312"/>
                <w:color w:val="000000"/>
                <w:sz w:val="24"/>
                <w:szCs w:val="24"/>
                <w:highlight w:val="none"/>
              </w:rPr>
            </w:pPr>
          </w:p>
        </w:tc>
        <w:tc>
          <w:tcPr>
            <w:tcW w:w="854" w:type="dxa"/>
            <w:noWrap w:val="0"/>
            <w:vAlign w:val="center"/>
          </w:tcPr>
          <w:p w14:paraId="5769F0C4">
            <w:pPr>
              <w:jc w:val="center"/>
              <w:rPr>
                <w:rFonts w:eastAsia="仿宋_GB2312"/>
                <w:color w:val="000000"/>
                <w:sz w:val="24"/>
                <w:szCs w:val="24"/>
                <w:highlight w:val="none"/>
              </w:rPr>
            </w:pPr>
          </w:p>
        </w:tc>
        <w:tc>
          <w:tcPr>
            <w:tcW w:w="811" w:type="dxa"/>
            <w:noWrap w:val="0"/>
            <w:vAlign w:val="center"/>
          </w:tcPr>
          <w:p w14:paraId="1F6E029F">
            <w:pPr>
              <w:jc w:val="center"/>
              <w:rPr>
                <w:rFonts w:eastAsia="仿宋_GB2312"/>
                <w:color w:val="000000"/>
                <w:sz w:val="24"/>
                <w:szCs w:val="24"/>
                <w:highlight w:val="none"/>
              </w:rPr>
            </w:pPr>
          </w:p>
        </w:tc>
        <w:tc>
          <w:tcPr>
            <w:tcW w:w="696" w:type="dxa"/>
            <w:noWrap w:val="0"/>
            <w:vAlign w:val="center"/>
          </w:tcPr>
          <w:p w14:paraId="075933B3">
            <w:pPr>
              <w:jc w:val="center"/>
              <w:rPr>
                <w:rFonts w:eastAsia="仿宋_GB2312"/>
                <w:color w:val="000000"/>
                <w:sz w:val="24"/>
                <w:szCs w:val="24"/>
                <w:highlight w:val="none"/>
              </w:rPr>
            </w:pPr>
          </w:p>
        </w:tc>
        <w:tc>
          <w:tcPr>
            <w:tcW w:w="1217" w:type="dxa"/>
            <w:noWrap w:val="0"/>
            <w:vAlign w:val="center"/>
          </w:tcPr>
          <w:p w14:paraId="4ACD2DB9">
            <w:pPr>
              <w:jc w:val="center"/>
              <w:rPr>
                <w:rFonts w:eastAsia="仿宋_GB2312"/>
                <w:color w:val="000000"/>
                <w:sz w:val="24"/>
                <w:szCs w:val="24"/>
                <w:highlight w:val="none"/>
              </w:rPr>
            </w:pPr>
          </w:p>
        </w:tc>
        <w:tc>
          <w:tcPr>
            <w:tcW w:w="811" w:type="dxa"/>
            <w:noWrap w:val="0"/>
            <w:vAlign w:val="center"/>
          </w:tcPr>
          <w:p w14:paraId="2D867770">
            <w:pPr>
              <w:jc w:val="center"/>
              <w:rPr>
                <w:rFonts w:eastAsia="仿宋_GB2312"/>
                <w:color w:val="000000"/>
                <w:sz w:val="24"/>
                <w:szCs w:val="24"/>
                <w:highlight w:val="none"/>
              </w:rPr>
            </w:pPr>
          </w:p>
        </w:tc>
      </w:tr>
    </w:tbl>
    <w:p w14:paraId="29043443">
      <w:pPr>
        <w:spacing w:line="440" w:lineRule="exact"/>
        <w:rPr>
          <w:rFonts w:ascii="Times New Roman" w:hAnsi="Times New Roman" w:eastAsia="仿宋_GB2312"/>
          <w:color w:val="000000"/>
          <w:sz w:val="24"/>
          <w:szCs w:val="24"/>
          <w:highlight w:val="none"/>
        </w:rPr>
      </w:pPr>
    </w:p>
    <w:p w14:paraId="5ECB188D">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71" w:name="_Toc296891266"/>
      <w:bookmarkStart w:id="772" w:name="_Toc296346727"/>
      <w:bookmarkStart w:id="773" w:name="_Toc296347225"/>
      <w:bookmarkStart w:id="774" w:name="_Toc267261693"/>
      <w:bookmarkStart w:id="775" w:name="_Toc296944565"/>
      <w:bookmarkStart w:id="776" w:name="_Toc296891054"/>
      <w:bookmarkStart w:id="777" w:name="_Toc296503226"/>
      <w:r>
        <w:rPr>
          <w:rFonts w:ascii="Times New Roman" w:hAnsi="Times New Roman" w:eastAsia="仿宋_GB2312"/>
          <w:color w:val="000000"/>
          <w:sz w:val="24"/>
          <w:szCs w:val="24"/>
          <w:highlight w:val="none"/>
        </w:rPr>
        <w:t>件3：</w:t>
      </w:r>
      <w:bookmarkEnd w:id="771"/>
      <w:bookmarkEnd w:id="772"/>
      <w:bookmarkEnd w:id="773"/>
      <w:bookmarkEnd w:id="774"/>
      <w:bookmarkEnd w:id="775"/>
      <w:bookmarkEnd w:id="776"/>
      <w:bookmarkEnd w:id="777"/>
      <w:r>
        <w:rPr>
          <w:rFonts w:ascii="Times New Roman" w:hAnsi="Times New Roman" w:eastAsia="黑体"/>
          <w:color w:val="000000"/>
          <w:sz w:val="24"/>
          <w:szCs w:val="24"/>
          <w:highlight w:val="none"/>
        </w:rPr>
        <w:t xml:space="preserve">    </w:t>
      </w:r>
    </w:p>
    <w:p w14:paraId="01D3165B">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工程质量保修书</w:t>
      </w:r>
    </w:p>
    <w:p w14:paraId="1F4C43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发包人（全称）：</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p>
    <w:p w14:paraId="3EFC34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承包人（全称）：</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 xml:space="preserve"> </w:t>
      </w:r>
    </w:p>
    <w:p w14:paraId="7FF54801">
      <w:pPr>
        <w:spacing w:line="440" w:lineRule="exact"/>
        <w:rPr>
          <w:rFonts w:ascii="Times New Roman" w:hAnsi="Times New Roman" w:eastAsia="仿宋_GB2312"/>
          <w:color w:val="000000"/>
          <w:sz w:val="24"/>
          <w:szCs w:val="24"/>
          <w:highlight w:val="none"/>
        </w:rPr>
      </w:pPr>
    </w:p>
    <w:p w14:paraId="520C750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发包人和承包人根据《中华人民共和国建筑法》和《建设工程质量管理条例》，经协商一致就</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（工程全称）签订工程质量保修书。</w:t>
      </w:r>
    </w:p>
    <w:p w14:paraId="7CD5EB33">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一、工程质量保修范围和内容</w:t>
      </w:r>
    </w:p>
    <w:p w14:paraId="367CDC9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承包人在质量保修期内，按照有关法律规定和合同约定，承担工程质量保修责任。</w:t>
      </w:r>
    </w:p>
    <w:p w14:paraId="6C18219B">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705D68">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w:t>
      </w:r>
      <w:r>
        <w:rPr>
          <w:rFonts w:hint="eastAsia" w:ascii="Times New Roman" w:hAnsi="Times New Roman" w:eastAsia="仿宋_GB2312"/>
          <w:color w:val="000000"/>
          <w:sz w:val="24"/>
          <w:szCs w:val="24"/>
          <w:highlight w:val="none"/>
          <w:u w:val="single"/>
          <w:lang w:val="en-US" w:eastAsia="zh-CN"/>
        </w:rPr>
        <w:t>承包人承包范围内所有工作内容</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62B735E">
      <w:pPr>
        <w:spacing w:line="360" w:lineRule="auto"/>
        <w:outlineLvl w:val="0"/>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t>　　</w:t>
      </w:r>
      <w:r>
        <w:rPr>
          <w:rFonts w:ascii="Times New Roman" w:hAnsi="Times New Roman" w:eastAsia="黑体"/>
          <w:color w:val="000000"/>
          <w:sz w:val="24"/>
          <w:szCs w:val="24"/>
          <w:highlight w:val="none"/>
        </w:rPr>
        <w:t>二、质量保修期</w:t>
      </w:r>
    </w:p>
    <w:p w14:paraId="47F25A3A">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根据《建设工程质量管理条例》及有关规定，工程的质量保修期如下：</w:t>
      </w:r>
    </w:p>
    <w:p w14:paraId="6D122231">
      <w:pPr>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1</w:t>
      </w:r>
      <w:r>
        <w:rPr>
          <w:rFonts w:hint="eastAsia" w:ascii="Times New Roman" w:hAnsi="Times New Roman" w:eastAsia="仿宋_GB2312"/>
          <w:color w:val="000000"/>
          <w:sz w:val="24"/>
          <w:szCs w:val="24"/>
          <w:highlight w:val="none"/>
        </w:rPr>
        <w:t>．</w:t>
      </w:r>
      <w:r>
        <w:rPr>
          <w:rFonts w:hint="eastAsia" w:ascii="仿宋_GB2312" w:eastAsia="仿宋_GB2312"/>
          <w:sz w:val="24"/>
          <w:szCs w:val="24"/>
          <w:highlight w:val="none"/>
        </w:rPr>
        <w:t>地基基础工程和主体结构工程为设计文件规定的工程合理使用年限；</w:t>
      </w:r>
    </w:p>
    <w:p w14:paraId="566D3D1D">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2</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屋面防水工程、有防水要求的卫生间、房间和外墙面的防渗</w:t>
      </w:r>
      <w:r>
        <w:rPr>
          <w:rFonts w:hint="eastAsia" w:ascii="Times New Roman" w:hAnsi="Times New Roman" w:eastAsia="仿宋_GB2312"/>
          <w:color w:val="000000"/>
          <w:sz w:val="24"/>
          <w:szCs w:val="24"/>
          <w:highlight w:val="none"/>
        </w:rPr>
        <w:t xml:space="preserve">     为</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5</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23CAEB23">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3</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装修工程为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7B3C89EF">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电气管线、给排水管道、设备安装工程为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1B1751A9">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5</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供热与供冷系统为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个采暖期、供冷期；</w:t>
      </w:r>
    </w:p>
    <w:p w14:paraId="348B246D">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6</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住宅小区内的给排水设施、道路等配套工程为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46ED48F8">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7</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其他项目保修期限约定如下：</w:t>
      </w:r>
    </w:p>
    <w:p w14:paraId="4120A67F">
      <w:pPr>
        <w:spacing w:line="360" w:lineRule="auto"/>
        <w:ind w:firstLine="960" w:firstLineChars="4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本工程保修期壹年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6C0E54B">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质量保修期自工程竣工验收合格之日起计算。</w:t>
      </w:r>
    </w:p>
    <w:p w14:paraId="5F241037">
      <w:pPr>
        <w:spacing w:line="360" w:lineRule="auto"/>
        <w:ind w:firstLine="480" w:firstLineChars="200"/>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三、缺陷责任期</w:t>
      </w:r>
    </w:p>
    <w:p w14:paraId="1F50E68E">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工程缺陷责任期为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24</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个月，缺陷责任期自工程</w:t>
      </w:r>
      <w:r>
        <w:rPr>
          <w:rFonts w:hint="eastAsia" w:ascii="Times New Roman" w:hAnsi="Times New Roman" w:eastAsia="仿宋_GB2312"/>
          <w:color w:val="000000"/>
          <w:sz w:val="24"/>
          <w:szCs w:val="24"/>
          <w:highlight w:val="none"/>
        </w:rPr>
        <w:t>通过竣工验收</w:t>
      </w:r>
      <w:r>
        <w:rPr>
          <w:rFonts w:ascii="Times New Roman" w:hAnsi="Times New Roman" w:eastAsia="仿宋_GB2312"/>
          <w:color w:val="000000"/>
          <w:sz w:val="24"/>
          <w:szCs w:val="24"/>
          <w:highlight w:val="none"/>
        </w:rPr>
        <w:t>之日起计算。单位工程先于全部工程进行验收，单位工程缺陷责任期自单位工程验收合格之日起算。</w:t>
      </w:r>
    </w:p>
    <w:p w14:paraId="6C906C4C">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缺陷责任期终止后，发包人应退还剩余的质量保证金。</w:t>
      </w:r>
    </w:p>
    <w:p w14:paraId="0E139BFA">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xml:space="preserve">    四、质量保修责任</w:t>
      </w:r>
    </w:p>
    <w:p w14:paraId="5276EC8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1</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属于保修范围、内容的项目，承包人应当在接到保修通知之日起7天内派人保修。承包人不在约定期限内派人保修的，发包人可以委托他人修理。</w:t>
      </w:r>
    </w:p>
    <w:p w14:paraId="28F0E2A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2</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发生紧急事故需抢修的，承包人在接到事故通知后，应当立即到达事故现场抢修。</w:t>
      </w:r>
    </w:p>
    <w:p w14:paraId="4D8D1D8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3</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4E9D62">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质量保修完成后，由发包人组织验收。</w:t>
      </w:r>
    </w:p>
    <w:p w14:paraId="77A2718F">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五、保修费用</w:t>
      </w:r>
    </w:p>
    <w:p w14:paraId="57599D8C">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保修费用由造成质量缺陷的责任方承担。</w:t>
      </w:r>
    </w:p>
    <w:p w14:paraId="594E862E">
      <w:pPr>
        <w:spacing w:line="360" w:lineRule="auto"/>
        <w:ind w:firstLine="600"/>
        <w:jc w:val="left"/>
        <w:outlineLvl w:val="0"/>
        <w:rPr>
          <w:rFonts w:ascii="Times New Roman" w:hAnsi="Times New Roman" w:eastAsia="仿宋_GB2312"/>
          <w:color w:val="000000"/>
          <w:sz w:val="24"/>
          <w:szCs w:val="24"/>
          <w:highlight w:val="none"/>
          <w:u w:val="single"/>
        </w:rPr>
      </w:pPr>
      <w:r>
        <w:rPr>
          <w:rFonts w:ascii="Times New Roman" w:hAnsi="Times New Roman" w:eastAsia="黑体"/>
          <w:b/>
          <w:color w:val="000000"/>
          <w:sz w:val="24"/>
          <w:szCs w:val="24"/>
          <w:highlight w:val="none"/>
        </w:rPr>
        <w:t>六</w:t>
      </w:r>
      <w:r>
        <w:rPr>
          <w:rFonts w:ascii="Times New Roman" w:hAnsi="Times New Roman" w:eastAsia="黑体"/>
          <w:color w:val="000000"/>
          <w:sz w:val="24"/>
          <w:szCs w:val="24"/>
          <w:highlight w:val="none"/>
        </w:rPr>
        <w:t>、双方约定的其他工程质量保修事项</w:t>
      </w:r>
      <w:r>
        <w:rPr>
          <w:rFonts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无</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5C2C2E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5FBB497">
      <w:pPr>
        <w:spacing w:line="360" w:lineRule="auto"/>
        <w:ind w:firstLine="456" w:firstLineChars="19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工程质量保修书由发包人、承包人在工程竣工验收前共同签署，作为施工合同附件，其有效期限至保修期满。</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07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18" w:type="dxa"/>
            <w:tcBorders>
              <w:top w:val="nil"/>
              <w:left w:val="nil"/>
              <w:bottom w:val="nil"/>
              <w:right w:val="nil"/>
            </w:tcBorders>
            <w:noWrap w:val="0"/>
            <w:vAlign w:val="top"/>
          </w:tcPr>
          <w:p w14:paraId="3D147647">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发包</w:t>
            </w:r>
            <w:r>
              <w:rPr>
                <w:rFonts w:ascii="Times New Roman" w:hAnsi="Times New Roman" w:eastAsia="仿宋_GB2312"/>
                <w:color w:val="000000"/>
                <w:sz w:val="24"/>
                <w:szCs w:val="24"/>
                <w:highlight w:val="none"/>
              </w:rPr>
              <w:t>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c>
          <w:tcPr>
            <w:tcW w:w="4518" w:type="dxa"/>
            <w:tcBorders>
              <w:top w:val="nil"/>
              <w:left w:val="nil"/>
              <w:bottom w:val="nil"/>
              <w:right w:val="nil"/>
            </w:tcBorders>
            <w:noWrap w:val="0"/>
            <w:vAlign w:val="top"/>
          </w:tcPr>
          <w:p w14:paraId="6FF70543">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highlight w:val="none"/>
              </w:rPr>
              <w:t>承</w:t>
            </w:r>
            <w:r>
              <w:rPr>
                <w:rFonts w:ascii="Times New Roman" w:hAnsi="Times New Roman" w:eastAsia="仿宋_GB2312"/>
                <w:color w:val="000000"/>
                <w:sz w:val="24"/>
                <w:szCs w:val="24"/>
                <w:highlight w:val="none"/>
              </w:rPr>
              <w:t>包人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r>
      <w:tr w14:paraId="2854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18" w:type="dxa"/>
            <w:tcBorders>
              <w:top w:val="nil"/>
              <w:left w:val="nil"/>
              <w:bottom w:val="nil"/>
              <w:right w:val="nil"/>
            </w:tcBorders>
            <w:noWrap w:val="0"/>
            <w:vAlign w:val="top"/>
          </w:tcPr>
          <w:p w14:paraId="34F42367">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1E296364">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18D1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5E2CC69">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22241D83">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5DAE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7CDB81B">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7F66961">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232D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05356D9">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5E98706">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53C1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5C93BAF">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7B2D6FE">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44B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6BD98CF">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7A36E94">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7DBD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6BCCD38">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5E9F3728">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3884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A898E71">
            <w:pPr>
              <w:spacing w:line="36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邮政编码</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788A473">
            <w:pPr>
              <w:spacing w:line="36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邮政编码</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bl>
    <w:p w14:paraId="70DFB068">
      <w:pPr>
        <w:spacing w:line="360" w:lineRule="auto"/>
        <w:rPr>
          <w:rFonts w:ascii="Times New Roman" w:hAnsi="Times New Roman" w:eastAsia="仿宋_GB2312"/>
          <w:color w:val="000000"/>
          <w:sz w:val="24"/>
          <w:szCs w:val="24"/>
        </w:rPr>
      </w:pPr>
    </w:p>
    <w:p w14:paraId="69D094AB">
      <w:pPr>
        <w:spacing w:line="440" w:lineRule="exact"/>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br w:type="page"/>
      </w:r>
      <w:r>
        <w:rPr>
          <w:rFonts w:ascii="Times New Roman" w:hAnsi="Times New Roman" w:eastAsia="仿宋_GB2312"/>
          <w:color w:val="000000"/>
          <w:sz w:val="24"/>
          <w:szCs w:val="24"/>
          <w:highlight w:val="none"/>
        </w:rPr>
        <w:t>附件4：</w:t>
      </w:r>
    </w:p>
    <w:p w14:paraId="7BD22C55">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主要建设工程文件目录</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62"/>
        <w:gridCol w:w="1216"/>
        <w:gridCol w:w="1382"/>
        <w:gridCol w:w="1185"/>
        <w:gridCol w:w="1382"/>
        <w:gridCol w:w="1589"/>
      </w:tblGrid>
      <w:tr w14:paraId="309D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1862" w:type="dxa"/>
            <w:tcBorders>
              <w:top w:val="single" w:color="auto" w:sz="12" w:space="0"/>
              <w:bottom w:val="double" w:color="auto" w:sz="6" w:space="0"/>
            </w:tcBorders>
            <w:noWrap w:val="0"/>
            <w:vAlign w:val="center"/>
          </w:tcPr>
          <w:p w14:paraId="594B7C6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文件名称</w:t>
            </w:r>
          </w:p>
        </w:tc>
        <w:tc>
          <w:tcPr>
            <w:tcW w:w="1216" w:type="dxa"/>
            <w:tcBorders>
              <w:top w:val="single" w:color="auto" w:sz="12" w:space="0"/>
              <w:bottom w:val="double" w:color="auto" w:sz="6" w:space="0"/>
            </w:tcBorders>
            <w:noWrap w:val="0"/>
            <w:vAlign w:val="center"/>
          </w:tcPr>
          <w:p w14:paraId="3BC7014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套数</w:t>
            </w:r>
          </w:p>
        </w:tc>
        <w:tc>
          <w:tcPr>
            <w:tcW w:w="1382" w:type="dxa"/>
            <w:tcBorders>
              <w:top w:val="single" w:color="auto" w:sz="12" w:space="0"/>
              <w:bottom w:val="double" w:color="auto" w:sz="6" w:space="0"/>
            </w:tcBorders>
            <w:noWrap w:val="0"/>
            <w:vAlign w:val="center"/>
          </w:tcPr>
          <w:p w14:paraId="5EFEC32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费用</w:t>
            </w:r>
            <w:r>
              <w:rPr>
                <w:rFonts w:hint="eastAsia" w:eastAsia="仿宋_GB2312"/>
                <w:color w:val="000000"/>
                <w:kern w:val="2"/>
                <w:sz w:val="24"/>
                <w:szCs w:val="24"/>
                <w:highlight w:val="none"/>
                <w:lang w:val="en-US" w:eastAsia="zh-CN"/>
              </w:rPr>
              <w:t>（元）</w:t>
            </w:r>
          </w:p>
        </w:tc>
        <w:tc>
          <w:tcPr>
            <w:tcW w:w="1185" w:type="dxa"/>
            <w:tcBorders>
              <w:top w:val="single" w:color="auto" w:sz="12" w:space="0"/>
              <w:bottom w:val="double" w:color="auto" w:sz="6" w:space="0"/>
            </w:tcBorders>
            <w:noWrap w:val="0"/>
            <w:vAlign w:val="center"/>
          </w:tcPr>
          <w:p w14:paraId="6942B71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w:t>
            </w:r>
          </w:p>
        </w:tc>
        <w:tc>
          <w:tcPr>
            <w:tcW w:w="1382" w:type="dxa"/>
            <w:tcBorders>
              <w:top w:val="single" w:color="auto" w:sz="12" w:space="0"/>
              <w:bottom w:val="double" w:color="auto" w:sz="6" w:space="0"/>
            </w:tcBorders>
            <w:noWrap w:val="0"/>
            <w:vAlign w:val="top"/>
          </w:tcPr>
          <w:p w14:paraId="4617FE6A">
            <w:pPr>
              <w:spacing w:line="440" w:lineRule="exact"/>
              <w:jc w:val="center"/>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移交时间</w:t>
            </w:r>
          </w:p>
        </w:tc>
        <w:tc>
          <w:tcPr>
            <w:tcW w:w="1589" w:type="dxa"/>
            <w:tcBorders>
              <w:top w:val="single" w:color="auto" w:sz="12" w:space="0"/>
              <w:bottom w:val="double" w:color="auto" w:sz="6" w:space="0"/>
            </w:tcBorders>
            <w:noWrap w:val="0"/>
            <w:vAlign w:val="top"/>
          </w:tcPr>
          <w:p w14:paraId="03C5330B">
            <w:pPr>
              <w:spacing w:line="440" w:lineRule="exact"/>
              <w:jc w:val="center"/>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责任人</w:t>
            </w:r>
          </w:p>
        </w:tc>
      </w:tr>
      <w:tr w14:paraId="79213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862" w:type="dxa"/>
            <w:tcBorders>
              <w:top w:val="double" w:color="auto" w:sz="6" w:space="0"/>
              <w:bottom w:val="single" w:color="auto" w:sz="6" w:space="0"/>
            </w:tcBorders>
            <w:noWrap w:val="0"/>
            <w:vAlign w:val="center"/>
          </w:tcPr>
          <w:p w14:paraId="34C81F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tcBorders>
              <w:top w:val="double" w:color="auto" w:sz="6" w:space="0"/>
              <w:bottom w:val="single" w:color="auto" w:sz="6" w:space="0"/>
            </w:tcBorders>
            <w:noWrap w:val="0"/>
            <w:vAlign w:val="center"/>
          </w:tcPr>
          <w:p w14:paraId="32FEE17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double" w:color="auto" w:sz="6" w:space="0"/>
              <w:bottom w:val="single" w:color="auto" w:sz="6" w:space="0"/>
            </w:tcBorders>
            <w:noWrap w:val="0"/>
            <w:vAlign w:val="center"/>
          </w:tcPr>
          <w:p w14:paraId="60C4368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tcBorders>
              <w:top w:val="double" w:color="auto" w:sz="6" w:space="0"/>
              <w:bottom w:val="single" w:color="auto" w:sz="6" w:space="0"/>
            </w:tcBorders>
            <w:noWrap w:val="0"/>
            <w:vAlign w:val="center"/>
          </w:tcPr>
          <w:p w14:paraId="6BBF4EB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double" w:color="auto" w:sz="6" w:space="0"/>
              <w:bottom w:val="single" w:color="auto" w:sz="6" w:space="0"/>
            </w:tcBorders>
            <w:noWrap w:val="0"/>
            <w:vAlign w:val="center"/>
          </w:tcPr>
          <w:p w14:paraId="69229F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tcBorders>
              <w:top w:val="double" w:color="auto" w:sz="6" w:space="0"/>
              <w:bottom w:val="single" w:color="auto" w:sz="6" w:space="0"/>
            </w:tcBorders>
            <w:noWrap w:val="0"/>
            <w:vAlign w:val="center"/>
          </w:tcPr>
          <w:p w14:paraId="450B9007">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C13D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tcBorders>
              <w:top w:val="nil"/>
            </w:tcBorders>
            <w:noWrap w:val="0"/>
            <w:vAlign w:val="center"/>
          </w:tcPr>
          <w:p w14:paraId="166A6C0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tcBorders>
              <w:top w:val="nil"/>
            </w:tcBorders>
            <w:noWrap w:val="0"/>
            <w:vAlign w:val="center"/>
          </w:tcPr>
          <w:p w14:paraId="50F33E0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nil"/>
            </w:tcBorders>
            <w:noWrap w:val="0"/>
            <w:vAlign w:val="center"/>
          </w:tcPr>
          <w:p w14:paraId="76C6E03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tcBorders>
              <w:top w:val="nil"/>
            </w:tcBorders>
            <w:noWrap w:val="0"/>
            <w:vAlign w:val="center"/>
          </w:tcPr>
          <w:p w14:paraId="09E2EA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nil"/>
            </w:tcBorders>
            <w:noWrap w:val="0"/>
            <w:vAlign w:val="center"/>
          </w:tcPr>
          <w:p w14:paraId="4453754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tcBorders>
              <w:top w:val="nil"/>
            </w:tcBorders>
            <w:noWrap w:val="0"/>
            <w:vAlign w:val="center"/>
          </w:tcPr>
          <w:p w14:paraId="39780D1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0C3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340D325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63468F1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6E5B0EC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3266C81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0D738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EDD0F5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8B88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233337C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17815C8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3D48969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7839D01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6D5CB8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316E1C1C">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CD88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7383DF3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3A4CDE3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3D277D5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0528F92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589E11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03AD79F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F645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3E24A1C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5108F40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0B92D8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2BCE55C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7FAD81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8DB9CE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83E5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7602743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7B219DF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60C0104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30C3D58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3C7CB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77B37D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E001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6E8192C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284ADDF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0074E2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41E9E50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E531B3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1F2A859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4066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5BAD9DB9">
            <w:pPr>
              <w:rPr>
                <w:rFonts w:eastAsia="仿宋_GB2312"/>
                <w:color w:val="000000"/>
                <w:sz w:val="24"/>
                <w:szCs w:val="24"/>
                <w:highlight w:val="none"/>
              </w:rPr>
            </w:pPr>
          </w:p>
        </w:tc>
        <w:tc>
          <w:tcPr>
            <w:tcW w:w="1216" w:type="dxa"/>
            <w:noWrap w:val="0"/>
            <w:vAlign w:val="top"/>
          </w:tcPr>
          <w:p w14:paraId="1E776872">
            <w:pPr>
              <w:rPr>
                <w:rFonts w:eastAsia="仿宋_GB2312"/>
                <w:color w:val="000000"/>
                <w:sz w:val="24"/>
                <w:szCs w:val="24"/>
                <w:highlight w:val="none"/>
              </w:rPr>
            </w:pPr>
          </w:p>
        </w:tc>
        <w:tc>
          <w:tcPr>
            <w:tcW w:w="1382" w:type="dxa"/>
            <w:noWrap w:val="0"/>
            <w:vAlign w:val="top"/>
          </w:tcPr>
          <w:p w14:paraId="3129459F">
            <w:pPr>
              <w:rPr>
                <w:rFonts w:eastAsia="仿宋_GB2312"/>
                <w:color w:val="000000"/>
                <w:sz w:val="24"/>
                <w:szCs w:val="24"/>
                <w:highlight w:val="none"/>
              </w:rPr>
            </w:pPr>
          </w:p>
        </w:tc>
        <w:tc>
          <w:tcPr>
            <w:tcW w:w="1185" w:type="dxa"/>
            <w:noWrap w:val="0"/>
            <w:vAlign w:val="top"/>
          </w:tcPr>
          <w:p w14:paraId="168DAFDD">
            <w:pPr>
              <w:rPr>
                <w:rFonts w:eastAsia="仿宋_GB2312"/>
                <w:color w:val="000000"/>
                <w:sz w:val="24"/>
                <w:szCs w:val="24"/>
                <w:highlight w:val="none"/>
              </w:rPr>
            </w:pPr>
          </w:p>
        </w:tc>
        <w:tc>
          <w:tcPr>
            <w:tcW w:w="1382" w:type="dxa"/>
            <w:noWrap w:val="0"/>
            <w:vAlign w:val="top"/>
          </w:tcPr>
          <w:p w14:paraId="21892D71">
            <w:pPr>
              <w:rPr>
                <w:rFonts w:eastAsia="仿宋_GB2312"/>
                <w:color w:val="000000"/>
                <w:sz w:val="24"/>
                <w:szCs w:val="24"/>
                <w:highlight w:val="none"/>
              </w:rPr>
            </w:pPr>
          </w:p>
        </w:tc>
        <w:tc>
          <w:tcPr>
            <w:tcW w:w="1589" w:type="dxa"/>
            <w:noWrap w:val="0"/>
            <w:vAlign w:val="top"/>
          </w:tcPr>
          <w:p w14:paraId="12FAA36C">
            <w:pPr>
              <w:rPr>
                <w:rFonts w:eastAsia="仿宋_GB2312"/>
                <w:color w:val="000000"/>
                <w:sz w:val="24"/>
                <w:szCs w:val="24"/>
                <w:highlight w:val="none"/>
              </w:rPr>
            </w:pPr>
          </w:p>
        </w:tc>
      </w:tr>
      <w:tr w14:paraId="3BEB1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47131BC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7D165F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1B3ABA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45D3E89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87885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4A4E7B1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7DD7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9177985">
            <w:pPr>
              <w:rPr>
                <w:rFonts w:eastAsia="仿宋_GB2312"/>
                <w:color w:val="000000"/>
                <w:sz w:val="24"/>
                <w:szCs w:val="24"/>
                <w:highlight w:val="none"/>
              </w:rPr>
            </w:pPr>
          </w:p>
        </w:tc>
        <w:tc>
          <w:tcPr>
            <w:tcW w:w="1216" w:type="dxa"/>
            <w:noWrap w:val="0"/>
            <w:vAlign w:val="top"/>
          </w:tcPr>
          <w:p w14:paraId="619BAF23">
            <w:pPr>
              <w:rPr>
                <w:rFonts w:eastAsia="仿宋_GB2312"/>
                <w:color w:val="000000"/>
                <w:sz w:val="24"/>
                <w:szCs w:val="24"/>
                <w:highlight w:val="none"/>
              </w:rPr>
            </w:pPr>
          </w:p>
        </w:tc>
        <w:tc>
          <w:tcPr>
            <w:tcW w:w="1382" w:type="dxa"/>
            <w:noWrap w:val="0"/>
            <w:vAlign w:val="top"/>
          </w:tcPr>
          <w:p w14:paraId="239E529D">
            <w:pPr>
              <w:rPr>
                <w:rFonts w:eastAsia="仿宋_GB2312"/>
                <w:color w:val="000000"/>
                <w:sz w:val="24"/>
                <w:szCs w:val="24"/>
                <w:highlight w:val="none"/>
              </w:rPr>
            </w:pPr>
          </w:p>
        </w:tc>
        <w:tc>
          <w:tcPr>
            <w:tcW w:w="1185" w:type="dxa"/>
            <w:noWrap w:val="0"/>
            <w:vAlign w:val="top"/>
          </w:tcPr>
          <w:p w14:paraId="586F2986">
            <w:pPr>
              <w:rPr>
                <w:rFonts w:eastAsia="仿宋_GB2312"/>
                <w:color w:val="000000"/>
                <w:sz w:val="24"/>
                <w:szCs w:val="24"/>
                <w:highlight w:val="none"/>
              </w:rPr>
            </w:pPr>
          </w:p>
        </w:tc>
        <w:tc>
          <w:tcPr>
            <w:tcW w:w="1382" w:type="dxa"/>
            <w:noWrap w:val="0"/>
            <w:vAlign w:val="top"/>
          </w:tcPr>
          <w:p w14:paraId="4668C145">
            <w:pPr>
              <w:rPr>
                <w:rFonts w:eastAsia="仿宋_GB2312"/>
                <w:color w:val="000000"/>
                <w:sz w:val="24"/>
                <w:szCs w:val="24"/>
                <w:highlight w:val="none"/>
              </w:rPr>
            </w:pPr>
          </w:p>
        </w:tc>
        <w:tc>
          <w:tcPr>
            <w:tcW w:w="1589" w:type="dxa"/>
            <w:noWrap w:val="0"/>
            <w:vAlign w:val="top"/>
          </w:tcPr>
          <w:p w14:paraId="13C5F78F">
            <w:pPr>
              <w:rPr>
                <w:rFonts w:eastAsia="仿宋_GB2312"/>
                <w:color w:val="000000"/>
                <w:sz w:val="24"/>
                <w:szCs w:val="24"/>
                <w:highlight w:val="none"/>
              </w:rPr>
            </w:pPr>
          </w:p>
        </w:tc>
      </w:tr>
      <w:tr w14:paraId="1F336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167CB57F">
            <w:pPr>
              <w:rPr>
                <w:rFonts w:eastAsia="仿宋_GB2312"/>
                <w:color w:val="000000"/>
                <w:sz w:val="24"/>
                <w:szCs w:val="24"/>
                <w:highlight w:val="none"/>
              </w:rPr>
            </w:pPr>
          </w:p>
        </w:tc>
        <w:tc>
          <w:tcPr>
            <w:tcW w:w="1216" w:type="dxa"/>
            <w:noWrap w:val="0"/>
            <w:vAlign w:val="top"/>
          </w:tcPr>
          <w:p w14:paraId="3C1270BB">
            <w:pPr>
              <w:rPr>
                <w:rFonts w:eastAsia="仿宋_GB2312"/>
                <w:color w:val="000000"/>
                <w:sz w:val="24"/>
                <w:szCs w:val="24"/>
                <w:highlight w:val="none"/>
              </w:rPr>
            </w:pPr>
          </w:p>
        </w:tc>
        <w:tc>
          <w:tcPr>
            <w:tcW w:w="1382" w:type="dxa"/>
            <w:noWrap w:val="0"/>
            <w:vAlign w:val="top"/>
          </w:tcPr>
          <w:p w14:paraId="371A5038">
            <w:pPr>
              <w:rPr>
                <w:rFonts w:eastAsia="仿宋_GB2312"/>
                <w:color w:val="000000"/>
                <w:sz w:val="24"/>
                <w:szCs w:val="24"/>
                <w:highlight w:val="none"/>
              </w:rPr>
            </w:pPr>
          </w:p>
        </w:tc>
        <w:tc>
          <w:tcPr>
            <w:tcW w:w="1185" w:type="dxa"/>
            <w:noWrap w:val="0"/>
            <w:vAlign w:val="top"/>
          </w:tcPr>
          <w:p w14:paraId="2B0EE177">
            <w:pPr>
              <w:rPr>
                <w:rFonts w:eastAsia="仿宋_GB2312"/>
                <w:color w:val="000000"/>
                <w:sz w:val="24"/>
                <w:szCs w:val="24"/>
                <w:highlight w:val="none"/>
              </w:rPr>
            </w:pPr>
          </w:p>
        </w:tc>
        <w:tc>
          <w:tcPr>
            <w:tcW w:w="1382" w:type="dxa"/>
            <w:noWrap w:val="0"/>
            <w:vAlign w:val="top"/>
          </w:tcPr>
          <w:p w14:paraId="5468297F">
            <w:pPr>
              <w:rPr>
                <w:rFonts w:eastAsia="仿宋_GB2312"/>
                <w:color w:val="000000"/>
                <w:sz w:val="24"/>
                <w:szCs w:val="24"/>
                <w:highlight w:val="none"/>
              </w:rPr>
            </w:pPr>
          </w:p>
        </w:tc>
        <w:tc>
          <w:tcPr>
            <w:tcW w:w="1589" w:type="dxa"/>
            <w:noWrap w:val="0"/>
            <w:vAlign w:val="top"/>
          </w:tcPr>
          <w:p w14:paraId="65CBBFCC">
            <w:pPr>
              <w:rPr>
                <w:rFonts w:eastAsia="仿宋_GB2312"/>
                <w:color w:val="000000"/>
                <w:sz w:val="24"/>
                <w:szCs w:val="24"/>
                <w:highlight w:val="none"/>
              </w:rPr>
            </w:pPr>
          </w:p>
        </w:tc>
      </w:tr>
      <w:tr w14:paraId="3AEE7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64DCA872">
            <w:pPr>
              <w:rPr>
                <w:rFonts w:eastAsia="仿宋_GB2312"/>
                <w:color w:val="000000"/>
                <w:sz w:val="24"/>
                <w:szCs w:val="24"/>
                <w:highlight w:val="none"/>
              </w:rPr>
            </w:pPr>
          </w:p>
        </w:tc>
        <w:tc>
          <w:tcPr>
            <w:tcW w:w="1216" w:type="dxa"/>
            <w:noWrap w:val="0"/>
            <w:vAlign w:val="top"/>
          </w:tcPr>
          <w:p w14:paraId="0E9147A6">
            <w:pPr>
              <w:rPr>
                <w:rFonts w:eastAsia="仿宋_GB2312"/>
                <w:color w:val="000000"/>
                <w:sz w:val="24"/>
                <w:szCs w:val="24"/>
                <w:highlight w:val="none"/>
              </w:rPr>
            </w:pPr>
          </w:p>
        </w:tc>
        <w:tc>
          <w:tcPr>
            <w:tcW w:w="1382" w:type="dxa"/>
            <w:noWrap w:val="0"/>
            <w:vAlign w:val="top"/>
          </w:tcPr>
          <w:p w14:paraId="611076D1">
            <w:pPr>
              <w:rPr>
                <w:rFonts w:eastAsia="仿宋_GB2312"/>
                <w:color w:val="000000"/>
                <w:sz w:val="24"/>
                <w:szCs w:val="24"/>
                <w:highlight w:val="none"/>
              </w:rPr>
            </w:pPr>
          </w:p>
        </w:tc>
        <w:tc>
          <w:tcPr>
            <w:tcW w:w="1185" w:type="dxa"/>
            <w:noWrap w:val="0"/>
            <w:vAlign w:val="top"/>
          </w:tcPr>
          <w:p w14:paraId="699A70B2">
            <w:pPr>
              <w:rPr>
                <w:rFonts w:eastAsia="仿宋_GB2312"/>
                <w:color w:val="000000"/>
                <w:sz w:val="24"/>
                <w:szCs w:val="24"/>
                <w:highlight w:val="none"/>
              </w:rPr>
            </w:pPr>
          </w:p>
        </w:tc>
        <w:tc>
          <w:tcPr>
            <w:tcW w:w="1382" w:type="dxa"/>
            <w:noWrap w:val="0"/>
            <w:vAlign w:val="top"/>
          </w:tcPr>
          <w:p w14:paraId="000E20C6">
            <w:pPr>
              <w:rPr>
                <w:rFonts w:eastAsia="仿宋_GB2312"/>
                <w:color w:val="000000"/>
                <w:sz w:val="24"/>
                <w:szCs w:val="24"/>
                <w:highlight w:val="none"/>
              </w:rPr>
            </w:pPr>
          </w:p>
        </w:tc>
        <w:tc>
          <w:tcPr>
            <w:tcW w:w="1589" w:type="dxa"/>
            <w:noWrap w:val="0"/>
            <w:vAlign w:val="top"/>
          </w:tcPr>
          <w:p w14:paraId="171CB3FF">
            <w:pPr>
              <w:rPr>
                <w:rFonts w:eastAsia="仿宋_GB2312"/>
                <w:color w:val="000000"/>
                <w:sz w:val="24"/>
                <w:szCs w:val="24"/>
                <w:highlight w:val="none"/>
              </w:rPr>
            </w:pPr>
          </w:p>
        </w:tc>
      </w:tr>
      <w:tr w14:paraId="09BFE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D4C5892">
            <w:pPr>
              <w:rPr>
                <w:rFonts w:eastAsia="仿宋_GB2312"/>
                <w:color w:val="000000"/>
                <w:sz w:val="24"/>
                <w:szCs w:val="24"/>
                <w:highlight w:val="none"/>
              </w:rPr>
            </w:pPr>
          </w:p>
        </w:tc>
        <w:tc>
          <w:tcPr>
            <w:tcW w:w="1216" w:type="dxa"/>
            <w:noWrap w:val="0"/>
            <w:vAlign w:val="top"/>
          </w:tcPr>
          <w:p w14:paraId="72356487">
            <w:pPr>
              <w:rPr>
                <w:rFonts w:eastAsia="仿宋_GB2312"/>
                <w:color w:val="000000"/>
                <w:sz w:val="24"/>
                <w:szCs w:val="24"/>
                <w:highlight w:val="none"/>
              </w:rPr>
            </w:pPr>
          </w:p>
        </w:tc>
        <w:tc>
          <w:tcPr>
            <w:tcW w:w="1382" w:type="dxa"/>
            <w:noWrap w:val="0"/>
            <w:vAlign w:val="top"/>
          </w:tcPr>
          <w:p w14:paraId="48CC0A71">
            <w:pPr>
              <w:rPr>
                <w:rFonts w:eastAsia="仿宋_GB2312"/>
                <w:color w:val="000000"/>
                <w:sz w:val="24"/>
                <w:szCs w:val="24"/>
                <w:highlight w:val="none"/>
              </w:rPr>
            </w:pPr>
          </w:p>
        </w:tc>
        <w:tc>
          <w:tcPr>
            <w:tcW w:w="1185" w:type="dxa"/>
            <w:noWrap w:val="0"/>
            <w:vAlign w:val="top"/>
          </w:tcPr>
          <w:p w14:paraId="60E6339F">
            <w:pPr>
              <w:rPr>
                <w:rFonts w:eastAsia="仿宋_GB2312"/>
                <w:color w:val="000000"/>
                <w:sz w:val="24"/>
                <w:szCs w:val="24"/>
                <w:highlight w:val="none"/>
              </w:rPr>
            </w:pPr>
          </w:p>
        </w:tc>
        <w:tc>
          <w:tcPr>
            <w:tcW w:w="1382" w:type="dxa"/>
            <w:noWrap w:val="0"/>
            <w:vAlign w:val="top"/>
          </w:tcPr>
          <w:p w14:paraId="7372C79D">
            <w:pPr>
              <w:rPr>
                <w:rFonts w:eastAsia="仿宋_GB2312"/>
                <w:color w:val="000000"/>
                <w:sz w:val="24"/>
                <w:szCs w:val="24"/>
                <w:highlight w:val="none"/>
              </w:rPr>
            </w:pPr>
          </w:p>
        </w:tc>
        <w:tc>
          <w:tcPr>
            <w:tcW w:w="1589" w:type="dxa"/>
            <w:noWrap w:val="0"/>
            <w:vAlign w:val="top"/>
          </w:tcPr>
          <w:p w14:paraId="5734430D">
            <w:pPr>
              <w:rPr>
                <w:rFonts w:eastAsia="仿宋_GB2312"/>
                <w:color w:val="000000"/>
                <w:sz w:val="24"/>
                <w:szCs w:val="24"/>
                <w:highlight w:val="none"/>
              </w:rPr>
            </w:pPr>
          </w:p>
        </w:tc>
      </w:tr>
      <w:tr w14:paraId="4FF0D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46A2133B">
            <w:pPr>
              <w:rPr>
                <w:rFonts w:eastAsia="仿宋_GB2312"/>
                <w:color w:val="000000"/>
                <w:sz w:val="24"/>
                <w:szCs w:val="24"/>
                <w:highlight w:val="none"/>
              </w:rPr>
            </w:pPr>
          </w:p>
        </w:tc>
        <w:tc>
          <w:tcPr>
            <w:tcW w:w="1216" w:type="dxa"/>
            <w:noWrap w:val="0"/>
            <w:vAlign w:val="top"/>
          </w:tcPr>
          <w:p w14:paraId="709CE84A">
            <w:pPr>
              <w:rPr>
                <w:rFonts w:eastAsia="仿宋_GB2312"/>
                <w:color w:val="000000"/>
                <w:sz w:val="24"/>
                <w:szCs w:val="24"/>
                <w:highlight w:val="none"/>
              </w:rPr>
            </w:pPr>
          </w:p>
        </w:tc>
        <w:tc>
          <w:tcPr>
            <w:tcW w:w="1382" w:type="dxa"/>
            <w:noWrap w:val="0"/>
            <w:vAlign w:val="top"/>
          </w:tcPr>
          <w:p w14:paraId="3E0A76EC">
            <w:pPr>
              <w:rPr>
                <w:rFonts w:eastAsia="仿宋_GB2312"/>
                <w:color w:val="000000"/>
                <w:sz w:val="24"/>
                <w:szCs w:val="24"/>
                <w:highlight w:val="none"/>
              </w:rPr>
            </w:pPr>
          </w:p>
        </w:tc>
        <w:tc>
          <w:tcPr>
            <w:tcW w:w="1185" w:type="dxa"/>
            <w:noWrap w:val="0"/>
            <w:vAlign w:val="top"/>
          </w:tcPr>
          <w:p w14:paraId="756F260D">
            <w:pPr>
              <w:rPr>
                <w:rFonts w:eastAsia="仿宋_GB2312"/>
                <w:color w:val="000000"/>
                <w:sz w:val="24"/>
                <w:szCs w:val="24"/>
                <w:highlight w:val="none"/>
              </w:rPr>
            </w:pPr>
          </w:p>
        </w:tc>
        <w:tc>
          <w:tcPr>
            <w:tcW w:w="1382" w:type="dxa"/>
            <w:noWrap w:val="0"/>
            <w:vAlign w:val="top"/>
          </w:tcPr>
          <w:p w14:paraId="1F2246DC">
            <w:pPr>
              <w:rPr>
                <w:rFonts w:eastAsia="仿宋_GB2312"/>
                <w:color w:val="000000"/>
                <w:sz w:val="24"/>
                <w:szCs w:val="24"/>
                <w:highlight w:val="none"/>
              </w:rPr>
            </w:pPr>
          </w:p>
        </w:tc>
        <w:tc>
          <w:tcPr>
            <w:tcW w:w="1589" w:type="dxa"/>
            <w:noWrap w:val="0"/>
            <w:vAlign w:val="top"/>
          </w:tcPr>
          <w:p w14:paraId="1E2AC8EA">
            <w:pPr>
              <w:rPr>
                <w:rFonts w:eastAsia="仿宋_GB2312"/>
                <w:color w:val="000000"/>
                <w:sz w:val="24"/>
                <w:szCs w:val="24"/>
                <w:highlight w:val="none"/>
              </w:rPr>
            </w:pPr>
          </w:p>
        </w:tc>
      </w:tr>
      <w:tr w14:paraId="60746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536344E">
            <w:pPr>
              <w:rPr>
                <w:rFonts w:eastAsia="仿宋_GB2312"/>
                <w:color w:val="000000"/>
                <w:sz w:val="24"/>
                <w:szCs w:val="24"/>
                <w:highlight w:val="none"/>
              </w:rPr>
            </w:pPr>
          </w:p>
        </w:tc>
        <w:tc>
          <w:tcPr>
            <w:tcW w:w="1216" w:type="dxa"/>
            <w:noWrap w:val="0"/>
            <w:vAlign w:val="top"/>
          </w:tcPr>
          <w:p w14:paraId="16148537">
            <w:pPr>
              <w:rPr>
                <w:rFonts w:eastAsia="仿宋_GB2312"/>
                <w:color w:val="000000"/>
                <w:sz w:val="24"/>
                <w:szCs w:val="24"/>
                <w:highlight w:val="none"/>
              </w:rPr>
            </w:pPr>
          </w:p>
        </w:tc>
        <w:tc>
          <w:tcPr>
            <w:tcW w:w="1382" w:type="dxa"/>
            <w:noWrap w:val="0"/>
            <w:vAlign w:val="top"/>
          </w:tcPr>
          <w:p w14:paraId="4366260F">
            <w:pPr>
              <w:rPr>
                <w:rFonts w:eastAsia="仿宋_GB2312"/>
                <w:color w:val="000000"/>
                <w:sz w:val="24"/>
                <w:szCs w:val="24"/>
                <w:highlight w:val="none"/>
              </w:rPr>
            </w:pPr>
          </w:p>
        </w:tc>
        <w:tc>
          <w:tcPr>
            <w:tcW w:w="1185" w:type="dxa"/>
            <w:noWrap w:val="0"/>
            <w:vAlign w:val="top"/>
          </w:tcPr>
          <w:p w14:paraId="62B4AA46">
            <w:pPr>
              <w:rPr>
                <w:rFonts w:eastAsia="仿宋_GB2312"/>
                <w:color w:val="000000"/>
                <w:sz w:val="24"/>
                <w:szCs w:val="24"/>
                <w:highlight w:val="none"/>
              </w:rPr>
            </w:pPr>
          </w:p>
        </w:tc>
        <w:tc>
          <w:tcPr>
            <w:tcW w:w="1382" w:type="dxa"/>
            <w:noWrap w:val="0"/>
            <w:vAlign w:val="top"/>
          </w:tcPr>
          <w:p w14:paraId="3DA8A399">
            <w:pPr>
              <w:rPr>
                <w:rFonts w:eastAsia="仿宋_GB2312"/>
                <w:color w:val="000000"/>
                <w:sz w:val="24"/>
                <w:szCs w:val="24"/>
                <w:highlight w:val="none"/>
              </w:rPr>
            </w:pPr>
          </w:p>
        </w:tc>
        <w:tc>
          <w:tcPr>
            <w:tcW w:w="1589" w:type="dxa"/>
            <w:noWrap w:val="0"/>
            <w:vAlign w:val="top"/>
          </w:tcPr>
          <w:p w14:paraId="4693BB65">
            <w:pPr>
              <w:rPr>
                <w:rFonts w:eastAsia="仿宋_GB2312"/>
                <w:color w:val="000000"/>
                <w:sz w:val="24"/>
                <w:szCs w:val="24"/>
                <w:highlight w:val="none"/>
              </w:rPr>
            </w:pPr>
          </w:p>
        </w:tc>
      </w:tr>
      <w:tr w14:paraId="3E422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423E78EE">
            <w:pPr>
              <w:rPr>
                <w:rFonts w:eastAsia="仿宋_GB2312"/>
                <w:color w:val="000000"/>
                <w:sz w:val="24"/>
                <w:szCs w:val="24"/>
                <w:highlight w:val="none"/>
              </w:rPr>
            </w:pPr>
          </w:p>
        </w:tc>
        <w:tc>
          <w:tcPr>
            <w:tcW w:w="1216" w:type="dxa"/>
            <w:noWrap w:val="0"/>
            <w:vAlign w:val="top"/>
          </w:tcPr>
          <w:p w14:paraId="6E09CFD2">
            <w:pPr>
              <w:rPr>
                <w:rFonts w:eastAsia="仿宋_GB2312"/>
                <w:color w:val="000000"/>
                <w:sz w:val="24"/>
                <w:szCs w:val="24"/>
                <w:highlight w:val="none"/>
              </w:rPr>
            </w:pPr>
          </w:p>
        </w:tc>
        <w:tc>
          <w:tcPr>
            <w:tcW w:w="1382" w:type="dxa"/>
            <w:noWrap w:val="0"/>
            <w:vAlign w:val="top"/>
          </w:tcPr>
          <w:p w14:paraId="746F4438">
            <w:pPr>
              <w:rPr>
                <w:rFonts w:eastAsia="仿宋_GB2312"/>
                <w:color w:val="000000"/>
                <w:sz w:val="24"/>
                <w:szCs w:val="24"/>
                <w:highlight w:val="none"/>
              </w:rPr>
            </w:pPr>
          </w:p>
        </w:tc>
        <w:tc>
          <w:tcPr>
            <w:tcW w:w="1185" w:type="dxa"/>
            <w:noWrap w:val="0"/>
            <w:vAlign w:val="top"/>
          </w:tcPr>
          <w:p w14:paraId="413D31B2">
            <w:pPr>
              <w:rPr>
                <w:rFonts w:eastAsia="仿宋_GB2312"/>
                <w:color w:val="000000"/>
                <w:sz w:val="24"/>
                <w:szCs w:val="24"/>
                <w:highlight w:val="none"/>
              </w:rPr>
            </w:pPr>
          </w:p>
        </w:tc>
        <w:tc>
          <w:tcPr>
            <w:tcW w:w="1382" w:type="dxa"/>
            <w:noWrap w:val="0"/>
            <w:vAlign w:val="top"/>
          </w:tcPr>
          <w:p w14:paraId="00D514C6">
            <w:pPr>
              <w:rPr>
                <w:rFonts w:eastAsia="仿宋_GB2312"/>
                <w:color w:val="000000"/>
                <w:sz w:val="24"/>
                <w:szCs w:val="24"/>
                <w:highlight w:val="none"/>
              </w:rPr>
            </w:pPr>
          </w:p>
        </w:tc>
        <w:tc>
          <w:tcPr>
            <w:tcW w:w="1589" w:type="dxa"/>
            <w:noWrap w:val="0"/>
            <w:vAlign w:val="top"/>
          </w:tcPr>
          <w:p w14:paraId="16026FA1">
            <w:pPr>
              <w:rPr>
                <w:rFonts w:eastAsia="仿宋_GB2312"/>
                <w:color w:val="000000"/>
                <w:sz w:val="24"/>
                <w:szCs w:val="24"/>
                <w:highlight w:val="none"/>
              </w:rPr>
            </w:pPr>
          </w:p>
        </w:tc>
      </w:tr>
      <w:tr w14:paraId="07545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1F173D1D">
            <w:pPr>
              <w:rPr>
                <w:rFonts w:eastAsia="仿宋_GB2312"/>
                <w:color w:val="000000"/>
                <w:sz w:val="24"/>
                <w:szCs w:val="24"/>
                <w:highlight w:val="none"/>
              </w:rPr>
            </w:pPr>
          </w:p>
        </w:tc>
        <w:tc>
          <w:tcPr>
            <w:tcW w:w="1216" w:type="dxa"/>
            <w:noWrap w:val="0"/>
            <w:vAlign w:val="top"/>
          </w:tcPr>
          <w:p w14:paraId="24105D86">
            <w:pPr>
              <w:rPr>
                <w:rFonts w:eastAsia="仿宋_GB2312"/>
                <w:color w:val="000000"/>
                <w:sz w:val="24"/>
                <w:szCs w:val="24"/>
                <w:highlight w:val="none"/>
              </w:rPr>
            </w:pPr>
          </w:p>
        </w:tc>
        <w:tc>
          <w:tcPr>
            <w:tcW w:w="1382" w:type="dxa"/>
            <w:noWrap w:val="0"/>
            <w:vAlign w:val="top"/>
          </w:tcPr>
          <w:p w14:paraId="6044AAFC">
            <w:pPr>
              <w:rPr>
                <w:rFonts w:eastAsia="仿宋_GB2312"/>
                <w:color w:val="000000"/>
                <w:sz w:val="24"/>
                <w:szCs w:val="24"/>
                <w:highlight w:val="none"/>
              </w:rPr>
            </w:pPr>
          </w:p>
        </w:tc>
        <w:tc>
          <w:tcPr>
            <w:tcW w:w="1185" w:type="dxa"/>
            <w:noWrap w:val="0"/>
            <w:vAlign w:val="top"/>
          </w:tcPr>
          <w:p w14:paraId="732665C4">
            <w:pPr>
              <w:rPr>
                <w:rFonts w:eastAsia="仿宋_GB2312"/>
                <w:color w:val="000000"/>
                <w:sz w:val="24"/>
                <w:szCs w:val="24"/>
                <w:highlight w:val="none"/>
              </w:rPr>
            </w:pPr>
          </w:p>
        </w:tc>
        <w:tc>
          <w:tcPr>
            <w:tcW w:w="1382" w:type="dxa"/>
            <w:noWrap w:val="0"/>
            <w:vAlign w:val="top"/>
          </w:tcPr>
          <w:p w14:paraId="1103BD59">
            <w:pPr>
              <w:rPr>
                <w:rFonts w:eastAsia="仿宋_GB2312"/>
                <w:color w:val="000000"/>
                <w:sz w:val="24"/>
                <w:szCs w:val="24"/>
                <w:highlight w:val="none"/>
              </w:rPr>
            </w:pPr>
          </w:p>
        </w:tc>
        <w:tc>
          <w:tcPr>
            <w:tcW w:w="1589" w:type="dxa"/>
            <w:noWrap w:val="0"/>
            <w:vAlign w:val="top"/>
          </w:tcPr>
          <w:p w14:paraId="0C011F76">
            <w:pPr>
              <w:rPr>
                <w:rFonts w:eastAsia="仿宋_GB2312"/>
                <w:color w:val="000000"/>
                <w:sz w:val="24"/>
                <w:szCs w:val="24"/>
                <w:highlight w:val="none"/>
              </w:rPr>
            </w:pPr>
          </w:p>
        </w:tc>
      </w:tr>
      <w:tr w14:paraId="0912A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862" w:type="dxa"/>
            <w:noWrap w:val="0"/>
            <w:vAlign w:val="top"/>
          </w:tcPr>
          <w:p w14:paraId="19F1E2ED">
            <w:pPr>
              <w:rPr>
                <w:rFonts w:eastAsia="仿宋_GB2312"/>
                <w:color w:val="000000"/>
                <w:sz w:val="24"/>
                <w:szCs w:val="24"/>
                <w:highlight w:val="none"/>
              </w:rPr>
            </w:pPr>
          </w:p>
        </w:tc>
        <w:tc>
          <w:tcPr>
            <w:tcW w:w="1216" w:type="dxa"/>
            <w:noWrap w:val="0"/>
            <w:vAlign w:val="top"/>
          </w:tcPr>
          <w:p w14:paraId="32AAC5D1">
            <w:pPr>
              <w:rPr>
                <w:rFonts w:eastAsia="仿宋_GB2312"/>
                <w:color w:val="000000"/>
                <w:sz w:val="24"/>
                <w:szCs w:val="24"/>
                <w:highlight w:val="none"/>
              </w:rPr>
            </w:pPr>
          </w:p>
        </w:tc>
        <w:tc>
          <w:tcPr>
            <w:tcW w:w="1382" w:type="dxa"/>
            <w:noWrap w:val="0"/>
            <w:vAlign w:val="top"/>
          </w:tcPr>
          <w:p w14:paraId="7F469B2F">
            <w:pPr>
              <w:rPr>
                <w:rFonts w:eastAsia="仿宋_GB2312"/>
                <w:color w:val="000000"/>
                <w:sz w:val="24"/>
                <w:szCs w:val="24"/>
                <w:highlight w:val="none"/>
              </w:rPr>
            </w:pPr>
          </w:p>
        </w:tc>
        <w:tc>
          <w:tcPr>
            <w:tcW w:w="1185" w:type="dxa"/>
            <w:noWrap w:val="0"/>
            <w:vAlign w:val="top"/>
          </w:tcPr>
          <w:p w14:paraId="1F322ECF">
            <w:pPr>
              <w:rPr>
                <w:rFonts w:eastAsia="仿宋_GB2312"/>
                <w:color w:val="000000"/>
                <w:sz w:val="24"/>
                <w:szCs w:val="24"/>
                <w:highlight w:val="none"/>
              </w:rPr>
            </w:pPr>
          </w:p>
        </w:tc>
        <w:tc>
          <w:tcPr>
            <w:tcW w:w="1382" w:type="dxa"/>
            <w:noWrap w:val="0"/>
            <w:vAlign w:val="top"/>
          </w:tcPr>
          <w:p w14:paraId="29F3E5B0">
            <w:pPr>
              <w:rPr>
                <w:rFonts w:eastAsia="仿宋_GB2312"/>
                <w:color w:val="000000"/>
                <w:sz w:val="24"/>
                <w:szCs w:val="24"/>
                <w:highlight w:val="none"/>
              </w:rPr>
            </w:pPr>
          </w:p>
        </w:tc>
        <w:tc>
          <w:tcPr>
            <w:tcW w:w="1589" w:type="dxa"/>
            <w:noWrap w:val="0"/>
            <w:vAlign w:val="top"/>
          </w:tcPr>
          <w:p w14:paraId="75907B8D">
            <w:pPr>
              <w:rPr>
                <w:rFonts w:eastAsia="仿宋_GB2312"/>
                <w:color w:val="000000"/>
                <w:sz w:val="24"/>
                <w:szCs w:val="24"/>
                <w:highlight w:val="none"/>
              </w:rPr>
            </w:pPr>
          </w:p>
        </w:tc>
      </w:tr>
    </w:tbl>
    <w:p w14:paraId="7601BB7B">
      <w:pPr>
        <w:spacing w:line="440" w:lineRule="exact"/>
        <w:rPr>
          <w:rFonts w:hint="eastAsia" w:ascii="Times New Roman" w:hAnsi="Times New Roman" w:eastAsia="仿宋_GB2312"/>
          <w:color w:val="000000"/>
          <w:sz w:val="24"/>
          <w:szCs w:val="24"/>
          <w:highlight w:val="none"/>
        </w:rPr>
      </w:pPr>
    </w:p>
    <w:p w14:paraId="00A73FA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w:t>
      </w:r>
      <w:bookmarkStart w:id="778" w:name="_Toc267261698"/>
      <w:bookmarkStart w:id="779" w:name="_Toc296891055"/>
      <w:bookmarkStart w:id="780" w:name="_Toc296346728"/>
      <w:bookmarkStart w:id="781" w:name="_Toc296347226"/>
      <w:bookmarkStart w:id="782" w:name="_Toc296944566"/>
      <w:bookmarkStart w:id="783" w:name="_Toc296503227"/>
      <w:bookmarkStart w:id="784" w:name="_Toc296891267"/>
      <w:r>
        <w:rPr>
          <w:rFonts w:ascii="Times New Roman" w:hAnsi="Times New Roman" w:eastAsia="仿宋_GB2312"/>
          <w:color w:val="000000"/>
          <w:sz w:val="24"/>
          <w:szCs w:val="24"/>
          <w:highlight w:val="none"/>
        </w:rPr>
        <w:t>件5：</w:t>
      </w:r>
    </w:p>
    <w:bookmarkEnd w:id="778"/>
    <w:bookmarkEnd w:id="779"/>
    <w:bookmarkEnd w:id="780"/>
    <w:bookmarkEnd w:id="781"/>
    <w:bookmarkEnd w:id="782"/>
    <w:bookmarkEnd w:id="783"/>
    <w:bookmarkEnd w:id="784"/>
    <w:p w14:paraId="56E51D6E">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承包人用于本工程施工的机械设备表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2"/>
        <w:gridCol w:w="1452"/>
        <w:gridCol w:w="762"/>
        <w:gridCol w:w="949"/>
        <w:gridCol w:w="789"/>
        <w:gridCol w:w="915"/>
        <w:gridCol w:w="1327"/>
        <w:gridCol w:w="915"/>
        <w:gridCol w:w="826"/>
      </w:tblGrid>
      <w:tr w14:paraId="3961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862" w:type="dxa"/>
            <w:tcBorders>
              <w:top w:val="single" w:color="auto" w:sz="12" w:space="0"/>
              <w:bottom w:val="double" w:color="auto" w:sz="6" w:space="0"/>
            </w:tcBorders>
            <w:noWrap w:val="0"/>
            <w:vAlign w:val="center"/>
          </w:tcPr>
          <w:p w14:paraId="2F2D8AE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452" w:type="dxa"/>
            <w:tcBorders>
              <w:top w:val="single" w:color="auto" w:sz="12" w:space="0"/>
              <w:bottom w:val="double" w:color="auto" w:sz="6" w:space="0"/>
            </w:tcBorders>
            <w:noWrap w:val="0"/>
            <w:vAlign w:val="center"/>
          </w:tcPr>
          <w:p w14:paraId="0653C5F6">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机械或设备名称</w:t>
            </w:r>
          </w:p>
        </w:tc>
        <w:tc>
          <w:tcPr>
            <w:tcW w:w="762" w:type="dxa"/>
            <w:tcBorders>
              <w:top w:val="single" w:color="auto" w:sz="12" w:space="0"/>
              <w:bottom w:val="double" w:color="auto" w:sz="6" w:space="0"/>
            </w:tcBorders>
            <w:noWrap w:val="0"/>
            <w:vAlign w:val="center"/>
          </w:tcPr>
          <w:p w14:paraId="4302359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规格型号</w:t>
            </w:r>
          </w:p>
        </w:tc>
        <w:tc>
          <w:tcPr>
            <w:tcW w:w="949" w:type="dxa"/>
            <w:tcBorders>
              <w:top w:val="single" w:color="auto" w:sz="12" w:space="0"/>
              <w:bottom w:val="double" w:color="auto" w:sz="6" w:space="0"/>
            </w:tcBorders>
            <w:noWrap w:val="0"/>
            <w:vAlign w:val="center"/>
          </w:tcPr>
          <w:p w14:paraId="72942C2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789" w:type="dxa"/>
            <w:tcBorders>
              <w:top w:val="single" w:color="auto" w:sz="12" w:space="0"/>
              <w:bottom w:val="double" w:color="auto" w:sz="6" w:space="0"/>
            </w:tcBorders>
            <w:noWrap w:val="0"/>
            <w:vAlign w:val="center"/>
          </w:tcPr>
          <w:p w14:paraId="665DF73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产地</w:t>
            </w:r>
          </w:p>
        </w:tc>
        <w:tc>
          <w:tcPr>
            <w:tcW w:w="915" w:type="dxa"/>
            <w:tcBorders>
              <w:top w:val="single" w:color="auto" w:sz="12" w:space="0"/>
              <w:bottom w:val="double" w:color="auto" w:sz="6" w:space="0"/>
            </w:tcBorders>
            <w:noWrap w:val="0"/>
            <w:vAlign w:val="center"/>
          </w:tcPr>
          <w:p w14:paraId="26A1129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制造年份</w:t>
            </w:r>
          </w:p>
        </w:tc>
        <w:tc>
          <w:tcPr>
            <w:tcW w:w="1327" w:type="dxa"/>
            <w:tcBorders>
              <w:top w:val="single" w:color="auto" w:sz="12" w:space="0"/>
              <w:bottom w:val="double" w:color="auto" w:sz="6" w:space="0"/>
            </w:tcBorders>
            <w:noWrap w:val="0"/>
            <w:vAlign w:val="center"/>
          </w:tcPr>
          <w:p w14:paraId="74E397D1">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额定功率(kW)</w:t>
            </w:r>
          </w:p>
        </w:tc>
        <w:tc>
          <w:tcPr>
            <w:tcW w:w="915" w:type="dxa"/>
            <w:tcBorders>
              <w:top w:val="single" w:color="auto" w:sz="12" w:space="0"/>
              <w:bottom w:val="double" w:color="auto" w:sz="6" w:space="0"/>
            </w:tcBorders>
            <w:noWrap w:val="0"/>
            <w:vAlign w:val="center"/>
          </w:tcPr>
          <w:p w14:paraId="317B1DA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生产能力</w:t>
            </w:r>
          </w:p>
        </w:tc>
        <w:tc>
          <w:tcPr>
            <w:tcW w:w="826" w:type="dxa"/>
            <w:tcBorders>
              <w:top w:val="single" w:color="auto" w:sz="12" w:space="0"/>
              <w:bottom w:val="double" w:color="auto" w:sz="6" w:space="0"/>
            </w:tcBorders>
            <w:noWrap w:val="0"/>
            <w:vAlign w:val="center"/>
          </w:tcPr>
          <w:p w14:paraId="7032B5D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4DAA1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862" w:type="dxa"/>
            <w:tcBorders>
              <w:top w:val="double" w:color="auto" w:sz="6" w:space="0"/>
              <w:bottom w:val="single" w:color="auto" w:sz="6" w:space="0"/>
            </w:tcBorders>
            <w:noWrap w:val="0"/>
            <w:vAlign w:val="center"/>
          </w:tcPr>
          <w:p w14:paraId="048D2344">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tcBorders>
              <w:top w:val="double" w:color="auto" w:sz="6" w:space="0"/>
              <w:bottom w:val="single" w:color="auto" w:sz="6" w:space="0"/>
            </w:tcBorders>
            <w:noWrap w:val="0"/>
            <w:vAlign w:val="center"/>
          </w:tcPr>
          <w:p w14:paraId="2381444D">
            <w:pPr>
              <w:widowControl/>
              <w:jc w:val="center"/>
              <w:rPr>
                <w:rFonts w:ascii="Times New Roman" w:hAnsi="Times New Roman" w:eastAsia="仿宋_GB2312"/>
                <w:color w:val="000000"/>
                <w:kern w:val="2"/>
                <w:sz w:val="24"/>
                <w:szCs w:val="24"/>
                <w:highlight w:val="none"/>
                <w:lang w:val="en-US" w:eastAsia="zh-CN" w:bidi="ar-SA"/>
              </w:rPr>
            </w:pPr>
          </w:p>
        </w:tc>
        <w:tc>
          <w:tcPr>
            <w:tcW w:w="762" w:type="dxa"/>
            <w:tcBorders>
              <w:top w:val="double" w:color="auto" w:sz="6" w:space="0"/>
              <w:bottom w:val="single" w:color="auto" w:sz="6" w:space="0"/>
            </w:tcBorders>
            <w:noWrap w:val="0"/>
            <w:vAlign w:val="center"/>
          </w:tcPr>
          <w:p w14:paraId="35314F0B">
            <w:pPr>
              <w:widowControl/>
              <w:jc w:val="center"/>
              <w:rPr>
                <w:rFonts w:ascii="Times New Roman" w:hAnsi="Times New Roman" w:eastAsia="仿宋_GB2312"/>
                <w:color w:val="000000"/>
                <w:kern w:val="2"/>
                <w:sz w:val="24"/>
                <w:szCs w:val="24"/>
                <w:highlight w:val="none"/>
                <w:lang w:val="en-US" w:eastAsia="zh-CN" w:bidi="ar-SA"/>
              </w:rPr>
            </w:pPr>
          </w:p>
        </w:tc>
        <w:tc>
          <w:tcPr>
            <w:tcW w:w="949" w:type="dxa"/>
            <w:tcBorders>
              <w:top w:val="double" w:color="auto" w:sz="6" w:space="0"/>
              <w:bottom w:val="single" w:color="auto" w:sz="6" w:space="0"/>
            </w:tcBorders>
            <w:noWrap w:val="0"/>
            <w:vAlign w:val="center"/>
          </w:tcPr>
          <w:p w14:paraId="06328FCC">
            <w:pPr>
              <w:widowControl/>
              <w:jc w:val="center"/>
              <w:rPr>
                <w:rFonts w:ascii="Times New Roman" w:hAnsi="Times New Roman" w:eastAsia="仿宋_GB2312"/>
                <w:color w:val="000000"/>
                <w:kern w:val="2"/>
                <w:sz w:val="24"/>
                <w:szCs w:val="24"/>
                <w:highlight w:val="none"/>
                <w:lang w:val="en-US" w:eastAsia="zh-CN" w:bidi="ar-SA"/>
              </w:rPr>
            </w:pPr>
          </w:p>
        </w:tc>
        <w:tc>
          <w:tcPr>
            <w:tcW w:w="789" w:type="dxa"/>
            <w:tcBorders>
              <w:top w:val="double" w:color="auto" w:sz="6" w:space="0"/>
              <w:bottom w:val="single" w:color="auto" w:sz="6" w:space="0"/>
            </w:tcBorders>
            <w:noWrap w:val="0"/>
            <w:vAlign w:val="center"/>
          </w:tcPr>
          <w:p w14:paraId="303807B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double" w:color="auto" w:sz="6" w:space="0"/>
              <w:bottom w:val="single" w:color="auto" w:sz="6" w:space="0"/>
            </w:tcBorders>
            <w:noWrap w:val="0"/>
            <w:vAlign w:val="center"/>
          </w:tcPr>
          <w:p w14:paraId="3AE619E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tcBorders>
              <w:top w:val="double" w:color="auto" w:sz="6" w:space="0"/>
              <w:bottom w:val="single" w:color="auto" w:sz="6" w:space="0"/>
            </w:tcBorders>
            <w:noWrap w:val="0"/>
            <w:vAlign w:val="center"/>
          </w:tcPr>
          <w:p w14:paraId="681057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double" w:color="auto" w:sz="6" w:space="0"/>
              <w:bottom w:val="single" w:color="auto" w:sz="6" w:space="0"/>
            </w:tcBorders>
            <w:noWrap w:val="0"/>
            <w:vAlign w:val="center"/>
          </w:tcPr>
          <w:p w14:paraId="3D1A156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tcBorders>
              <w:top w:val="double" w:color="auto" w:sz="6" w:space="0"/>
              <w:bottom w:val="single" w:color="auto" w:sz="6" w:space="0"/>
            </w:tcBorders>
            <w:noWrap w:val="0"/>
            <w:vAlign w:val="center"/>
          </w:tcPr>
          <w:p w14:paraId="63405BB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5B34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tcBorders>
              <w:top w:val="nil"/>
            </w:tcBorders>
            <w:noWrap w:val="0"/>
            <w:vAlign w:val="center"/>
          </w:tcPr>
          <w:p w14:paraId="4077AE8F">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tcBorders>
              <w:top w:val="nil"/>
            </w:tcBorders>
            <w:noWrap w:val="0"/>
            <w:vAlign w:val="center"/>
          </w:tcPr>
          <w:p w14:paraId="1CB66060">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tcBorders>
              <w:top w:val="nil"/>
            </w:tcBorders>
            <w:noWrap w:val="0"/>
            <w:vAlign w:val="center"/>
          </w:tcPr>
          <w:p w14:paraId="5362168B">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tcBorders>
              <w:top w:val="nil"/>
            </w:tcBorders>
            <w:noWrap w:val="0"/>
            <w:vAlign w:val="center"/>
          </w:tcPr>
          <w:p w14:paraId="45FF3C0D">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tcBorders>
              <w:top w:val="nil"/>
            </w:tcBorders>
            <w:noWrap w:val="0"/>
            <w:vAlign w:val="center"/>
          </w:tcPr>
          <w:p w14:paraId="06A1798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nil"/>
            </w:tcBorders>
            <w:noWrap w:val="0"/>
            <w:vAlign w:val="center"/>
          </w:tcPr>
          <w:p w14:paraId="3FFCEC9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tcBorders>
              <w:top w:val="nil"/>
            </w:tcBorders>
            <w:noWrap w:val="0"/>
            <w:vAlign w:val="center"/>
          </w:tcPr>
          <w:p w14:paraId="12F821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nil"/>
            </w:tcBorders>
            <w:noWrap w:val="0"/>
            <w:vAlign w:val="center"/>
          </w:tcPr>
          <w:p w14:paraId="6E93CF3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tcBorders>
              <w:top w:val="nil"/>
            </w:tcBorders>
            <w:noWrap w:val="0"/>
            <w:vAlign w:val="center"/>
          </w:tcPr>
          <w:p w14:paraId="65ACBC7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6027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60686A49">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noWrap w:val="0"/>
            <w:vAlign w:val="center"/>
          </w:tcPr>
          <w:p w14:paraId="22AAE776">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noWrap w:val="0"/>
            <w:vAlign w:val="center"/>
          </w:tcPr>
          <w:p w14:paraId="1754C0BE">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noWrap w:val="0"/>
            <w:vAlign w:val="center"/>
          </w:tcPr>
          <w:p w14:paraId="5E1D1B31">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noWrap w:val="0"/>
            <w:vAlign w:val="center"/>
          </w:tcPr>
          <w:p w14:paraId="77C7FF6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9BA364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1029BFA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544345A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62056AA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F0E6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33428C8A">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noWrap w:val="0"/>
            <w:vAlign w:val="center"/>
          </w:tcPr>
          <w:p w14:paraId="325D341C">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noWrap w:val="0"/>
            <w:vAlign w:val="center"/>
          </w:tcPr>
          <w:p w14:paraId="3CF6CAB4">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noWrap w:val="0"/>
            <w:vAlign w:val="center"/>
          </w:tcPr>
          <w:p w14:paraId="2AC7BD87">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noWrap w:val="0"/>
            <w:vAlign w:val="center"/>
          </w:tcPr>
          <w:p w14:paraId="5963A26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EE8EB8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2BAA40E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2C9EDC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878015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DEC2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1A72420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14F9F3C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1867BF5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B45479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DE591A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7270CF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0F61262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C64BD3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02FE82A">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11DA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047FB43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5541B5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6CB9E62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3874D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562396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2E72BA9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258692F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6A374A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208FD0D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7B0B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05EC4D3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2A8521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7164A1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071C95A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F50373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19A10C1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114089D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37A9A0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2CF2FF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9E5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30EDE98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190958A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185E09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1AE7C78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283A2B3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2CCA65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477E0D5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7572001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1173712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1B04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37210ED2">
            <w:pPr>
              <w:rPr>
                <w:rFonts w:eastAsia="仿宋_GB2312"/>
                <w:color w:val="000000"/>
                <w:sz w:val="24"/>
                <w:szCs w:val="24"/>
                <w:highlight w:val="none"/>
              </w:rPr>
            </w:pPr>
          </w:p>
        </w:tc>
        <w:tc>
          <w:tcPr>
            <w:tcW w:w="1452" w:type="dxa"/>
            <w:noWrap w:val="0"/>
            <w:vAlign w:val="top"/>
          </w:tcPr>
          <w:p w14:paraId="341CB1DF">
            <w:pPr>
              <w:rPr>
                <w:rFonts w:eastAsia="仿宋_GB2312"/>
                <w:color w:val="000000"/>
                <w:sz w:val="24"/>
                <w:szCs w:val="24"/>
                <w:highlight w:val="none"/>
              </w:rPr>
            </w:pPr>
          </w:p>
        </w:tc>
        <w:tc>
          <w:tcPr>
            <w:tcW w:w="762" w:type="dxa"/>
            <w:noWrap w:val="0"/>
            <w:vAlign w:val="top"/>
          </w:tcPr>
          <w:p w14:paraId="7EA11FA8">
            <w:pPr>
              <w:rPr>
                <w:rFonts w:eastAsia="仿宋_GB2312"/>
                <w:color w:val="000000"/>
                <w:sz w:val="24"/>
                <w:szCs w:val="24"/>
                <w:highlight w:val="none"/>
              </w:rPr>
            </w:pPr>
          </w:p>
        </w:tc>
        <w:tc>
          <w:tcPr>
            <w:tcW w:w="949" w:type="dxa"/>
            <w:noWrap w:val="0"/>
            <w:vAlign w:val="top"/>
          </w:tcPr>
          <w:p w14:paraId="04168CA5">
            <w:pPr>
              <w:rPr>
                <w:rFonts w:eastAsia="仿宋_GB2312"/>
                <w:color w:val="000000"/>
                <w:sz w:val="24"/>
                <w:szCs w:val="24"/>
                <w:highlight w:val="none"/>
              </w:rPr>
            </w:pPr>
          </w:p>
        </w:tc>
        <w:tc>
          <w:tcPr>
            <w:tcW w:w="789" w:type="dxa"/>
            <w:noWrap w:val="0"/>
            <w:vAlign w:val="top"/>
          </w:tcPr>
          <w:p w14:paraId="70F65F13">
            <w:pPr>
              <w:rPr>
                <w:rFonts w:eastAsia="仿宋_GB2312"/>
                <w:color w:val="000000"/>
                <w:sz w:val="24"/>
                <w:szCs w:val="24"/>
                <w:highlight w:val="none"/>
              </w:rPr>
            </w:pPr>
          </w:p>
        </w:tc>
        <w:tc>
          <w:tcPr>
            <w:tcW w:w="915" w:type="dxa"/>
            <w:noWrap w:val="0"/>
            <w:vAlign w:val="top"/>
          </w:tcPr>
          <w:p w14:paraId="78050088">
            <w:pPr>
              <w:rPr>
                <w:rFonts w:eastAsia="仿宋_GB2312"/>
                <w:color w:val="000000"/>
                <w:sz w:val="24"/>
                <w:szCs w:val="24"/>
                <w:highlight w:val="none"/>
              </w:rPr>
            </w:pPr>
          </w:p>
        </w:tc>
        <w:tc>
          <w:tcPr>
            <w:tcW w:w="1327" w:type="dxa"/>
            <w:noWrap w:val="0"/>
            <w:vAlign w:val="top"/>
          </w:tcPr>
          <w:p w14:paraId="23691CB4">
            <w:pPr>
              <w:rPr>
                <w:rFonts w:eastAsia="仿宋_GB2312"/>
                <w:color w:val="000000"/>
                <w:sz w:val="24"/>
                <w:szCs w:val="24"/>
                <w:highlight w:val="none"/>
              </w:rPr>
            </w:pPr>
          </w:p>
        </w:tc>
        <w:tc>
          <w:tcPr>
            <w:tcW w:w="915" w:type="dxa"/>
            <w:noWrap w:val="0"/>
            <w:vAlign w:val="top"/>
          </w:tcPr>
          <w:p w14:paraId="3567DF86">
            <w:pPr>
              <w:rPr>
                <w:rFonts w:eastAsia="仿宋_GB2312"/>
                <w:color w:val="000000"/>
                <w:sz w:val="24"/>
                <w:szCs w:val="24"/>
                <w:highlight w:val="none"/>
              </w:rPr>
            </w:pPr>
          </w:p>
        </w:tc>
        <w:tc>
          <w:tcPr>
            <w:tcW w:w="826" w:type="dxa"/>
            <w:noWrap w:val="0"/>
            <w:vAlign w:val="top"/>
          </w:tcPr>
          <w:p w14:paraId="3502FF6E">
            <w:pPr>
              <w:rPr>
                <w:rFonts w:eastAsia="仿宋_GB2312"/>
                <w:color w:val="000000"/>
                <w:sz w:val="24"/>
                <w:szCs w:val="24"/>
                <w:highlight w:val="none"/>
              </w:rPr>
            </w:pPr>
          </w:p>
        </w:tc>
      </w:tr>
      <w:tr w14:paraId="31801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11AF3D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62247F0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76182A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0609FB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55BCF4E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3104053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33C4ECE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218032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3810728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8DE1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6D9FAB53">
            <w:pPr>
              <w:rPr>
                <w:rFonts w:eastAsia="仿宋_GB2312"/>
                <w:color w:val="000000"/>
                <w:sz w:val="24"/>
                <w:szCs w:val="24"/>
                <w:highlight w:val="none"/>
              </w:rPr>
            </w:pPr>
          </w:p>
        </w:tc>
        <w:tc>
          <w:tcPr>
            <w:tcW w:w="1452" w:type="dxa"/>
            <w:noWrap w:val="0"/>
            <w:vAlign w:val="top"/>
          </w:tcPr>
          <w:p w14:paraId="55D7EC6E">
            <w:pPr>
              <w:rPr>
                <w:rFonts w:eastAsia="仿宋_GB2312"/>
                <w:color w:val="000000"/>
                <w:sz w:val="24"/>
                <w:szCs w:val="24"/>
                <w:highlight w:val="none"/>
              </w:rPr>
            </w:pPr>
          </w:p>
        </w:tc>
        <w:tc>
          <w:tcPr>
            <w:tcW w:w="762" w:type="dxa"/>
            <w:noWrap w:val="0"/>
            <w:vAlign w:val="top"/>
          </w:tcPr>
          <w:p w14:paraId="6C6AFC1A">
            <w:pPr>
              <w:rPr>
                <w:rFonts w:eastAsia="仿宋_GB2312"/>
                <w:color w:val="000000"/>
                <w:sz w:val="24"/>
                <w:szCs w:val="24"/>
                <w:highlight w:val="none"/>
              </w:rPr>
            </w:pPr>
          </w:p>
        </w:tc>
        <w:tc>
          <w:tcPr>
            <w:tcW w:w="949" w:type="dxa"/>
            <w:noWrap w:val="0"/>
            <w:vAlign w:val="top"/>
          </w:tcPr>
          <w:p w14:paraId="27BDB62A">
            <w:pPr>
              <w:rPr>
                <w:rFonts w:eastAsia="仿宋_GB2312"/>
                <w:color w:val="000000"/>
                <w:sz w:val="24"/>
                <w:szCs w:val="24"/>
                <w:highlight w:val="none"/>
              </w:rPr>
            </w:pPr>
          </w:p>
        </w:tc>
        <w:tc>
          <w:tcPr>
            <w:tcW w:w="789" w:type="dxa"/>
            <w:noWrap w:val="0"/>
            <w:vAlign w:val="top"/>
          </w:tcPr>
          <w:p w14:paraId="0AF43B7B">
            <w:pPr>
              <w:rPr>
                <w:rFonts w:eastAsia="仿宋_GB2312"/>
                <w:color w:val="000000"/>
                <w:sz w:val="24"/>
                <w:szCs w:val="24"/>
                <w:highlight w:val="none"/>
              </w:rPr>
            </w:pPr>
          </w:p>
        </w:tc>
        <w:tc>
          <w:tcPr>
            <w:tcW w:w="915" w:type="dxa"/>
            <w:noWrap w:val="0"/>
            <w:vAlign w:val="top"/>
          </w:tcPr>
          <w:p w14:paraId="1E7EF08C">
            <w:pPr>
              <w:rPr>
                <w:rFonts w:eastAsia="仿宋_GB2312"/>
                <w:color w:val="000000"/>
                <w:sz w:val="24"/>
                <w:szCs w:val="24"/>
                <w:highlight w:val="none"/>
              </w:rPr>
            </w:pPr>
          </w:p>
        </w:tc>
        <w:tc>
          <w:tcPr>
            <w:tcW w:w="1327" w:type="dxa"/>
            <w:noWrap w:val="0"/>
            <w:vAlign w:val="top"/>
          </w:tcPr>
          <w:p w14:paraId="5AB17C96">
            <w:pPr>
              <w:rPr>
                <w:rFonts w:eastAsia="仿宋_GB2312"/>
                <w:color w:val="000000"/>
                <w:sz w:val="24"/>
                <w:szCs w:val="24"/>
                <w:highlight w:val="none"/>
              </w:rPr>
            </w:pPr>
          </w:p>
        </w:tc>
        <w:tc>
          <w:tcPr>
            <w:tcW w:w="915" w:type="dxa"/>
            <w:noWrap w:val="0"/>
            <w:vAlign w:val="top"/>
          </w:tcPr>
          <w:p w14:paraId="299DC1BC">
            <w:pPr>
              <w:rPr>
                <w:rFonts w:eastAsia="仿宋_GB2312"/>
                <w:color w:val="000000"/>
                <w:sz w:val="24"/>
                <w:szCs w:val="24"/>
                <w:highlight w:val="none"/>
              </w:rPr>
            </w:pPr>
          </w:p>
        </w:tc>
        <w:tc>
          <w:tcPr>
            <w:tcW w:w="826" w:type="dxa"/>
            <w:noWrap w:val="0"/>
            <w:vAlign w:val="top"/>
          </w:tcPr>
          <w:p w14:paraId="05D4BD2E">
            <w:pPr>
              <w:rPr>
                <w:rFonts w:eastAsia="仿宋_GB2312"/>
                <w:color w:val="000000"/>
                <w:sz w:val="24"/>
                <w:szCs w:val="24"/>
                <w:highlight w:val="none"/>
              </w:rPr>
            </w:pPr>
          </w:p>
        </w:tc>
      </w:tr>
      <w:tr w14:paraId="5A8AB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3F7CBCB">
            <w:pPr>
              <w:rPr>
                <w:rFonts w:eastAsia="仿宋_GB2312"/>
                <w:color w:val="000000"/>
                <w:sz w:val="24"/>
                <w:szCs w:val="24"/>
                <w:highlight w:val="none"/>
              </w:rPr>
            </w:pPr>
          </w:p>
        </w:tc>
        <w:tc>
          <w:tcPr>
            <w:tcW w:w="1452" w:type="dxa"/>
            <w:noWrap w:val="0"/>
            <w:vAlign w:val="top"/>
          </w:tcPr>
          <w:p w14:paraId="70A394F6">
            <w:pPr>
              <w:rPr>
                <w:rFonts w:eastAsia="仿宋_GB2312"/>
                <w:color w:val="000000"/>
                <w:sz w:val="24"/>
                <w:szCs w:val="24"/>
                <w:highlight w:val="none"/>
              </w:rPr>
            </w:pPr>
          </w:p>
        </w:tc>
        <w:tc>
          <w:tcPr>
            <w:tcW w:w="762" w:type="dxa"/>
            <w:noWrap w:val="0"/>
            <w:vAlign w:val="top"/>
          </w:tcPr>
          <w:p w14:paraId="4E741169">
            <w:pPr>
              <w:rPr>
                <w:rFonts w:eastAsia="仿宋_GB2312"/>
                <w:color w:val="000000"/>
                <w:sz w:val="24"/>
                <w:szCs w:val="24"/>
                <w:highlight w:val="none"/>
              </w:rPr>
            </w:pPr>
          </w:p>
        </w:tc>
        <w:tc>
          <w:tcPr>
            <w:tcW w:w="949" w:type="dxa"/>
            <w:noWrap w:val="0"/>
            <w:vAlign w:val="top"/>
          </w:tcPr>
          <w:p w14:paraId="29DB67D0">
            <w:pPr>
              <w:rPr>
                <w:rFonts w:eastAsia="仿宋_GB2312"/>
                <w:color w:val="000000"/>
                <w:sz w:val="24"/>
                <w:szCs w:val="24"/>
                <w:highlight w:val="none"/>
              </w:rPr>
            </w:pPr>
          </w:p>
        </w:tc>
        <w:tc>
          <w:tcPr>
            <w:tcW w:w="789" w:type="dxa"/>
            <w:noWrap w:val="0"/>
            <w:vAlign w:val="top"/>
          </w:tcPr>
          <w:p w14:paraId="2F9C6B3E">
            <w:pPr>
              <w:rPr>
                <w:rFonts w:eastAsia="仿宋_GB2312"/>
                <w:color w:val="000000"/>
                <w:sz w:val="24"/>
                <w:szCs w:val="24"/>
                <w:highlight w:val="none"/>
              </w:rPr>
            </w:pPr>
          </w:p>
        </w:tc>
        <w:tc>
          <w:tcPr>
            <w:tcW w:w="915" w:type="dxa"/>
            <w:noWrap w:val="0"/>
            <w:vAlign w:val="top"/>
          </w:tcPr>
          <w:p w14:paraId="58BB34BF">
            <w:pPr>
              <w:rPr>
                <w:rFonts w:eastAsia="仿宋_GB2312"/>
                <w:color w:val="000000"/>
                <w:sz w:val="24"/>
                <w:szCs w:val="24"/>
                <w:highlight w:val="none"/>
              </w:rPr>
            </w:pPr>
          </w:p>
        </w:tc>
        <w:tc>
          <w:tcPr>
            <w:tcW w:w="1327" w:type="dxa"/>
            <w:noWrap w:val="0"/>
            <w:vAlign w:val="top"/>
          </w:tcPr>
          <w:p w14:paraId="19E0E174">
            <w:pPr>
              <w:rPr>
                <w:rFonts w:eastAsia="仿宋_GB2312"/>
                <w:color w:val="000000"/>
                <w:sz w:val="24"/>
                <w:szCs w:val="24"/>
                <w:highlight w:val="none"/>
              </w:rPr>
            </w:pPr>
          </w:p>
        </w:tc>
        <w:tc>
          <w:tcPr>
            <w:tcW w:w="915" w:type="dxa"/>
            <w:noWrap w:val="0"/>
            <w:vAlign w:val="top"/>
          </w:tcPr>
          <w:p w14:paraId="38ED3581">
            <w:pPr>
              <w:rPr>
                <w:rFonts w:eastAsia="仿宋_GB2312"/>
                <w:color w:val="000000"/>
                <w:sz w:val="24"/>
                <w:szCs w:val="24"/>
                <w:highlight w:val="none"/>
              </w:rPr>
            </w:pPr>
          </w:p>
        </w:tc>
        <w:tc>
          <w:tcPr>
            <w:tcW w:w="826" w:type="dxa"/>
            <w:noWrap w:val="0"/>
            <w:vAlign w:val="top"/>
          </w:tcPr>
          <w:p w14:paraId="62288180">
            <w:pPr>
              <w:rPr>
                <w:rFonts w:eastAsia="仿宋_GB2312"/>
                <w:color w:val="000000"/>
                <w:sz w:val="24"/>
                <w:szCs w:val="24"/>
                <w:highlight w:val="none"/>
              </w:rPr>
            </w:pPr>
          </w:p>
        </w:tc>
      </w:tr>
      <w:tr w14:paraId="4A73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287D4D9">
            <w:pPr>
              <w:rPr>
                <w:rFonts w:eastAsia="仿宋_GB2312"/>
                <w:color w:val="000000"/>
                <w:sz w:val="24"/>
                <w:szCs w:val="24"/>
                <w:highlight w:val="none"/>
              </w:rPr>
            </w:pPr>
          </w:p>
        </w:tc>
        <w:tc>
          <w:tcPr>
            <w:tcW w:w="1452" w:type="dxa"/>
            <w:noWrap w:val="0"/>
            <w:vAlign w:val="top"/>
          </w:tcPr>
          <w:p w14:paraId="67BBB1CE">
            <w:pPr>
              <w:rPr>
                <w:rFonts w:eastAsia="仿宋_GB2312"/>
                <w:color w:val="000000"/>
                <w:sz w:val="24"/>
                <w:szCs w:val="24"/>
                <w:highlight w:val="none"/>
              </w:rPr>
            </w:pPr>
          </w:p>
        </w:tc>
        <w:tc>
          <w:tcPr>
            <w:tcW w:w="762" w:type="dxa"/>
            <w:noWrap w:val="0"/>
            <w:vAlign w:val="top"/>
          </w:tcPr>
          <w:p w14:paraId="336D6FCF">
            <w:pPr>
              <w:rPr>
                <w:rFonts w:eastAsia="仿宋_GB2312"/>
                <w:color w:val="000000"/>
                <w:sz w:val="24"/>
                <w:szCs w:val="24"/>
                <w:highlight w:val="none"/>
              </w:rPr>
            </w:pPr>
          </w:p>
        </w:tc>
        <w:tc>
          <w:tcPr>
            <w:tcW w:w="949" w:type="dxa"/>
            <w:noWrap w:val="0"/>
            <w:vAlign w:val="top"/>
          </w:tcPr>
          <w:p w14:paraId="0B42F2E8">
            <w:pPr>
              <w:rPr>
                <w:rFonts w:eastAsia="仿宋_GB2312"/>
                <w:color w:val="000000"/>
                <w:sz w:val="24"/>
                <w:szCs w:val="24"/>
                <w:highlight w:val="none"/>
              </w:rPr>
            </w:pPr>
          </w:p>
        </w:tc>
        <w:tc>
          <w:tcPr>
            <w:tcW w:w="789" w:type="dxa"/>
            <w:noWrap w:val="0"/>
            <w:vAlign w:val="top"/>
          </w:tcPr>
          <w:p w14:paraId="6EE362BD">
            <w:pPr>
              <w:rPr>
                <w:rFonts w:eastAsia="仿宋_GB2312"/>
                <w:color w:val="000000"/>
                <w:sz w:val="24"/>
                <w:szCs w:val="24"/>
                <w:highlight w:val="none"/>
              </w:rPr>
            </w:pPr>
          </w:p>
        </w:tc>
        <w:tc>
          <w:tcPr>
            <w:tcW w:w="915" w:type="dxa"/>
            <w:noWrap w:val="0"/>
            <w:vAlign w:val="top"/>
          </w:tcPr>
          <w:p w14:paraId="02B35DEC">
            <w:pPr>
              <w:rPr>
                <w:rFonts w:eastAsia="仿宋_GB2312"/>
                <w:color w:val="000000"/>
                <w:sz w:val="24"/>
                <w:szCs w:val="24"/>
                <w:highlight w:val="none"/>
              </w:rPr>
            </w:pPr>
          </w:p>
        </w:tc>
        <w:tc>
          <w:tcPr>
            <w:tcW w:w="1327" w:type="dxa"/>
            <w:noWrap w:val="0"/>
            <w:vAlign w:val="top"/>
          </w:tcPr>
          <w:p w14:paraId="3B6B76FC">
            <w:pPr>
              <w:rPr>
                <w:rFonts w:eastAsia="仿宋_GB2312"/>
                <w:color w:val="000000"/>
                <w:sz w:val="24"/>
                <w:szCs w:val="24"/>
                <w:highlight w:val="none"/>
              </w:rPr>
            </w:pPr>
          </w:p>
        </w:tc>
        <w:tc>
          <w:tcPr>
            <w:tcW w:w="915" w:type="dxa"/>
            <w:noWrap w:val="0"/>
            <w:vAlign w:val="top"/>
          </w:tcPr>
          <w:p w14:paraId="261648DE">
            <w:pPr>
              <w:rPr>
                <w:rFonts w:eastAsia="仿宋_GB2312"/>
                <w:color w:val="000000"/>
                <w:sz w:val="24"/>
                <w:szCs w:val="24"/>
                <w:highlight w:val="none"/>
              </w:rPr>
            </w:pPr>
          </w:p>
        </w:tc>
        <w:tc>
          <w:tcPr>
            <w:tcW w:w="826" w:type="dxa"/>
            <w:noWrap w:val="0"/>
            <w:vAlign w:val="top"/>
          </w:tcPr>
          <w:p w14:paraId="089CC91B">
            <w:pPr>
              <w:rPr>
                <w:rFonts w:eastAsia="仿宋_GB2312"/>
                <w:color w:val="000000"/>
                <w:sz w:val="24"/>
                <w:szCs w:val="24"/>
                <w:highlight w:val="none"/>
              </w:rPr>
            </w:pPr>
          </w:p>
        </w:tc>
      </w:tr>
      <w:tr w14:paraId="48410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2FA723DE">
            <w:pPr>
              <w:rPr>
                <w:rFonts w:eastAsia="仿宋_GB2312"/>
                <w:color w:val="000000"/>
                <w:sz w:val="24"/>
                <w:szCs w:val="24"/>
                <w:highlight w:val="none"/>
              </w:rPr>
            </w:pPr>
          </w:p>
        </w:tc>
        <w:tc>
          <w:tcPr>
            <w:tcW w:w="1452" w:type="dxa"/>
            <w:noWrap w:val="0"/>
            <w:vAlign w:val="top"/>
          </w:tcPr>
          <w:p w14:paraId="3938918E">
            <w:pPr>
              <w:rPr>
                <w:rFonts w:eastAsia="仿宋_GB2312"/>
                <w:color w:val="000000"/>
                <w:sz w:val="24"/>
                <w:szCs w:val="24"/>
                <w:highlight w:val="none"/>
              </w:rPr>
            </w:pPr>
          </w:p>
        </w:tc>
        <w:tc>
          <w:tcPr>
            <w:tcW w:w="762" w:type="dxa"/>
            <w:noWrap w:val="0"/>
            <w:vAlign w:val="top"/>
          </w:tcPr>
          <w:p w14:paraId="196CE249">
            <w:pPr>
              <w:rPr>
                <w:rFonts w:eastAsia="仿宋_GB2312"/>
                <w:color w:val="000000"/>
                <w:sz w:val="24"/>
                <w:szCs w:val="24"/>
                <w:highlight w:val="none"/>
              </w:rPr>
            </w:pPr>
          </w:p>
        </w:tc>
        <w:tc>
          <w:tcPr>
            <w:tcW w:w="949" w:type="dxa"/>
            <w:noWrap w:val="0"/>
            <w:vAlign w:val="top"/>
          </w:tcPr>
          <w:p w14:paraId="41A10E6B">
            <w:pPr>
              <w:rPr>
                <w:rFonts w:eastAsia="仿宋_GB2312"/>
                <w:color w:val="000000"/>
                <w:sz w:val="24"/>
                <w:szCs w:val="24"/>
                <w:highlight w:val="none"/>
              </w:rPr>
            </w:pPr>
          </w:p>
        </w:tc>
        <w:tc>
          <w:tcPr>
            <w:tcW w:w="789" w:type="dxa"/>
            <w:noWrap w:val="0"/>
            <w:vAlign w:val="top"/>
          </w:tcPr>
          <w:p w14:paraId="3607BF63">
            <w:pPr>
              <w:rPr>
                <w:rFonts w:eastAsia="仿宋_GB2312"/>
                <w:color w:val="000000"/>
                <w:sz w:val="24"/>
                <w:szCs w:val="24"/>
                <w:highlight w:val="none"/>
              </w:rPr>
            </w:pPr>
          </w:p>
        </w:tc>
        <w:tc>
          <w:tcPr>
            <w:tcW w:w="915" w:type="dxa"/>
            <w:noWrap w:val="0"/>
            <w:vAlign w:val="top"/>
          </w:tcPr>
          <w:p w14:paraId="63D28038">
            <w:pPr>
              <w:rPr>
                <w:rFonts w:eastAsia="仿宋_GB2312"/>
                <w:color w:val="000000"/>
                <w:sz w:val="24"/>
                <w:szCs w:val="24"/>
                <w:highlight w:val="none"/>
              </w:rPr>
            </w:pPr>
          </w:p>
        </w:tc>
        <w:tc>
          <w:tcPr>
            <w:tcW w:w="1327" w:type="dxa"/>
            <w:noWrap w:val="0"/>
            <w:vAlign w:val="top"/>
          </w:tcPr>
          <w:p w14:paraId="2F4AD8F9">
            <w:pPr>
              <w:rPr>
                <w:rFonts w:eastAsia="仿宋_GB2312"/>
                <w:color w:val="000000"/>
                <w:sz w:val="24"/>
                <w:szCs w:val="24"/>
                <w:highlight w:val="none"/>
              </w:rPr>
            </w:pPr>
          </w:p>
        </w:tc>
        <w:tc>
          <w:tcPr>
            <w:tcW w:w="915" w:type="dxa"/>
            <w:noWrap w:val="0"/>
            <w:vAlign w:val="top"/>
          </w:tcPr>
          <w:p w14:paraId="690A660D">
            <w:pPr>
              <w:rPr>
                <w:rFonts w:eastAsia="仿宋_GB2312"/>
                <w:color w:val="000000"/>
                <w:sz w:val="24"/>
                <w:szCs w:val="24"/>
                <w:highlight w:val="none"/>
              </w:rPr>
            </w:pPr>
          </w:p>
        </w:tc>
        <w:tc>
          <w:tcPr>
            <w:tcW w:w="826" w:type="dxa"/>
            <w:noWrap w:val="0"/>
            <w:vAlign w:val="top"/>
          </w:tcPr>
          <w:p w14:paraId="00BFB59C">
            <w:pPr>
              <w:rPr>
                <w:rFonts w:eastAsia="仿宋_GB2312"/>
                <w:color w:val="000000"/>
                <w:sz w:val="24"/>
                <w:szCs w:val="24"/>
                <w:highlight w:val="none"/>
              </w:rPr>
            </w:pPr>
          </w:p>
        </w:tc>
      </w:tr>
      <w:tr w14:paraId="47266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386D6CFA">
            <w:pPr>
              <w:rPr>
                <w:rFonts w:eastAsia="仿宋_GB2312"/>
                <w:color w:val="000000"/>
                <w:sz w:val="24"/>
                <w:szCs w:val="24"/>
                <w:highlight w:val="none"/>
              </w:rPr>
            </w:pPr>
          </w:p>
        </w:tc>
        <w:tc>
          <w:tcPr>
            <w:tcW w:w="1452" w:type="dxa"/>
            <w:noWrap w:val="0"/>
            <w:vAlign w:val="top"/>
          </w:tcPr>
          <w:p w14:paraId="1390594A">
            <w:pPr>
              <w:rPr>
                <w:rFonts w:eastAsia="仿宋_GB2312"/>
                <w:color w:val="000000"/>
                <w:sz w:val="24"/>
                <w:szCs w:val="24"/>
                <w:highlight w:val="none"/>
              </w:rPr>
            </w:pPr>
          </w:p>
        </w:tc>
        <w:tc>
          <w:tcPr>
            <w:tcW w:w="762" w:type="dxa"/>
            <w:noWrap w:val="0"/>
            <w:vAlign w:val="top"/>
          </w:tcPr>
          <w:p w14:paraId="4343321F">
            <w:pPr>
              <w:rPr>
                <w:rFonts w:eastAsia="仿宋_GB2312"/>
                <w:color w:val="000000"/>
                <w:sz w:val="24"/>
                <w:szCs w:val="24"/>
                <w:highlight w:val="none"/>
              </w:rPr>
            </w:pPr>
          </w:p>
        </w:tc>
        <w:tc>
          <w:tcPr>
            <w:tcW w:w="949" w:type="dxa"/>
            <w:noWrap w:val="0"/>
            <w:vAlign w:val="top"/>
          </w:tcPr>
          <w:p w14:paraId="57D7F775">
            <w:pPr>
              <w:rPr>
                <w:rFonts w:eastAsia="仿宋_GB2312"/>
                <w:color w:val="000000"/>
                <w:sz w:val="24"/>
                <w:szCs w:val="24"/>
                <w:highlight w:val="none"/>
              </w:rPr>
            </w:pPr>
          </w:p>
        </w:tc>
        <w:tc>
          <w:tcPr>
            <w:tcW w:w="789" w:type="dxa"/>
            <w:noWrap w:val="0"/>
            <w:vAlign w:val="top"/>
          </w:tcPr>
          <w:p w14:paraId="5AB525BC">
            <w:pPr>
              <w:rPr>
                <w:rFonts w:eastAsia="仿宋_GB2312"/>
                <w:color w:val="000000"/>
                <w:sz w:val="24"/>
                <w:szCs w:val="24"/>
                <w:highlight w:val="none"/>
              </w:rPr>
            </w:pPr>
          </w:p>
        </w:tc>
        <w:tc>
          <w:tcPr>
            <w:tcW w:w="915" w:type="dxa"/>
            <w:noWrap w:val="0"/>
            <w:vAlign w:val="top"/>
          </w:tcPr>
          <w:p w14:paraId="51D2FEE1">
            <w:pPr>
              <w:rPr>
                <w:rFonts w:eastAsia="仿宋_GB2312"/>
                <w:color w:val="000000"/>
                <w:sz w:val="24"/>
                <w:szCs w:val="24"/>
                <w:highlight w:val="none"/>
              </w:rPr>
            </w:pPr>
          </w:p>
        </w:tc>
        <w:tc>
          <w:tcPr>
            <w:tcW w:w="1327" w:type="dxa"/>
            <w:noWrap w:val="0"/>
            <w:vAlign w:val="top"/>
          </w:tcPr>
          <w:p w14:paraId="54C9F44B">
            <w:pPr>
              <w:rPr>
                <w:rFonts w:eastAsia="仿宋_GB2312"/>
                <w:color w:val="000000"/>
                <w:sz w:val="24"/>
                <w:szCs w:val="24"/>
                <w:highlight w:val="none"/>
              </w:rPr>
            </w:pPr>
          </w:p>
        </w:tc>
        <w:tc>
          <w:tcPr>
            <w:tcW w:w="915" w:type="dxa"/>
            <w:noWrap w:val="0"/>
            <w:vAlign w:val="top"/>
          </w:tcPr>
          <w:p w14:paraId="31A7773F">
            <w:pPr>
              <w:rPr>
                <w:rFonts w:eastAsia="仿宋_GB2312"/>
                <w:color w:val="000000"/>
                <w:sz w:val="24"/>
                <w:szCs w:val="24"/>
                <w:highlight w:val="none"/>
              </w:rPr>
            </w:pPr>
          </w:p>
        </w:tc>
        <w:tc>
          <w:tcPr>
            <w:tcW w:w="826" w:type="dxa"/>
            <w:noWrap w:val="0"/>
            <w:vAlign w:val="top"/>
          </w:tcPr>
          <w:p w14:paraId="7423D9AE">
            <w:pPr>
              <w:rPr>
                <w:rFonts w:eastAsia="仿宋_GB2312"/>
                <w:color w:val="000000"/>
                <w:sz w:val="24"/>
                <w:szCs w:val="24"/>
                <w:highlight w:val="none"/>
              </w:rPr>
            </w:pPr>
          </w:p>
        </w:tc>
      </w:tr>
      <w:tr w14:paraId="6E3BC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6AC613D">
            <w:pPr>
              <w:rPr>
                <w:rFonts w:eastAsia="仿宋_GB2312"/>
                <w:color w:val="000000"/>
                <w:sz w:val="24"/>
                <w:szCs w:val="24"/>
                <w:highlight w:val="none"/>
              </w:rPr>
            </w:pPr>
          </w:p>
        </w:tc>
        <w:tc>
          <w:tcPr>
            <w:tcW w:w="1452" w:type="dxa"/>
            <w:noWrap w:val="0"/>
            <w:vAlign w:val="top"/>
          </w:tcPr>
          <w:p w14:paraId="1B9B4C4C">
            <w:pPr>
              <w:rPr>
                <w:rFonts w:eastAsia="仿宋_GB2312"/>
                <w:color w:val="000000"/>
                <w:sz w:val="24"/>
                <w:szCs w:val="24"/>
                <w:highlight w:val="none"/>
              </w:rPr>
            </w:pPr>
          </w:p>
        </w:tc>
        <w:tc>
          <w:tcPr>
            <w:tcW w:w="762" w:type="dxa"/>
            <w:noWrap w:val="0"/>
            <w:vAlign w:val="top"/>
          </w:tcPr>
          <w:p w14:paraId="6941D8E1">
            <w:pPr>
              <w:rPr>
                <w:rFonts w:eastAsia="仿宋_GB2312"/>
                <w:color w:val="000000"/>
                <w:sz w:val="24"/>
                <w:szCs w:val="24"/>
                <w:highlight w:val="none"/>
              </w:rPr>
            </w:pPr>
          </w:p>
        </w:tc>
        <w:tc>
          <w:tcPr>
            <w:tcW w:w="949" w:type="dxa"/>
            <w:noWrap w:val="0"/>
            <w:vAlign w:val="top"/>
          </w:tcPr>
          <w:p w14:paraId="58A41DF8">
            <w:pPr>
              <w:rPr>
                <w:rFonts w:eastAsia="仿宋_GB2312"/>
                <w:color w:val="000000"/>
                <w:sz w:val="24"/>
                <w:szCs w:val="24"/>
                <w:highlight w:val="none"/>
              </w:rPr>
            </w:pPr>
          </w:p>
        </w:tc>
        <w:tc>
          <w:tcPr>
            <w:tcW w:w="789" w:type="dxa"/>
            <w:noWrap w:val="0"/>
            <w:vAlign w:val="top"/>
          </w:tcPr>
          <w:p w14:paraId="71297843">
            <w:pPr>
              <w:rPr>
                <w:rFonts w:eastAsia="仿宋_GB2312"/>
                <w:color w:val="000000"/>
                <w:sz w:val="24"/>
                <w:szCs w:val="24"/>
                <w:highlight w:val="none"/>
              </w:rPr>
            </w:pPr>
          </w:p>
        </w:tc>
        <w:tc>
          <w:tcPr>
            <w:tcW w:w="915" w:type="dxa"/>
            <w:noWrap w:val="0"/>
            <w:vAlign w:val="top"/>
          </w:tcPr>
          <w:p w14:paraId="72F21F39">
            <w:pPr>
              <w:rPr>
                <w:rFonts w:eastAsia="仿宋_GB2312"/>
                <w:color w:val="000000"/>
                <w:sz w:val="24"/>
                <w:szCs w:val="24"/>
                <w:highlight w:val="none"/>
              </w:rPr>
            </w:pPr>
          </w:p>
        </w:tc>
        <w:tc>
          <w:tcPr>
            <w:tcW w:w="1327" w:type="dxa"/>
            <w:noWrap w:val="0"/>
            <w:vAlign w:val="top"/>
          </w:tcPr>
          <w:p w14:paraId="1B703A32">
            <w:pPr>
              <w:rPr>
                <w:rFonts w:eastAsia="仿宋_GB2312"/>
                <w:color w:val="000000"/>
                <w:sz w:val="24"/>
                <w:szCs w:val="24"/>
                <w:highlight w:val="none"/>
              </w:rPr>
            </w:pPr>
          </w:p>
        </w:tc>
        <w:tc>
          <w:tcPr>
            <w:tcW w:w="915" w:type="dxa"/>
            <w:noWrap w:val="0"/>
            <w:vAlign w:val="top"/>
          </w:tcPr>
          <w:p w14:paraId="0AED1DC6">
            <w:pPr>
              <w:rPr>
                <w:rFonts w:eastAsia="仿宋_GB2312"/>
                <w:color w:val="000000"/>
                <w:sz w:val="24"/>
                <w:szCs w:val="24"/>
                <w:highlight w:val="none"/>
              </w:rPr>
            </w:pPr>
          </w:p>
        </w:tc>
        <w:tc>
          <w:tcPr>
            <w:tcW w:w="826" w:type="dxa"/>
            <w:noWrap w:val="0"/>
            <w:vAlign w:val="top"/>
          </w:tcPr>
          <w:p w14:paraId="5D265014">
            <w:pPr>
              <w:rPr>
                <w:rFonts w:eastAsia="仿宋_GB2312"/>
                <w:color w:val="000000"/>
                <w:sz w:val="24"/>
                <w:szCs w:val="24"/>
                <w:highlight w:val="none"/>
              </w:rPr>
            </w:pPr>
          </w:p>
        </w:tc>
      </w:tr>
      <w:tr w14:paraId="1933D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862" w:type="dxa"/>
            <w:noWrap w:val="0"/>
            <w:vAlign w:val="top"/>
          </w:tcPr>
          <w:p w14:paraId="76FD4BD9">
            <w:pPr>
              <w:rPr>
                <w:rFonts w:eastAsia="仿宋_GB2312"/>
                <w:color w:val="000000"/>
                <w:sz w:val="24"/>
                <w:szCs w:val="24"/>
                <w:highlight w:val="none"/>
              </w:rPr>
            </w:pPr>
          </w:p>
        </w:tc>
        <w:tc>
          <w:tcPr>
            <w:tcW w:w="1452" w:type="dxa"/>
            <w:noWrap w:val="0"/>
            <w:vAlign w:val="top"/>
          </w:tcPr>
          <w:p w14:paraId="370166F5">
            <w:pPr>
              <w:rPr>
                <w:rFonts w:eastAsia="仿宋_GB2312"/>
                <w:color w:val="000000"/>
                <w:sz w:val="24"/>
                <w:szCs w:val="24"/>
                <w:highlight w:val="none"/>
              </w:rPr>
            </w:pPr>
          </w:p>
        </w:tc>
        <w:tc>
          <w:tcPr>
            <w:tcW w:w="762" w:type="dxa"/>
            <w:noWrap w:val="0"/>
            <w:vAlign w:val="top"/>
          </w:tcPr>
          <w:p w14:paraId="2431E193">
            <w:pPr>
              <w:rPr>
                <w:rFonts w:eastAsia="仿宋_GB2312"/>
                <w:color w:val="000000"/>
                <w:sz w:val="24"/>
                <w:szCs w:val="24"/>
                <w:highlight w:val="none"/>
              </w:rPr>
            </w:pPr>
          </w:p>
        </w:tc>
        <w:tc>
          <w:tcPr>
            <w:tcW w:w="949" w:type="dxa"/>
            <w:noWrap w:val="0"/>
            <w:vAlign w:val="top"/>
          </w:tcPr>
          <w:p w14:paraId="27C01238">
            <w:pPr>
              <w:rPr>
                <w:rFonts w:eastAsia="仿宋_GB2312"/>
                <w:color w:val="000000"/>
                <w:sz w:val="24"/>
                <w:szCs w:val="24"/>
                <w:highlight w:val="none"/>
              </w:rPr>
            </w:pPr>
          </w:p>
        </w:tc>
        <w:tc>
          <w:tcPr>
            <w:tcW w:w="789" w:type="dxa"/>
            <w:noWrap w:val="0"/>
            <w:vAlign w:val="top"/>
          </w:tcPr>
          <w:p w14:paraId="1C567A4E">
            <w:pPr>
              <w:rPr>
                <w:rFonts w:eastAsia="仿宋_GB2312"/>
                <w:color w:val="000000"/>
                <w:sz w:val="24"/>
                <w:szCs w:val="24"/>
                <w:highlight w:val="none"/>
              </w:rPr>
            </w:pPr>
          </w:p>
        </w:tc>
        <w:tc>
          <w:tcPr>
            <w:tcW w:w="915" w:type="dxa"/>
            <w:noWrap w:val="0"/>
            <w:vAlign w:val="top"/>
          </w:tcPr>
          <w:p w14:paraId="247D0C94">
            <w:pPr>
              <w:rPr>
                <w:rFonts w:eastAsia="仿宋_GB2312"/>
                <w:color w:val="000000"/>
                <w:sz w:val="24"/>
                <w:szCs w:val="24"/>
                <w:highlight w:val="none"/>
              </w:rPr>
            </w:pPr>
          </w:p>
        </w:tc>
        <w:tc>
          <w:tcPr>
            <w:tcW w:w="1327" w:type="dxa"/>
            <w:noWrap w:val="0"/>
            <w:vAlign w:val="top"/>
          </w:tcPr>
          <w:p w14:paraId="4AF23C78">
            <w:pPr>
              <w:rPr>
                <w:rFonts w:eastAsia="仿宋_GB2312"/>
                <w:color w:val="000000"/>
                <w:sz w:val="24"/>
                <w:szCs w:val="24"/>
                <w:highlight w:val="none"/>
              </w:rPr>
            </w:pPr>
          </w:p>
        </w:tc>
        <w:tc>
          <w:tcPr>
            <w:tcW w:w="915" w:type="dxa"/>
            <w:noWrap w:val="0"/>
            <w:vAlign w:val="top"/>
          </w:tcPr>
          <w:p w14:paraId="66104AA0">
            <w:pPr>
              <w:rPr>
                <w:rFonts w:eastAsia="仿宋_GB2312"/>
                <w:color w:val="000000"/>
                <w:sz w:val="24"/>
                <w:szCs w:val="24"/>
                <w:highlight w:val="none"/>
              </w:rPr>
            </w:pPr>
          </w:p>
        </w:tc>
        <w:tc>
          <w:tcPr>
            <w:tcW w:w="826" w:type="dxa"/>
            <w:noWrap w:val="0"/>
            <w:vAlign w:val="top"/>
          </w:tcPr>
          <w:p w14:paraId="516640EC">
            <w:pPr>
              <w:rPr>
                <w:rFonts w:eastAsia="仿宋_GB2312"/>
                <w:color w:val="000000"/>
                <w:sz w:val="24"/>
                <w:szCs w:val="24"/>
                <w:highlight w:val="none"/>
              </w:rPr>
            </w:pPr>
          </w:p>
        </w:tc>
      </w:tr>
    </w:tbl>
    <w:p w14:paraId="6E1828C2">
      <w:pPr>
        <w:spacing w:line="440" w:lineRule="exact"/>
        <w:rPr>
          <w:rFonts w:ascii="Times New Roman" w:hAnsi="Times New Roman" w:eastAsia="仿宋_GB2312"/>
          <w:color w:val="000000"/>
          <w:sz w:val="24"/>
          <w:szCs w:val="24"/>
          <w:highlight w:val="none"/>
        </w:rPr>
      </w:pPr>
    </w:p>
    <w:p w14:paraId="5860201C">
      <w:pPr>
        <w:pStyle w:val="2"/>
        <w:rPr>
          <w:rFonts w:ascii="Times New Roman" w:hAnsi="Times New Roman" w:eastAsia="仿宋_GB2312"/>
          <w:color w:val="000000"/>
          <w:sz w:val="24"/>
          <w:szCs w:val="24"/>
          <w:highlight w:val="none"/>
        </w:rPr>
      </w:pPr>
    </w:p>
    <w:p w14:paraId="20A318AF">
      <w:pPr>
        <w:rPr>
          <w:rFonts w:ascii="Times New Roman" w:hAnsi="Times New Roman" w:eastAsia="仿宋_GB2312"/>
          <w:color w:val="000000"/>
          <w:sz w:val="24"/>
          <w:szCs w:val="24"/>
          <w:highlight w:val="none"/>
        </w:rPr>
      </w:pPr>
    </w:p>
    <w:p w14:paraId="429621BC">
      <w:pPr>
        <w:pStyle w:val="2"/>
      </w:pPr>
    </w:p>
    <w:p w14:paraId="01DD3D8B">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85" w:name="_Toc296347227"/>
      <w:bookmarkStart w:id="786" w:name="_Toc296944567"/>
      <w:bookmarkStart w:id="787" w:name="_Toc296891056"/>
      <w:bookmarkStart w:id="788" w:name="_Toc296503228"/>
      <w:bookmarkStart w:id="789" w:name="_Toc296891268"/>
      <w:bookmarkStart w:id="790" w:name="_Toc296346729"/>
      <w:bookmarkStart w:id="791" w:name="_Toc267261699"/>
      <w:r>
        <w:rPr>
          <w:rFonts w:ascii="Times New Roman" w:hAnsi="Times New Roman" w:eastAsia="仿宋_GB2312"/>
          <w:color w:val="000000"/>
          <w:sz w:val="24"/>
          <w:szCs w:val="24"/>
          <w:highlight w:val="none"/>
        </w:rPr>
        <w:t>件6：</w:t>
      </w:r>
    </w:p>
    <w:bookmarkEnd w:id="785"/>
    <w:bookmarkEnd w:id="786"/>
    <w:bookmarkEnd w:id="787"/>
    <w:bookmarkEnd w:id="788"/>
    <w:bookmarkEnd w:id="789"/>
    <w:bookmarkEnd w:id="790"/>
    <w:bookmarkEnd w:id="791"/>
    <w:p w14:paraId="668CBC13">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承包人主要施工管理人员表</w:t>
      </w:r>
    </w:p>
    <w:tbl>
      <w:tblPr>
        <w:tblStyle w:val="26"/>
        <w:tblW w:w="8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12"/>
        <w:gridCol w:w="1298"/>
        <w:gridCol w:w="1038"/>
        <w:gridCol w:w="1038"/>
        <w:gridCol w:w="3892"/>
      </w:tblGrid>
      <w:tr w14:paraId="2CB83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1712" w:type="dxa"/>
            <w:tcBorders>
              <w:top w:val="single" w:color="auto" w:sz="12" w:space="0"/>
              <w:bottom w:val="double" w:color="auto" w:sz="6" w:space="0"/>
            </w:tcBorders>
            <w:noWrap w:val="0"/>
            <w:vAlign w:val="center"/>
          </w:tcPr>
          <w:p w14:paraId="2A7A097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    称</w:t>
            </w:r>
          </w:p>
        </w:tc>
        <w:tc>
          <w:tcPr>
            <w:tcW w:w="1298" w:type="dxa"/>
            <w:tcBorders>
              <w:top w:val="single" w:color="auto" w:sz="12" w:space="0"/>
              <w:bottom w:val="double" w:color="auto" w:sz="6" w:space="0"/>
            </w:tcBorders>
            <w:noWrap w:val="0"/>
            <w:vAlign w:val="center"/>
          </w:tcPr>
          <w:p w14:paraId="246EFF8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姓名</w:t>
            </w:r>
          </w:p>
        </w:tc>
        <w:tc>
          <w:tcPr>
            <w:tcW w:w="1038" w:type="dxa"/>
            <w:tcBorders>
              <w:top w:val="single" w:color="auto" w:sz="12" w:space="0"/>
              <w:bottom w:val="double" w:color="auto" w:sz="6" w:space="0"/>
            </w:tcBorders>
            <w:noWrap w:val="0"/>
            <w:vAlign w:val="center"/>
          </w:tcPr>
          <w:p w14:paraId="4310FD0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职务</w:t>
            </w:r>
          </w:p>
        </w:tc>
        <w:tc>
          <w:tcPr>
            <w:tcW w:w="1038" w:type="dxa"/>
            <w:tcBorders>
              <w:top w:val="single" w:color="auto" w:sz="12" w:space="0"/>
              <w:bottom w:val="double" w:color="auto" w:sz="6" w:space="0"/>
            </w:tcBorders>
            <w:noWrap w:val="0"/>
            <w:vAlign w:val="center"/>
          </w:tcPr>
          <w:p w14:paraId="39910E6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职称</w:t>
            </w:r>
          </w:p>
        </w:tc>
        <w:tc>
          <w:tcPr>
            <w:tcW w:w="3892" w:type="dxa"/>
            <w:tcBorders>
              <w:top w:val="single" w:color="auto" w:sz="12" w:space="0"/>
              <w:bottom w:val="double" w:color="auto" w:sz="6" w:space="0"/>
            </w:tcBorders>
            <w:noWrap w:val="0"/>
            <w:vAlign w:val="center"/>
          </w:tcPr>
          <w:p w14:paraId="0DFD138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主要资历、经验及承担过的项目</w:t>
            </w:r>
          </w:p>
        </w:tc>
      </w:tr>
      <w:tr w14:paraId="37F60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jc w:val="center"/>
        </w:trPr>
        <w:tc>
          <w:tcPr>
            <w:tcW w:w="8978" w:type="dxa"/>
            <w:gridSpan w:val="5"/>
            <w:tcBorders>
              <w:top w:val="double" w:color="auto" w:sz="6" w:space="0"/>
              <w:bottom w:val="single" w:color="auto" w:sz="6" w:space="0"/>
            </w:tcBorders>
            <w:noWrap w:val="0"/>
            <w:vAlign w:val="center"/>
          </w:tcPr>
          <w:p w14:paraId="0833E9A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一、总部人员</w:t>
            </w:r>
          </w:p>
        </w:tc>
      </w:tr>
      <w:tr w14:paraId="1CFA4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0159CA1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项目主管</w:t>
            </w:r>
          </w:p>
        </w:tc>
        <w:tc>
          <w:tcPr>
            <w:tcW w:w="1298" w:type="dxa"/>
            <w:tcBorders>
              <w:top w:val="nil"/>
            </w:tcBorders>
            <w:noWrap w:val="0"/>
            <w:vAlign w:val="center"/>
          </w:tcPr>
          <w:p w14:paraId="5215361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tcBorders>
              <w:top w:val="nil"/>
            </w:tcBorders>
            <w:noWrap w:val="0"/>
            <w:vAlign w:val="center"/>
          </w:tcPr>
          <w:p w14:paraId="34424B2F">
            <w:pPr>
              <w:pStyle w:val="5"/>
              <w:keepNext/>
              <w:spacing w:after="0" w:afterLines="0" w:line="440" w:lineRule="exact"/>
              <w:ind w:left="102" w:leftChars="30" w:right="102" w:rightChars="30"/>
              <w:rPr>
                <w:rFonts w:eastAsia="仿宋_GB2312"/>
                <w:color w:val="000000"/>
                <w:kern w:val="2"/>
                <w:sz w:val="24"/>
                <w:szCs w:val="24"/>
                <w:highlight w:val="none"/>
                <w:lang w:val="en-US" w:eastAsia="zh-CN"/>
              </w:rPr>
            </w:pPr>
          </w:p>
        </w:tc>
        <w:tc>
          <w:tcPr>
            <w:tcW w:w="1038" w:type="dxa"/>
            <w:tcBorders>
              <w:top w:val="nil"/>
            </w:tcBorders>
            <w:noWrap w:val="0"/>
            <w:vAlign w:val="center"/>
          </w:tcPr>
          <w:p w14:paraId="58C4AFDF">
            <w:pPr>
              <w:pStyle w:val="5"/>
              <w:keepNext/>
              <w:spacing w:after="0" w:afterLines="0" w:line="440" w:lineRule="exact"/>
              <w:ind w:left="102" w:leftChars="30" w:right="102" w:rightChars="30"/>
              <w:rPr>
                <w:rFonts w:eastAsia="仿宋_GB2312"/>
                <w:color w:val="000000"/>
                <w:kern w:val="2"/>
                <w:sz w:val="24"/>
                <w:szCs w:val="24"/>
                <w:highlight w:val="none"/>
                <w:lang w:val="en-US" w:eastAsia="zh-CN"/>
              </w:rPr>
            </w:pPr>
          </w:p>
        </w:tc>
        <w:tc>
          <w:tcPr>
            <w:tcW w:w="3892" w:type="dxa"/>
            <w:tcBorders>
              <w:top w:val="nil"/>
            </w:tcBorders>
            <w:noWrap w:val="0"/>
            <w:vAlign w:val="center"/>
          </w:tcPr>
          <w:p w14:paraId="28559CB7">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A9D7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nil"/>
            </w:tcBorders>
            <w:noWrap w:val="0"/>
            <w:vAlign w:val="center"/>
          </w:tcPr>
          <w:p w14:paraId="7ACF9CF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774B091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98A282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27B3B8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3A55693F">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385D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3E275AB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98" w:type="dxa"/>
            <w:noWrap w:val="0"/>
            <w:vAlign w:val="center"/>
          </w:tcPr>
          <w:p w14:paraId="0DE9D0F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4887E94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06A83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17A6861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9969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3F41DA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56B3B67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59AF958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795E12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36676B1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BEAB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8978" w:type="dxa"/>
            <w:gridSpan w:val="5"/>
            <w:tcBorders>
              <w:top w:val="single" w:color="auto" w:sz="6" w:space="0"/>
              <w:bottom w:val="single" w:color="auto" w:sz="6" w:space="0"/>
            </w:tcBorders>
            <w:noWrap w:val="0"/>
            <w:vAlign w:val="center"/>
          </w:tcPr>
          <w:p w14:paraId="406DB276">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二、现场人员</w:t>
            </w:r>
          </w:p>
        </w:tc>
      </w:tr>
      <w:tr w14:paraId="5F0B5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44FBCFBB">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项目经理</w:t>
            </w:r>
          </w:p>
        </w:tc>
        <w:tc>
          <w:tcPr>
            <w:tcW w:w="1298" w:type="dxa"/>
            <w:noWrap w:val="0"/>
            <w:vAlign w:val="center"/>
          </w:tcPr>
          <w:p w14:paraId="5390A29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AE1A62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FDECFA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2F87EC2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DD21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EFF6C07">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项目副经理</w:t>
            </w:r>
          </w:p>
        </w:tc>
        <w:tc>
          <w:tcPr>
            <w:tcW w:w="1298" w:type="dxa"/>
            <w:noWrap w:val="0"/>
            <w:vAlign w:val="center"/>
          </w:tcPr>
          <w:p w14:paraId="114A036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657EFCE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319449A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428796D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B894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331521B">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技术负责人</w:t>
            </w:r>
          </w:p>
        </w:tc>
        <w:tc>
          <w:tcPr>
            <w:tcW w:w="1298" w:type="dxa"/>
            <w:noWrap w:val="0"/>
            <w:vAlign w:val="center"/>
          </w:tcPr>
          <w:p w14:paraId="41204843">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1038" w:type="dxa"/>
            <w:noWrap w:val="0"/>
            <w:vAlign w:val="center"/>
          </w:tcPr>
          <w:p w14:paraId="3868522E">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1038" w:type="dxa"/>
            <w:noWrap w:val="0"/>
            <w:vAlign w:val="center"/>
          </w:tcPr>
          <w:p w14:paraId="01AB8BAD">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3892" w:type="dxa"/>
            <w:noWrap w:val="0"/>
            <w:vAlign w:val="center"/>
          </w:tcPr>
          <w:p w14:paraId="2711650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36E9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3E0EF4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造价管理</w:t>
            </w:r>
          </w:p>
        </w:tc>
        <w:tc>
          <w:tcPr>
            <w:tcW w:w="1298" w:type="dxa"/>
            <w:noWrap w:val="0"/>
            <w:vAlign w:val="center"/>
          </w:tcPr>
          <w:p w14:paraId="08E9D217">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74EE4C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F10D3CA">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499B0F66">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1F13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4342060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质量管理</w:t>
            </w:r>
          </w:p>
        </w:tc>
        <w:tc>
          <w:tcPr>
            <w:tcW w:w="1298" w:type="dxa"/>
            <w:noWrap w:val="0"/>
            <w:vAlign w:val="center"/>
          </w:tcPr>
          <w:p w14:paraId="774B9BE5">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41ACA241">
            <w:pPr>
              <w:pStyle w:val="5"/>
              <w:keepNext/>
              <w:spacing w:after="0" w:line="440" w:lineRule="exact"/>
              <w:ind w:left="102" w:leftChars="30" w:right="102" w:rightChars="3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0FD1A0F">
            <w:pPr>
              <w:pStyle w:val="5"/>
              <w:keepNext/>
              <w:spacing w:after="0" w:line="440" w:lineRule="exact"/>
              <w:ind w:left="102" w:leftChars="30" w:right="102" w:rightChars="3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0774524F">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9DC2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310B4A6C">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材料管理</w:t>
            </w:r>
          </w:p>
        </w:tc>
        <w:tc>
          <w:tcPr>
            <w:tcW w:w="1298" w:type="dxa"/>
            <w:noWrap w:val="0"/>
            <w:vAlign w:val="center"/>
          </w:tcPr>
          <w:p w14:paraId="6429A193">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44A3A7FE">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B68496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0071331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F59F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B17BEA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计划管理</w:t>
            </w:r>
          </w:p>
        </w:tc>
        <w:tc>
          <w:tcPr>
            <w:tcW w:w="1298" w:type="dxa"/>
            <w:noWrap w:val="0"/>
            <w:vAlign w:val="center"/>
          </w:tcPr>
          <w:p w14:paraId="72F20ECD">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714B2E77">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FCA022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58AAF82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55FF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10B93F5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安全管理</w:t>
            </w:r>
          </w:p>
        </w:tc>
        <w:tc>
          <w:tcPr>
            <w:tcW w:w="1298" w:type="dxa"/>
            <w:noWrap w:val="0"/>
            <w:vAlign w:val="center"/>
          </w:tcPr>
          <w:p w14:paraId="753015EC">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5355A1D0">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7BE43A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10C6480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98EE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712" w:type="dxa"/>
            <w:vMerge w:val="restart"/>
            <w:tcBorders>
              <w:top w:val="single" w:color="auto" w:sz="6" w:space="0"/>
            </w:tcBorders>
            <w:noWrap w:val="0"/>
            <w:vAlign w:val="center"/>
          </w:tcPr>
          <w:p w14:paraId="62BEF6C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98" w:type="dxa"/>
            <w:noWrap w:val="0"/>
            <w:vAlign w:val="center"/>
          </w:tcPr>
          <w:p w14:paraId="56C5D651">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27D73962">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6DF29F0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44A5C0E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C10E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1712" w:type="dxa"/>
            <w:vMerge w:val="continue"/>
            <w:noWrap w:val="0"/>
            <w:vAlign w:val="center"/>
          </w:tcPr>
          <w:p w14:paraId="64AEB1D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tcBorders>
              <w:bottom w:val="nil"/>
            </w:tcBorders>
            <w:noWrap w:val="0"/>
            <w:vAlign w:val="center"/>
          </w:tcPr>
          <w:p w14:paraId="47CFA12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tcBorders>
              <w:bottom w:val="nil"/>
            </w:tcBorders>
            <w:noWrap w:val="0"/>
            <w:vAlign w:val="center"/>
          </w:tcPr>
          <w:p w14:paraId="1D86F250">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tcBorders>
              <w:bottom w:val="nil"/>
            </w:tcBorders>
            <w:noWrap w:val="0"/>
            <w:vAlign w:val="center"/>
          </w:tcPr>
          <w:p w14:paraId="5F5F7559">
            <w:pPr>
              <w:pStyle w:val="5"/>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tcBorders>
              <w:bottom w:val="nil"/>
            </w:tcBorders>
            <w:noWrap w:val="0"/>
            <w:vAlign w:val="center"/>
          </w:tcPr>
          <w:p w14:paraId="34F8CCE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CBB4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vMerge w:val="continue"/>
            <w:noWrap w:val="0"/>
            <w:vAlign w:val="center"/>
          </w:tcPr>
          <w:p w14:paraId="47406DE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390047D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1C299C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31E7FF2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2A9141A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87AD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vMerge w:val="continue"/>
            <w:noWrap w:val="0"/>
            <w:vAlign w:val="center"/>
          </w:tcPr>
          <w:p w14:paraId="02B72F7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0CCCAE4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54BD37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79660A4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7E84719A">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E831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jc w:val="center"/>
        </w:trPr>
        <w:tc>
          <w:tcPr>
            <w:tcW w:w="1712" w:type="dxa"/>
            <w:vMerge w:val="continue"/>
            <w:noWrap w:val="0"/>
            <w:vAlign w:val="center"/>
          </w:tcPr>
          <w:p w14:paraId="19F7ED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0C4D435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C20F69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52AC274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699FADD7">
            <w:pPr>
              <w:pStyle w:val="5"/>
              <w:keepNext/>
              <w:spacing w:after="0" w:afterLines="0" w:line="440" w:lineRule="exact"/>
              <w:ind w:left="63" w:right="63"/>
              <w:rPr>
                <w:rFonts w:eastAsia="仿宋_GB2312"/>
                <w:color w:val="000000"/>
                <w:kern w:val="2"/>
                <w:sz w:val="24"/>
                <w:szCs w:val="24"/>
                <w:highlight w:val="none"/>
                <w:lang w:val="en-US" w:eastAsia="zh-CN"/>
              </w:rPr>
            </w:pPr>
          </w:p>
        </w:tc>
      </w:tr>
    </w:tbl>
    <w:p w14:paraId="106CDADF">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w:t>
      </w:r>
      <w:bookmarkStart w:id="792" w:name="_Toc296503229"/>
      <w:bookmarkStart w:id="793" w:name="_Toc296891057"/>
      <w:bookmarkStart w:id="794" w:name="_Toc296891269"/>
      <w:bookmarkStart w:id="795" w:name="_Toc296347228"/>
      <w:bookmarkStart w:id="796" w:name="_Toc296944568"/>
      <w:bookmarkStart w:id="797" w:name="_Toc296346730"/>
      <w:r>
        <w:rPr>
          <w:rFonts w:ascii="Times New Roman" w:hAnsi="Times New Roman" w:eastAsia="仿宋_GB2312"/>
          <w:color w:val="000000"/>
          <w:sz w:val="24"/>
          <w:szCs w:val="24"/>
          <w:highlight w:val="none"/>
        </w:rPr>
        <w:t>件7：</w:t>
      </w:r>
    </w:p>
    <w:bookmarkEnd w:id="792"/>
    <w:bookmarkEnd w:id="793"/>
    <w:bookmarkEnd w:id="794"/>
    <w:bookmarkEnd w:id="795"/>
    <w:bookmarkEnd w:id="796"/>
    <w:bookmarkEnd w:id="797"/>
    <w:p w14:paraId="3ED7F24C">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分包人主要施工管理人员表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0"/>
        <w:gridCol w:w="1243"/>
        <w:gridCol w:w="993"/>
        <w:gridCol w:w="993"/>
        <w:gridCol w:w="3729"/>
      </w:tblGrid>
      <w:tr w14:paraId="54242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1640" w:type="dxa"/>
            <w:tcBorders>
              <w:top w:val="single" w:color="auto" w:sz="12" w:space="0"/>
              <w:bottom w:val="double" w:color="auto" w:sz="6" w:space="0"/>
            </w:tcBorders>
            <w:noWrap w:val="0"/>
            <w:vAlign w:val="center"/>
          </w:tcPr>
          <w:p w14:paraId="63D7AF4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    称</w:t>
            </w:r>
          </w:p>
        </w:tc>
        <w:tc>
          <w:tcPr>
            <w:tcW w:w="1243" w:type="dxa"/>
            <w:tcBorders>
              <w:top w:val="single" w:color="auto" w:sz="12" w:space="0"/>
              <w:bottom w:val="double" w:color="auto" w:sz="6" w:space="0"/>
            </w:tcBorders>
            <w:noWrap w:val="0"/>
            <w:vAlign w:val="center"/>
          </w:tcPr>
          <w:p w14:paraId="29D0794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姓名</w:t>
            </w:r>
          </w:p>
        </w:tc>
        <w:tc>
          <w:tcPr>
            <w:tcW w:w="993" w:type="dxa"/>
            <w:tcBorders>
              <w:top w:val="single" w:color="auto" w:sz="12" w:space="0"/>
              <w:bottom w:val="double" w:color="auto" w:sz="6" w:space="0"/>
            </w:tcBorders>
            <w:noWrap w:val="0"/>
            <w:vAlign w:val="center"/>
          </w:tcPr>
          <w:p w14:paraId="1D5F399A">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职务</w:t>
            </w:r>
          </w:p>
        </w:tc>
        <w:tc>
          <w:tcPr>
            <w:tcW w:w="993" w:type="dxa"/>
            <w:tcBorders>
              <w:top w:val="single" w:color="auto" w:sz="12" w:space="0"/>
              <w:bottom w:val="double" w:color="auto" w:sz="6" w:space="0"/>
            </w:tcBorders>
            <w:noWrap w:val="0"/>
            <w:vAlign w:val="center"/>
          </w:tcPr>
          <w:p w14:paraId="25728ADC">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职称</w:t>
            </w:r>
          </w:p>
        </w:tc>
        <w:tc>
          <w:tcPr>
            <w:tcW w:w="3729" w:type="dxa"/>
            <w:tcBorders>
              <w:top w:val="single" w:color="auto" w:sz="12" w:space="0"/>
              <w:bottom w:val="double" w:color="auto" w:sz="6" w:space="0"/>
            </w:tcBorders>
            <w:noWrap w:val="0"/>
            <w:vAlign w:val="center"/>
          </w:tcPr>
          <w:p w14:paraId="4B2F8F0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主要资历、经验及承担过的项目</w:t>
            </w:r>
          </w:p>
        </w:tc>
      </w:tr>
      <w:tr w14:paraId="34D8C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8598" w:type="dxa"/>
            <w:gridSpan w:val="5"/>
            <w:tcBorders>
              <w:top w:val="double" w:color="auto" w:sz="6" w:space="0"/>
              <w:bottom w:val="single" w:color="auto" w:sz="6" w:space="0"/>
            </w:tcBorders>
            <w:noWrap w:val="0"/>
            <w:vAlign w:val="center"/>
          </w:tcPr>
          <w:p w14:paraId="4471430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一、总部人员</w:t>
            </w:r>
          </w:p>
        </w:tc>
      </w:tr>
      <w:tr w14:paraId="7AD60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1160133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项目主管</w:t>
            </w:r>
          </w:p>
        </w:tc>
        <w:tc>
          <w:tcPr>
            <w:tcW w:w="1243" w:type="dxa"/>
            <w:tcBorders>
              <w:top w:val="nil"/>
            </w:tcBorders>
            <w:noWrap w:val="0"/>
            <w:vAlign w:val="center"/>
          </w:tcPr>
          <w:p w14:paraId="471673D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top w:val="nil"/>
            </w:tcBorders>
            <w:noWrap w:val="0"/>
            <w:vAlign w:val="center"/>
          </w:tcPr>
          <w:p w14:paraId="531C2C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top w:val="nil"/>
            </w:tcBorders>
            <w:noWrap w:val="0"/>
            <w:vAlign w:val="center"/>
          </w:tcPr>
          <w:p w14:paraId="75EF61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top w:val="nil"/>
            </w:tcBorders>
            <w:noWrap w:val="0"/>
            <w:vAlign w:val="center"/>
          </w:tcPr>
          <w:p w14:paraId="0592847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8FE1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nil"/>
            </w:tcBorders>
            <w:noWrap w:val="0"/>
            <w:vAlign w:val="center"/>
          </w:tcPr>
          <w:p w14:paraId="5FDCE5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104C0C0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45208A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BC28DB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255A879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310B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4E0DD79B">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43" w:type="dxa"/>
            <w:noWrap w:val="0"/>
            <w:vAlign w:val="center"/>
          </w:tcPr>
          <w:p w14:paraId="3507E8F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BAD705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DB67A7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B31859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8238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0223DD9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4594E20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0CBF16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004B94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63DEAA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7244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8598" w:type="dxa"/>
            <w:gridSpan w:val="5"/>
            <w:tcBorders>
              <w:top w:val="single" w:color="auto" w:sz="6" w:space="0"/>
              <w:bottom w:val="single" w:color="auto" w:sz="6" w:space="0"/>
            </w:tcBorders>
            <w:noWrap w:val="0"/>
            <w:vAlign w:val="center"/>
          </w:tcPr>
          <w:p w14:paraId="212374B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二、现场人员</w:t>
            </w:r>
          </w:p>
        </w:tc>
      </w:tr>
      <w:tr w14:paraId="205DA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175564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项目经理</w:t>
            </w:r>
          </w:p>
        </w:tc>
        <w:tc>
          <w:tcPr>
            <w:tcW w:w="1243" w:type="dxa"/>
            <w:noWrap w:val="0"/>
            <w:vAlign w:val="center"/>
          </w:tcPr>
          <w:p w14:paraId="2146BBD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343822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F07D35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25D9B6AC">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B23E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038195CC">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项目副经理</w:t>
            </w:r>
          </w:p>
        </w:tc>
        <w:tc>
          <w:tcPr>
            <w:tcW w:w="1243" w:type="dxa"/>
            <w:noWrap w:val="0"/>
            <w:vAlign w:val="center"/>
          </w:tcPr>
          <w:p w14:paraId="79A7EA3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A62D39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3857BD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7F3E0ADA">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6690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3CBC8B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技术负责人</w:t>
            </w:r>
          </w:p>
        </w:tc>
        <w:tc>
          <w:tcPr>
            <w:tcW w:w="1243" w:type="dxa"/>
            <w:noWrap w:val="0"/>
            <w:vAlign w:val="center"/>
          </w:tcPr>
          <w:p w14:paraId="01D7724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C41E5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904F30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93B03B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960E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59A0714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造价管理</w:t>
            </w:r>
          </w:p>
        </w:tc>
        <w:tc>
          <w:tcPr>
            <w:tcW w:w="1243" w:type="dxa"/>
            <w:noWrap w:val="0"/>
            <w:vAlign w:val="center"/>
          </w:tcPr>
          <w:p w14:paraId="0FE4957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25799E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81C68F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0E032F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6246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02D81FC">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质量管理</w:t>
            </w:r>
          </w:p>
        </w:tc>
        <w:tc>
          <w:tcPr>
            <w:tcW w:w="1243" w:type="dxa"/>
            <w:noWrap w:val="0"/>
            <w:vAlign w:val="center"/>
          </w:tcPr>
          <w:p w14:paraId="1B3F4B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8CA01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33C08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310C62D7">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BCC8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4F0BEE4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材料管理</w:t>
            </w:r>
          </w:p>
        </w:tc>
        <w:tc>
          <w:tcPr>
            <w:tcW w:w="1243" w:type="dxa"/>
            <w:noWrap w:val="0"/>
            <w:vAlign w:val="center"/>
          </w:tcPr>
          <w:p w14:paraId="7CEEFEE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2D51F17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FFEEA7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7756D0A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EA21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6F2DD75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计划管理</w:t>
            </w:r>
          </w:p>
        </w:tc>
        <w:tc>
          <w:tcPr>
            <w:tcW w:w="1243" w:type="dxa"/>
            <w:noWrap w:val="0"/>
            <w:vAlign w:val="center"/>
          </w:tcPr>
          <w:p w14:paraId="6EEF1BF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E4717D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7A02DBB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5DB22D8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535F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24393BA3">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安全管理</w:t>
            </w:r>
          </w:p>
        </w:tc>
        <w:tc>
          <w:tcPr>
            <w:tcW w:w="1243" w:type="dxa"/>
            <w:noWrap w:val="0"/>
            <w:vAlign w:val="center"/>
          </w:tcPr>
          <w:p w14:paraId="4C3539D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2ACA1A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81DCD4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BA1DEA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14D2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restart"/>
            <w:tcBorders>
              <w:top w:val="single" w:color="auto" w:sz="6" w:space="0"/>
            </w:tcBorders>
            <w:noWrap w:val="0"/>
            <w:vAlign w:val="center"/>
          </w:tcPr>
          <w:p w14:paraId="48297540">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43" w:type="dxa"/>
            <w:noWrap w:val="0"/>
            <w:vAlign w:val="center"/>
          </w:tcPr>
          <w:p w14:paraId="58D5626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A48B15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AC82B7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51E9B8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A946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35056D6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tcBorders>
              <w:bottom w:val="nil"/>
            </w:tcBorders>
            <w:noWrap w:val="0"/>
            <w:vAlign w:val="center"/>
          </w:tcPr>
          <w:p w14:paraId="422C23C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nil"/>
            </w:tcBorders>
            <w:noWrap w:val="0"/>
            <w:vAlign w:val="center"/>
          </w:tcPr>
          <w:p w14:paraId="45A5374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nil"/>
            </w:tcBorders>
            <w:noWrap w:val="0"/>
            <w:vAlign w:val="center"/>
          </w:tcPr>
          <w:p w14:paraId="00DBC4D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bottom w:val="nil"/>
            </w:tcBorders>
            <w:noWrap w:val="0"/>
            <w:vAlign w:val="center"/>
          </w:tcPr>
          <w:p w14:paraId="291992C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3743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1CE444C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547FCA0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5D9C4B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8F7DAA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65F33CF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CE36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0923B3A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7C48B3C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830A2D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728D2B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870F72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734F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3FCBF47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213EAEC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683D6B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7A1804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31C96D3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CA0E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640" w:type="dxa"/>
            <w:vMerge w:val="continue"/>
            <w:tcBorders>
              <w:bottom w:val="single" w:color="auto" w:sz="12" w:space="0"/>
            </w:tcBorders>
            <w:noWrap w:val="0"/>
            <w:vAlign w:val="center"/>
          </w:tcPr>
          <w:p w14:paraId="3B6BD56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43" w:type="dxa"/>
            <w:tcBorders>
              <w:bottom w:val="single" w:color="auto" w:sz="12" w:space="0"/>
            </w:tcBorders>
            <w:noWrap w:val="0"/>
            <w:vAlign w:val="center"/>
          </w:tcPr>
          <w:p w14:paraId="195B33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single" w:color="auto" w:sz="12" w:space="0"/>
            </w:tcBorders>
            <w:noWrap w:val="0"/>
            <w:vAlign w:val="center"/>
          </w:tcPr>
          <w:p w14:paraId="47A214D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single" w:color="auto" w:sz="12" w:space="0"/>
            </w:tcBorders>
            <w:noWrap w:val="0"/>
            <w:vAlign w:val="center"/>
          </w:tcPr>
          <w:p w14:paraId="48A7EA4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bottom w:val="single" w:color="auto" w:sz="12" w:space="0"/>
            </w:tcBorders>
            <w:noWrap w:val="0"/>
            <w:vAlign w:val="center"/>
          </w:tcPr>
          <w:p w14:paraId="4858D8B6">
            <w:pPr>
              <w:pStyle w:val="5"/>
              <w:keepNext/>
              <w:spacing w:after="0" w:afterLines="0" w:line="440" w:lineRule="exact"/>
              <w:ind w:left="63" w:right="63"/>
              <w:rPr>
                <w:rFonts w:eastAsia="仿宋_GB2312"/>
                <w:color w:val="000000"/>
                <w:kern w:val="2"/>
                <w:sz w:val="24"/>
                <w:szCs w:val="24"/>
                <w:highlight w:val="none"/>
                <w:lang w:val="en-US" w:eastAsia="zh-CN"/>
              </w:rPr>
            </w:pPr>
          </w:p>
        </w:tc>
      </w:tr>
    </w:tbl>
    <w:p w14:paraId="2096F125">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bookmarkStart w:id="798" w:name="_Toc267261701"/>
      <w:r>
        <w:rPr>
          <w:rFonts w:ascii="Times New Roman" w:hAnsi="Times New Roman" w:eastAsia="仿宋_GB2312"/>
          <w:color w:val="000000"/>
          <w:sz w:val="24"/>
          <w:szCs w:val="24"/>
          <w:highlight w:val="none"/>
        </w:rPr>
        <w:t>附</w:t>
      </w:r>
      <w:bookmarkStart w:id="799" w:name="_Toc296891271"/>
      <w:bookmarkStart w:id="800" w:name="_Toc296346732"/>
      <w:bookmarkStart w:id="801" w:name="_Toc296891059"/>
      <w:bookmarkStart w:id="802" w:name="_Toc296944570"/>
      <w:bookmarkStart w:id="803" w:name="_Toc296347230"/>
      <w:bookmarkStart w:id="804" w:name="_Toc296503231"/>
      <w:r>
        <w:rPr>
          <w:rFonts w:ascii="Times New Roman" w:hAnsi="Times New Roman" w:eastAsia="仿宋_GB2312"/>
          <w:color w:val="000000"/>
          <w:sz w:val="24"/>
          <w:szCs w:val="24"/>
          <w:highlight w:val="none"/>
        </w:rPr>
        <w:t>件8：</w:t>
      </w:r>
    </w:p>
    <w:bookmarkEnd w:id="798"/>
    <w:bookmarkEnd w:id="799"/>
    <w:bookmarkEnd w:id="800"/>
    <w:bookmarkEnd w:id="801"/>
    <w:bookmarkEnd w:id="802"/>
    <w:bookmarkEnd w:id="803"/>
    <w:bookmarkEnd w:id="804"/>
    <w:p w14:paraId="615A1574">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履约担保</w:t>
      </w:r>
    </w:p>
    <w:p w14:paraId="38AF6DFB">
      <w:pPr>
        <w:spacing w:line="440" w:lineRule="exac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rPr>
        <w:t>（发包人名称）：</w:t>
      </w:r>
    </w:p>
    <w:p w14:paraId="0ADFEB3F">
      <w:pPr>
        <w:spacing w:line="440" w:lineRule="exact"/>
        <w:rPr>
          <w:rFonts w:ascii="Times New Roman" w:hAnsi="Times New Roman" w:eastAsia="仿宋_GB2312"/>
          <w:color w:val="000000"/>
          <w:sz w:val="24"/>
          <w:szCs w:val="24"/>
          <w:highlight w:val="none"/>
        </w:rPr>
      </w:pPr>
    </w:p>
    <w:p w14:paraId="296B043D">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鉴于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（发包人名称，以下简称“发包人”）与</w:t>
      </w:r>
    </w:p>
    <w:p w14:paraId="4C1C3B10">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（承包人名称）（以下称“承包人”）于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10158196">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 担保金额人民币（大写）</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元（</w:t>
      </w:r>
      <w:r>
        <w:rPr>
          <w:rFonts w:hint="eastAsia" w:ascii="Times New Roman" w:hAnsi="Times New Roman" w:eastAsia="仿宋_GB2312"/>
          <w:color w:val="000000"/>
          <w:sz w:val="24"/>
          <w:szCs w:val="24"/>
          <w:highlight w:val="none"/>
          <w:lang w:eastAsia="zh-CN"/>
        </w:rPr>
        <w:t>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1937A76">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 担保有效期自你方与承包人签订的合同生效之日起至你方签发或应签发工程接收证书之日止。</w:t>
      </w:r>
    </w:p>
    <w:p w14:paraId="208C356C">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14:paraId="31C20798">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4. 你方和承包人按合同约定变更合同时，我方承担本担保规定的义务不变。</w:t>
      </w:r>
    </w:p>
    <w:p w14:paraId="76546B4B">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 因本保函发生的纠纷，可由双方协商解决，协商不成的，任何一方均可提请</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仲裁委员会仲裁。</w:t>
      </w:r>
    </w:p>
    <w:p w14:paraId="0DCD654E">
      <w:pPr>
        <w:spacing w:line="360" w:lineRule="auto"/>
        <w:ind w:firstLine="480" w:firstLineChars="200"/>
        <w:rPr>
          <w:rFonts w:hint="eastAsia"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 本保函自我方法定代表人（或其授权代理人）签字并加盖公章之日起生效。</w:t>
      </w:r>
    </w:p>
    <w:p w14:paraId="67B4E76A">
      <w:pPr>
        <w:spacing w:line="360" w:lineRule="auto"/>
        <w:rPr>
          <w:rFonts w:hint="eastAsia" w:ascii="Times New Roman" w:hAnsi="Times New Roman" w:eastAsia="仿宋_GB2312"/>
          <w:color w:val="000000"/>
          <w:sz w:val="24"/>
          <w:szCs w:val="24"/>
          <w:highlight w:val="none"/>
        </w:rPr>
      </w:pPr>
    </w:p>
    <w:p w14:paraId="056F8B6A">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 保 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（盖单位章）</w:t>
      </w:r>
    </w:p>
    <w:p w14:paraId="66E8AF0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法定代表人或其委托代理人：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09C52C60">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58946AE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654BE6DD">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    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20FCAB3E">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76E0B51E">
      <w:pPr>
        <w:spacing w:line="360" w:lineRule="auto"/>
        <w:jc w:val="left"/>
        <w:rPr>
          <w:rFonts w:ascii="Times New Roman" w:hAnsi="Times New Roman" w:eastAsia="仿宋_GB2312"/>
          <w:color w:val="000000"/>
          <w:sz w:val="24"/>
          <w:szCs w:val="24"/>
          <w:highlight w:val="none"/>
          <w:u w:val="single"/>
        </w:rPr>
      </w:pPr>
    </w:p>
    <w:p w14:paraId="400E1F17">
      <w:pPr>
        <w:spacing w:line="360" w:lineRule="auto"/>
        <w:ind w:left="1899" w:hanging="1519" w:hangingChars="633"/>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hint="eastAsia"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476D21BC">
      <w:pPr>
        <w:spacing w:line="360" w:lineRule="auto"/>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805" w:name="_Toc296347231"/>
      <w:bookmarkStart w:id="806" w:name="_Toc296944571"/>
      <w:bookmarkStart w:id="807" w:name="_Toc296891272"/>
      <w:bookmarkStart w:id="808" w:name="_Toc296346733"/>
      <w:bookmarkStart w:id="809" w:name="_Toc296891060"/>
      <w:bookmarkStart w:id="810" w:name="_Toc296503232"/>
      <w:bookmarkStart w:id="811" w:name="_Toc267261702"/>
      <w:r>
        <w:rPr>
          <w:rFonts w:ascii="Times New Roman" w:hAnsi="Times New Roman" w:eastAsia="仿宋_GB2312"/>
          <w:color w:val="000000"/>
          <w:sz w:val="24"/>
          <w:szCs w:val="24"/>
          <w:highlight w:val="none"/>
        </w:rPr>
        <w:t>件9 ：</w:t>
      </w:r>
    </w:p>
    <w:bookmarkEnd w:id="805"/>
    <w:bookmarkEnd w:id="806"/>
    <w:bookmarkEnd w:id="807"/>
    <w:bookmarkEnd w:id="808"/>
    <w:bookmarkEnd w:id="809"/>
    <w:bookmarkEnd w:id="810"/>
    <w:bookmarkEnd w:id="811"/>
    <w:p w14:paraId="6E9F37A2">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预付款担保</w:t>
      </w:r>
    </w:p>
    <w:p w14:paraId="57BA39F4">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（发包人名称）：</w:t>
      </w:r>
    </w:p>
    <w:p w14:paraId="7B020B5C">
      <w:pPr>
        <w:spacing w:line="360" w:lineRule="auto"/>
        <w:rPr>
          <w:rFonts w:ascii="Times New Roman" w:hAnsi="Times New Roman" w:eastAsia="仿宋_GB2312"/>
          <w:color w:val="000000"/>
          <w:sz w:val="24"/>
          <w:szCs w:val="24"/>
          <w:highlight w:val="none"/>
        </w:rPr>
      </w:pPr>
    </w:p>
    <w:p w14:paraId="6F748812">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根据</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（承包人名称）（以下称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承包人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）与</w:t>
      </w:r>
    </w:p>
    <w:p w14:paraId="79A054E7">
      <w:pPr>
        <w:spacing w:line="360" w:lineRule="auto"/>
        <w:outlineLvl w:val="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（发包人名称）（以下简称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发包人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w:t>
      </w:r>
    </w:p>
    <w:p w14:paraId="16027E91">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日签订的</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（工程名称）《建设工程施工合同》，承包人按约定的金额向</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提交一份预付款担保，即有权得到</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支付相等金额的预付款。我方愿意就你方提供给承包人的预付款</w:t>
      </w:r>
      <w:r>
        <w:rPr>
          <w:rFonts w:hint="eastAsia" w:ascii="Times New Roman" w:hAnsi="Times New Roman" w:eastAsia="仿宋_GB2312"/>
          <w:color w:val="000000"/>
          <w:sz w:val="24"/>
          <w:szCs w:val="24"/>
          <w:highlight w:val="none"/>
        </w:rPr>
        <w:t>为承包人</w:t>
      </w:r>
      <w:r>
        <w:rPr>
          <w:rFonts w:ascii="Times New Roman" w:hAnsi="Times New Roman" w:eastAsia="仿宋_GB2312"/>
          <w:color w:val="000000"/>
          <w:sz w:val="24"/>
          <w:szCs w:val="24"/>
          <w:highlight w:val="none"/>
        </w:rPr>
        <w:t>提供连带责任担保。</w:t>
      </w:r>
    </w:p>
    <w:p w14:paraId="0103752A">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担保金额人民币（大写）</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rPr>
        <w:t>元</w:t>
      </w: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lang w:eastAsia="zh-CN"/>
        </w:rPr>
        <w:t>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A99CC3">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担保有效期自预付款支付给承包人起生效，至</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签发的</w:t>
      </w:r>
      <w:r>
        <w:rPr>
          <w:rFonts w:hint="eastAsia" w:ascii="Times New Roman" w:hAnsi="Times New Roman" w:eastAsia="仿宋_GB2312"/>
          <w:color w:val="000000"/>
          <w:sz w:val="24"/>
          <w:szCs w:val="24"/>
          <w:highlight w:val="none"/>
        </w:rPr>
        <w:t>进</w:t>
      </w:r>
      <w:r>
        <w:rPr>
          <w:rFonts w:ascii="Times New Roman" w:hAnsi="Times New Roman" w:eastAsia="仿宋_GB2312"/>
          <w:color w:val="000000"/>
          <w:sz w:val="24"/>
          <w:szCs w:val="24"/>
          <w:highlight w:val="none"/>
        </w:rPr>
        <w:t>度款支付证书说明已完全扣清止。</w:t>
      </w:r>
    </w:p>
    <w:p w14:paraId="36C886BB">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在本保函有效期内，因承包人违反合同约定的义务而要求</w:t>
      </w:r>
      <w:r>
        <w:rPr>
          <w:rFonts w:hint="eastAsia" w:ascii="Times New Roman" w:hAnsi="Times New Roman" w:eastAsia="仿宋_GB2312"/>
          <w:color w:val="000000"/>
          <w:sz w:val="24"/>
          <w:szCs w:val="24"/>
          <w:highlight w:val="none"/>
        </w:rPr>
        <w:t>收</w:t>
      </w:r>
      <w:r>
        <w:rPr>
          <w:rFonts w:ascii="Times New Roman" w:hAnsi="Times New Roman" w:eastAsia="仿宋_GB2312"/>
          <w:color w:val="000000"/>
          <w:sz w:val="24"/>
          <w:szCs w:val="24"/>
          <w:highlight w:val="none"/>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按合同约定在向承包人签发的进度款支付证书中扣除的金额。</w:t>
      </w:r>
    </w:p>
    <w:p w14:paraId="42F6F495">
      <w:pPr>
        <w:spacing w:line="360" w:lineRule="auto"/>
        <w:ind w:firstLine="480" w:firstLineChars="200"/>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 你方</w:t>
      </w:r>
      <w:r>
        <w:rPr>
          <w:rFonts w:ascii="Times New Roman" w:hAnsi="Times New Roman" w:eastAsia="仿宋_GB2312"/>
          <w:color w:val="000000"/>
          <w:sz w:val="24"/>
          <w:szCs w:val="24"/>
          <w:highlight w:val="none"/>
        </w:rPr>
        <w:t>和承包人按合同约定变更合同时，我方承担本保函规定的义务不变。</w:t>
      </w:r>
    </w:p>
    <w:p w14:paraId="153AD337">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5. </w:t>
      </w:r>
      <w:r>
        <w:rPr>
          <w:rFonts w:ascii="Times New Roman" w:hAnsi="Times New Roman" w:eastAsia="仿宋_GB2312"/>
          <w:color w:val="000000"/>
          <w:sz w:val="24"/>
          <w:szCs w:val="24"/>
          <w:highlight w:val="none"/>
        </w:rPr>
        <w:t>因本保函发生的纠纷，可由双方协商解决，协商不成的，任何一方均可提请</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仲裁委员会仲裁。</w:t>
      </w:r>
    </w:p>
    <w:p w14:paraId="500DD7A4">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6. </w:t>
      </w:r>
      <w:r>
        <w:rPr>
          <w:rFonts w:ascii="Times New Roman" w:hAnsi="Times New Roman" w:eastAsia="仿宋_GB2312"/>
          <w:color w:val="000000"/>
          <w:sz w:val="24"/>
          <w:szCs w:val="24"/>
          <w:highlight w:val="none"/>
        </w:rPr>
        <w:t>本保函自我方法定代表人（或其授权代理人）签字并加盖公章之日起生效。</w:t>
      </w:r>
    </w:p>
    <w:p w14:paraId="1EC1787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担保人：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（盖单位章）</w:t>
      </w:r>
    </w:p>
    <w:p w14:paraId="0F09998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法定代表人或其委托代理人：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718D9E8E">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077B0E52">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14D9B358">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    话：</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3DA29166">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74083151">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015AC23D">
      <w:pPr>
        <w:spacing w:line="440" w:lineRule="exact"/>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br w:type="page"/>
      </w:r>
      <w:r>
        <w:rPr>
          <w:rFonts w:ascii="Times New Roman" w:hAnsi="Times New Roman" w:eastAsia="仿宋_GB2312"/>
          <w:color w:val="000000"/>
          <w:sz w:val="24"/>
          <w:szCs w:val="24"/>
          <w:highlight w:val="none"/>
        </w:rPr>
        <w:t>附</w:t>
      </w:r>
      <w:bookmarkStart w:id="812" w:name="_Toc296503233"/>
      <w:bookmarkStart w:id="813" w:name="_Toc296944572"/>
      <w:bookmarkStart w:id="814" w:name="_Toc296891061"/>
      <w:bookmarkStart w:id="815" w:name="_Toc296346734"/>
      <w:bookmarkStart w:id="816" w:name="_Toc296347232"/>
      <w:bookmarkStart w:id="817" w:name="_Toc296891273"/>
      <w:r>
        <w:rPr>
          <w:rFonts w:ascii="Times New Roman" w:hAnsi="Times New Roman" w:eastAsia="仿宋_GB2312"/>
          <w:color w:val="000000"/>
          <w:sz w:val="24"/>
          <w:szCs w:val="24"/>
          <w:highlight w:val="none"/>
        </w:rPr>
        <w:t xml:space="preserve">件10: </w:t>
      </w:r>
      <w:r>
        <w:rPr>
          <w:rFonts w:ascii="Times New Roman" w:hAnsi="Times New Roman" w:eastAsia="黑体"/>
          <w:color w:val="000000"/>
          <w:sz w:val="24"/>
          <w:szCs w:val="24"/>
          <w:highlight w:val="none"/>
        </w:rPr>
        <w:t xml:space="preserve"> </w:t>
      </w:r>
    </w:p>
    <w:bookmarkEnd w:id="812"/>
    <w:bookmarkEnd w:id="813"/>
    <w:bookmarkEnd w:id="814"/>
    <w:bookmarkEnd w:id="815"/>
    <w:bookmarkEnd w:id="816"/>
    <w:bookmarkEnd w:id="817"/>
    <w:p w14:paraId="6311F484">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支付担保</w:t>
      </w:r>
    </w:p>
    <w:p w14:paraId="3B0DB3CE">
      <w:pPr>
        <w:spacing w:line="440" w:lineRule="exact"/>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w:t>
      </w:r>
    </w:p>
    <w:p w14:paraId="20C38F96">
      <w:pPr>
        <w:spacing w:line="440" w:lineRule="exact"/>
        <w:jc w:val="left"/>
        <w:rPr>
          <w:rFonts w:ascii="Times New Roman" w:hAnsi="Times New Roman" w:eastAsia="仿宋_GB2312"/>
          <w:color w:val="000000"/>
          <w:sz w:val="24"/>
          <w:szCs w:val="24"/>
          <w:highlight w:val="none"/>
        </w:rPr>
      </w:pPr>
    </w:p>
    <w:p w14:paraId="4CE7EC9D">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鉴于你方作为承包人已经与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发包人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日签订了</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（工程名称）《建设工程施工合同》（以下称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主合同</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），应发包人的申请，我方愿就发包人履行主合同约定的工程款支付义务以保证的方式向你方提供如下担保：</w:t>
      </w:r>
    </w:p>
    <w:p w14:paraId="314A22D7">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一、保证的范围及保证金额</w:t>
      </w:r>
    </w:p>
    <w:p w14:paraId="32A6EC3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我方的保证范围是主合同约定的工程款。</w:t>
      </w:r>
    </w:p>
    <w:p w14:paraId="7009333C">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本保函所称主合同约定的工程款是指主合同约定的除工程质量保证金以外的合同价款。</w:t>
      </w:r>
    </w:p>
    <w:p w14:paraId="35E80152">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我方保证的金额是主合同约定的工程款的</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%，数额最高不超过人民币元（大写：</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E53AAF3">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二、保证的方式及保证期间</w:t>
      </w:r>
    </w:p>
    <w:p w14:paraId="57E46D61">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我方保证的方式为：连带责任保证。</w:t>
      </w:r>
    </w:p>
    <w:p w14:paraId="75D66A0D">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我方保证的期间为：自本合同生效之日起至主合同约定的工程款支付完毕之日后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日内。</w:t>
      </w:r>
    </w:p>
    <w:p w14:paraId="3A6E3982">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你方与发包人协议变更工程款支付日期的，经我方书面同意后，保证期间按照变更后的支付日期做相应调整。</w:t>
      </w:r>
    </w:p>
    <w:p w14:paraId="32C5FBD1">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三、承担保证责任的形式</w:t>
      </w:r>
    </w:p>
    <w:p w14:paraId="78DECA22">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我方承担保证责任的形式是代为支付。发包人未按主合同约定向你方支付工程款的，由我方在保证金额内代为支付。</w:t>
      </w:r>
    </w:p>
    <w:p w14:paraId="1DCD5B27">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四、代偿的安排</w:t>
      </w:r>
    </w:p>
    <w:p w14:paraId="750E4CF9">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你方要求我方承担保证责任的，应向我方发出书面索赔通知及发包人未支付主合同约定工程款的证明材料。索赔通知应写明要求索赔的金额，支付款项应到达的账号。</w:t>
      </w:r>
    </w:p>
    <w:p w14:paraId="6BD3EA54">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6FBD6E75">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我方收到你方的书面索赔通知及相应的证明材料后７天内无条件支付。</w:t>
      </w:r>
    </w:p>
    <w:p w14:paraId="598E5222">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五、保证责任的解除</w:t>
      </w:r>
    </w:p>
    <w:p w14:paraId="5CB66381">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在本保函承诺的保证期间内，你方未书面向我方主张保证责任的，自保证期间届满次日起，我方保证责任解除。</w:t>
      </w:r>
    </w:p>
    <w:p w14:paraId="642D26CA">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发包人按主合同约定履行了工程款的全部支付义务的，自本保函承诺的保证期间届满次日起，我方保证责任解除。</w:t>
      </w:r>
    </w:p>
    <w:p w14:paraId="52638373">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我方按照本保函向你方履行保证责任所支付金额达到本保函保证金额时，自我方向你方支付（支付款项从我方账户划出）之日起，保证责任即解除。</w:t>
      </w:r>
    </w:p>
    <w:p w14:paraId="71CEE22D">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4. </w:t>
      </w:r>
      <w:r>
        <w:rPr>
          <w:rFonts w:ascii="Times New Roman" w:hAnsi="Times New Roman" w:eastAsia="仿宋_GB2312"/>
          <w:color w:val="000000"/>
          <w:sz w:val="24"/>
          <w:szCs w:val="24"/>
          <w:highlight w:val="none"/>
        </w:rPr>
        <w:t>按照法律法规的规定或出现应解除我方保证责任的其他情形的，我方在本保函项下的保证责任亦解除。</w:t>
      </w:r>
    </w:p>
    <w:p w14:paraId="34E04722">
      <w:pPr>
        <w:spacing w:line="360" w:lineRule="auto"/>
        <w:jc w:val="left"/>
        <w:rPr>
          <w:rFonts w:hint="eastAsia" w:ascii="Times New Roman" w:hAnsi="Times New Roman" w:eastAsia="仿宋_GB2312"/>
          <w:color w:val="000000"/>
          <w:sz w:val="24"/>
          <w:szCs w:val="24"/>
          <w:highlight w:val="none"/>
        </w:rPr>
      </w:pPr>
    </w:p>
    <w:p w14:paraId="7ABE7280">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5. </w:t>
      </w:r>
      <w:r>
        <w:rPr>
          <w:rFonts w:ascii="Times New Roman" w:hAnsi="Times New Roman" w:eastAsia="仿宋_GB2312"/>
          <w:color w:val="000000"/>
          <w:sz w:val="24"/>
          <w:szCs w:val="24"/>
          <w:highlight w:val="none"/>
        </w:rPr>
        <w:t>我方解除保证责任后，你方应自我方保证责任解除之日起</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个工作日内，将本保函原件返还我方。</w:t>
      </w:r>
    </w:p>
    <w:p w14:paraId="3CB3AA50">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六、免责条款</w:t>
      </w:r>
    </w:p>
    <w:p w14:paraId="47AA501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因你方违约致使发包人不能履行义务的，我方不承担保证责任。</w:t>
      </w:r>
    </w:p>
    <w:p w14:paraId="0A5BFFC0">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依照法律法规的规定或你方与发包人的另行约定，免除发包人部分或全部义务的，我方亦免除其相应的保证责任。</w:t>
      </w:r>
    </w:p>
    <w:p w14:paraId="29C322E3">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变更</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约定的变更不受本款限制。</w:t>
      </w:r>
    </w:p>
    <w:p w14:paraId="73DE1A5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4. </w:t>
      </w:r>
      <w:r>
        <w:rPr>
          <w:rFonts w:ascii="Times New Roman" w:hAnsi="Times New Roman" w:eastAsia="仿宋_GB2312"/>
          <w:color w:val="000000"/>
          <w:sz w:val="24"/>
          <w:szCs w:val="24"/>
          <w:highlight w:val="none"/>
        </w:rPr>
        <w:t>因不可抗力造成发包人不能履行义务的，我方不承担保证责任。</w:t>
      </w:r>
    </w:p>
    <w:p w14:paraId="0412168D">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七、争议解决</w:t>
      </w:r>
    </w:p>
    <w:p w14:paraId="6B5A0EAF">
      <w:pPr>
        <w:spacing w:after="120" w:afterLines="0" w:line="360" w:lineRule="auto"/>
        <w:ind w:firstLine="480" w:firstLineChars="200"/>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因本保函</w:t>
      </w:r>
      <w:r>
        <w:rPr>
          <w:rFonts w:hint="eastAsia" w:ascii="Times New Roman" w:hAnsi="Times New Roman" w:eastAsia="仿宋_GB2312"/>
          <w:color w:val="000000"/>
          <w:sz w:val="24"/>
          <w:szCs w:val="24"/>
          <w:highlight w:val="none"/>
        </w:rPr>
        <w:t>或本保函相关事项</w:t>
      </w:r>
      <w:r>
        <w:rPr>
          <w:rFonts w:ascii="Times New Roman" w:hAnsi="Times New Roman" w:eastAsia="仿宋_GB2312"/>
          <w:color w:val="000000"/>
          <w:sz w:val="24"/>
          <w:szCs w:val="24"/>
          <w:highlight w:val="none"/>
        </w:rPr>
        <w:t>发生的纠纷，可由双方协商解决，协商不成的，按下列第</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w:t>
      </w:r>
      <w:r>
        <w:rPr>
          <w:rFonts w:hint="eastAsia" w:ascii="Times New Roman" w:hAnsi="Times New Roman" w:eastAsia="仿宋_GB2312"/>
          <w:color w:val="000000"/>
          <w:sz w:val="24"/>
          <w:szCs w:val="24"/>
          <w:highlight w:val="none"/>
        </w:rPr>
        <w:t>解</w:t>
      </w:r>
      <w:r>
        <w:rPr>
          <w:rFonts w:ascii="Times New Roman" w:hAnsi="Times New Roman" w:eastAsia="仿宋_GB2312"/>
          <w:color w:val="000000"/>
          <w:sz w:val="24"/>
          <w:szCs w:val="24"/>
          <w:highlight w:val="none"/>
        </w:rPr>
        <w:t>决：</w:t>
      </w:r>
    </w:p>
    <w:p w14:paraId="61209DF4">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（1）向</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仲裁委员会申请仲裁；</w:t>
      </w:r>
    </w:p>
    <w:p w14:paraId="7E076B4D">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（2）向</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人民法院起诉。</w:t>
      </w:r>
    </w:p>
    <w:p w14:paraId="43B7AF64">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八、保函的生效</w:t>
      </w:r>
    </w:p>
    <w:p w14:paraId="24B20D80">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本保函自我方法定代表人（或其授权代理人）签字并加盖公章之日起生效。</w:t>
      </w:r>
    </w:p>
    <w:p w14:paraId="5A82099F">
      <w:pPr>
        <w:spacing w:line="360" w:lineRule="auto"/>
        <w:ind w:firstLine="480" w:firstLineChars="200"/>
        <w:jc w:val="left"/>
        <w:rPr>
          <w:rFonts w:hint="eastAsia" w:ascii="Times New Roman" w:hAnsi="Times New Roman" w:eastAsia="仿宋_GB2312"/>
          <w:color w:val="000000"/>
          <w:sz w:val="24"/>
          <w:szCs w:val="24"/>
          <w:highlight w:val="none"/>
        </w:rPr>
      </w:pPr>
    </w:p>
    <w:p w14:paraId="161F3681">
      <w:pPr>
        <w:spacing w:line="360" w:lineRule="auto"/>
        <w:ind w:right="600"/>
        <w:jc w:val="left"/>
        <w:rPr>
          <w:rFonts w:hint="eastAsia" w:ascii="Times New Roman" w:hAnsi="Times New Roman" w:eastAsia="仿宋_GB2312"/>
          <w:color w:val="000000"/>
          <w:sz w:val="24"/>
          <w:szCs w:val="24"/>
          <w:highlight w:val="none"/>
        </w:rPr>
      </w:pPr>
    </w:p>
    <w:p w14:paraId="161A616D">
      <w:pPr>
        <w:spacing w:line="360" w:lineRule="auto"/>
        <w:ind w:right="6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担保人：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（盖章）</w:t>
      </w:r>
    </w:p>
    <w:p w14:paraId="775D6387">
      <w:pPr>
        <w:spacing w:line="360" w:lineRule="auto"/>
        <w:ind w:right="1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法定代表人或委托代理人：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5C615D4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0532810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3357415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0BE64C60">
      <w:pPr>
        <w:spacing w:line="360" w:lineRule="auto"/>
        <w:ind w:right="150" w:firstLine="480" w:firstLineChars="200"/>
        <w:jc w:val="left"/>
        <w:rPr>
          <w:rFonts w:ascii="Times New Roman" w:hAnsi="Times New Roman" w:eastAsia="仿宋_GB2312"/>
          <w:color w:val="000000"/>
          <w:sz w:val="24"/>
          <w:szCs w:val="24"/>
          <w:highlight w:val="none"/>
          <w:u w:val="single"/>
        </w:rPr>
      </w:pPr>
    </w:p>
    <w:p w14:paraId="3FD89994">
      <w:pPr>
        <w:spacing w:line="360" w:lineRule="auto"/>
        <w:ind w:right="150"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25137DC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附件11：</w:t>
      </w:r>
    </w:p>
    <w:p w14:paraId="1C252110">
      <w:pPr>
        <w:spacing w:before="156" w:beforeLines="50" w:after="156" w:afterLines="50" w:line="440" w:lineRule="exact"/>
        <w:jc w:val="center"/>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11-1：材料暂估价表</w:t>
      </w:r>
    </w:p>
    <w:tbl>
      <w:tblPr>
        <w:tblStyle w:val="2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6"/>
        <w:gridCol w:w="1810"/>
        <w:gridCol w:w="776"/>
        <w:gridCol w:w="706"/>
        <w:gridCol w:w="1233"/>
        <w:gridCol w:w="1294"/>
        <w:gridCol w:w="1552"/>
      </w:tblGrid>
      <w:tr w14:paraId="44376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906" w:type="dxa"/>
            <w:tcBorders>
              <w:top w:val="single" w:color="auto" w:sz="12" w:space="0"/>
              <w:bottom w:val="double" w:color="auto" w:sz="6" w:space="0"/>
            </w:tcBorders>
            <w:noWrap w:val="0"/>
            <w:vAlign w:val="top"/>
          </w:tcPr>
          <w:p w14:paraId="750CD90B">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10" w:type="dxa"/>
            <w:tcBorders>
              <w:top w:val="single" w:color="auto" w:sz="12" w:space="0"/>
              <w:bottom w:val="double" w:color="auto" w:sz="6" w:space="0"/>
            </w:tcBorders>
            <w:noWrap w:val="0"/>
            <w:vAlign w:val="top"/>
          </w:tcPr>
          <w:p w14:paraId="068BA415">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名称</w:t>
            </w:r>
          </w:p>
        </w:tc>
        <w:tc>
          <w:tcPr>
            <w:tcW w:w="776" w:type="dxa"/>
            <w:tcBorders>
              <w:top w:val="single" w:color="auto" w:sz="12" w:space="0"/>
              <w:bottom w:val="double" w:color="auto" w:sz="6" w:space="0"/>
            </w:tcBorders>
            <w:noWrap w:val="0"/>
            <w:vAlign w:val="top"/>
          </w:tcPr>
          <w:p w14:paraId="65678D4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706" w:type="dxa"/>
            <w:tcBorders>
              <w:top w:val="single" w:color="auto" w:sz="12" w:space="0"/>
              <w:bottom w:val="double" w:color="auto" w:sz="6" w:space="0"/>
            </w:tcBorders>
            <w:noWrap w:val="0"/>
            <w:vAlign w:val="top"/>
          </w:tcPr>
          <w:p w14:paraId="19281A8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1233" w:type="dxa"/>
            <w:tcBorders>
              <w:top w:val="single" w:color="auto" w:sz="12" w:space="0"/>
              <w:bottom w:val="double" w:color="auto" w:sz="6" w:space="0"/>
            </w:tcBorders>
            <w:noWrap w:val="0"/>
            <w:vAlign w:val="top"/>
          </w:tcPr>
          <w:p w14:paraId="37D15807">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1294" w:type="dxa"/>
            <w:tcBorders>
              <w:top w:val="single" w:color="auto" w:sz="12" w:space="0"/>
              <w:bottom w:val="double" w:color="auto" w:sz="6" w:space="0"/>
            </w:tcBorders>
            <w:noWrap w:val="0"/>
            <w:vAlign w:val="top"/>
          </w:tcPr>
          <w:p w14:paraId="2F02FAD6">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合价</w:t>
            </w:r>
            <w:r>
              <w:rPr>
                <w:rFonts w:hint="eastAsia" w:eastAsia="仿宋_GB2312"/>
                <w:color w:val="000000"/>
                <w:kern w:val="2"/>
                <w:sz w:val="24"/>
                <w:szCs w:val="24"/>
                <w:highlight w:val="none"/>
                <w:lang w:val="en-US" w:eastAsia="zh-CN"/>
              </w:rPr>
              <w:t>（元）</w:t>
            </w:r>
          </w:p>
        </w:tc>
        <w:tc>
          <w:tcPr>
            <w:tcW w:w="1552" w:type="dxa"/>
            <w:tcBorders>
              <w:top w:val="single" w:color="auto" w:sz="12" w:space="0"/>
              <w:bottom w:val="double" w:color="auto" w:sz="6" w:space="0"/>
            </w:tcBorders>
            <w:noWrap w:val="0"/>
            <w:vAlign w:val="top"/>
          </w:tcPr>
          <w:p w14:paraId="2A102A44">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76657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trPr>
        <w:tc>
          <w:tcPr>
            <w:tcW w:w="906" w:type="dxa"/>
            <w:tcBorders>
              <w:top w:val="double" w:color="auto" w:sz="6" w:space="0"/>
              <w:bottom w:val="single" w:color="auto" w:sz="6" w:space="0"/>
            </w:tcBorders>
            <w:noWrap w:val="0"/>
            <w:vAlign w:val="top"/>
          </w:tcPr>
          <w:p w14:paraId="5A4C069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tcBorders>
              <w:top w:val="double" w:color="auto" w:sz="6" w:space="0"/>
              <w:bottom w:val="single" w:color="auto" w:sz="6" w:space="0"/>
            </w:tcBorders>
            <w:noWrap w:val="0"/>
            <w:vAlign w:val="top"/>
          </w:tcPr>
          <w:p w14:paraId="6946B55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tcBorders>
              <w:top w:val="double" w:color="auto" w:sz="6" w:space="0"/>
              <w:bottom w:val="single" w:color="auto" w:sz="6" w:space="0"/>
            </w:tcBorders>
            <w:noWrap w:val="0"/>
            <w:vAlign w:val="top"/>
          </w:tcPr>
          <w:p w14:paraId="67607B5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tcBorders>
              <w:top w:val="double" w:color="auto" w:sz="6" w:space="0"/>
              <w:bottom w:val="single" w:color="auto" w:sz="6" w:space="0"/>
            </w:tcBorders>
            <w:noWrap w:val="0"/>
            <w:vAlign w:val="top"/>
          </w:tcPr>
          <w:p w14:paraId="30A4A6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tcBorders>
              <w:top w:val="double" w:color="auto" w:sz="6" w:space="0"/>
              <w:bottom w:val="single" w:color="auto" w:sz="6" w:space="0"/>
            </w:tcBorders>
            <w:noWrap w:val="0"/>
            <w:vAlign w:val="top"/>
          </w:tcPr>
          <w:p w14:paraId="41AF0D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tcBorders>
              <w:top w:val="double" w:color="auto" w:sz="6" w:space="0"/>
              <w:bottom w:val="single" w:color="auto" w:sz="6" w:space="0"/>
            </w:tcBorders>
            <w:noWrap w:val="0"/>
            <w:vAlign w:val="top"/>
          </w:tcPr>
          <w:p w14:paraId="71E11D6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tcBorders>
              <w:top w:val="double" w:color="auto" w:sz="6" w:space="0"/>
              <w:bottom w:val="single" w:color="auto" w:sz="6" w:space="0"/>
            </w:tcBorders>
            <w:noWrap w:val="0"/>
            <w:vAlign w:val="top"/>
          </w:tcPr>
          <w:p w14:paraId="25A719E6">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E380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tcBorders>
              <w:top w:val="nil"/>
            </w:tcBorders>
            <w:noWrap w:val="0"/>
            <w:vAlign w:val="top"/>
          </w:tcPr>
          <w:p w14:paraId="47BB8D9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tcBorders>
              <w:top w:val="nil"/>
            </w:tcBorders>
            <w:noWrap w:val="0"/>
            <w:vAlign w:val="top"/>
          </w:tcPr>
          <w:p w14:paraId="70CDD69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tcBorders>
              <w:top w:val="nil"/>
            </w:tcBorders>
            <w:noWrap w:val="0"/>
            <w:vAlign w:val="top"/>
          </w:tcPr>
          <w:p w14:paraId="2EF01D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tcBorders>
              <w:top w:val="nil"/>
            </w:tcBorders>
            <w:noWrap w:val="0"/>
            <w:vAlign w:val="top"/>
          </w:tcPr>
          <w:p w14:paraId="06F7368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tcBorders>
              <w:top w:val="nil"/>
            </w:tcBorders>
            <w:noWrap w:val="0"/>
            <w:vAlign w:val="top"/>
          </w:tcPr>
          <w:p w14:paraId="634923D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tcBorders>
              <w:top w:val="nil"/>
            </w:tcBorders>
            <w:noWrap w:val="0"/>
            <w:vAlign w:val="top"/>
          </w:tcPr>
          <w:p w14:paraId="72357D0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tcBorders>
              <w:top w:val="nil"/>
            </w:tcBorders>
            <w:noWrap w:val="0"/>
            <w:vAlign w:val="top"/>
          </w:tcPr>
          <w:p w14:paraId="0C6FE2E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0ECC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D2AF21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BF701F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2774BBB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2125FE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8C5E1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C95829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5D6BBF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2010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BBC6D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6FD8360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06C896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B744B0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766EA1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65F82E3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26DDFF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55C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32F671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CBE9D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5E1D7DA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1FB86F2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87FA7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70F2AE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DDFB1F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3907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9135E8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827034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4C8155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52093B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480435F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DC8DE4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460EB0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D745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04F5CD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24C8FD2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6D5EB3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AD4B35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7CAFAA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6EEB436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ED5BE2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0A80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7F204D4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25DC9BD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C0828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1CECBD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1DF9A7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0F722A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291AE3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6EB5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6EC239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2B1864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02DEB5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BA2B02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394B4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7F452E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6E0FE55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9F49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22F3D7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383CAE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0C5C81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7607E7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D79886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10D4E4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7F0986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D575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E3421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81DF56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363258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A1C9B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4862E9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1CB5FFE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37D443A">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000E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80346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59EB717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F2DFD0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452F79F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222342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327E16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23709F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2904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1C08BBD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AC053D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3AB48B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9CBF5F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EF2646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C81654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4AB4DFA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F168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5E7D95E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675BEFA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423205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C04E3F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5B84FD6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88942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682FCF6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C933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CF2E82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6B21DF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540EEC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80C8A7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23956E1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5BA4315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63E199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3057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7481B0B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67E34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2852C7D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5DE8F54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4F8C57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505F8AF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A9E505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C124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D29A93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48D2C8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5FAB769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7793D4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2A71046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2AAFDC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91E8686">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6B24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53814F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B5ADF3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AD2C1D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59AB871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405EC1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22F7A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23660E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0705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561371C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FC01EE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8EB737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69F14B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C2A854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28C7CD3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13A73E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89F0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23442BC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209F2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5108F6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47299F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34B88E0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08CC8E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C3ED4E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ED5C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CD4039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8323B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3C034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530FA7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2C6B24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23EECE1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27DFE1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D0ED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81503D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07BE356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6C9EE3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3B6389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F7A0A4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4601A98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00E1FF5">
            <w:pPr>
              <w:pStyle w:val="5"/>
              <w:keepNext/>
              <w:spacing w:after="0" w:afterLines="0" w:line="440" w:lineRule="exact"/>
              <w:ind w:left="63" w:right="63"/>
              <w:rPr>
                <w:rFonts w:eastAsia="仿宋_GB2312"/>
                <w:color w:val="000000"/>
                <w:kern w:val="2"/>
                <w:sz w:val="24"/>
                <w:szCs w:val="24"/>
                <w:highlight w:val="none"/>
                <w:lang w:val="en-US" w:eastAsia="zh-CN"/>
              </w:rPr>
            </w:pPr>
          </w:p>
        </w:tc>
      </w:tr>
    </w:tbl>
    <w:p w14:paraId="38280A9C">
      <w:pPr>
        <w:spacing w:before="156" w:beforeLines="50" w:after="156" w:afterLines="50" w:line="440" w:lineRule="exact"/>
        <w:rPr>
          <w:rFonts w:hint="eastAsia" w:ascii="Times New Roman" w:hAnsi="Times New Roman" w:eastAsia="黑体"/>
          <w:color w:val="000000"/>
          <w:sz w:val="24"/>
          <w:szCs w:val="24"/>
          <w:highlight w:val="none"/>
        </w:rPr>
      </w:pPr>
    </w:p>
    <w:p w14:paraId="1C09019D">
      <w:pPr>
        <w:pStyle w:val="2"/>
        <w:rPr>
          <w:rFonts w:hint="eastAsia" w:ascii="Times New Roman" w:hAnsi="Times New Roman" w:eastAsia="黑体"/>
          <w:color w:val="000000"/>
          <w:sz w:val="24"/>
          <w:szCs w:val="24"/>
          <w:highlight w:val="none"/>
        </w:rPr>
      </w:pPr>
    </w:p>
    <w:p w14:paraId="0D0CD673">
      <w:pPr>
        <w:rPr>
          <w:rFonts w:hint="eastAsia"/>
        </w:rPr>
      </w:pPr>
    </w:p>
    <w:p w14:paraId="73B5DBC0">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11-2：工程设备暂估价表</w:t>
      </w:r>
    </w:p>
    <w:tbl>
      <w:tblPr>
        <w:tblStyle w:val="26"/>
        <w:tblW w:w="8297"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8"/>
        <w:gridCol w:w="1814"/>
        <w:gridCol w:w="778"/>
        <w:gridCol w:w="708"/>
        <w:gridCol w:w="1236"/>
        <w:gridCol w:w="1297"/>
        <w:gridCol w:w="1556"/>
      </w:tblGrid>
      <w:tr w14:paraId="0134A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single" w:color="auto" w:sz="12" w:space="0"/>
              <w:bottom w:val="double" w:color="auto" w:sz="6" w:space="0"/>
            </w:tcBorders>
            <w:noWrap w:val="0"/>
            <w:vAlign w:val="top"/>
          </w:tcPr>
          <w:p w14:paraId="4551E50E">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14" w:type="dxa"/>
            <w:tcBorders>
              <w:top w:val="single" w:color="auto" w:sz="12" w:space="0"/>
              <w:bottom w:val="double" w:color="auto" w:sz="6" w:space="0"/>
            </w:tcBorders>
            <w:noWrap w:val="0"/>
            <w:vAlign w:val="top"/>
          </w:tcPr>
          <w:p w14:paraId="5B70369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名称</w:t>
            </w:r>
          </w:p>
        </w:tc>
        <w:tc>
          <w:tcPr>
            <w:tcW w:w="778" w:type="dxa"/>
            <w:tcBorders>
              <w:top w:val="single" w:color="auto" w:sz="12" w:space="0"/>
              <w:bottom w:val="double" w:color="auto" w:sz="6" w:space="0"/>
            </w:tcBorders>
            <w:noWrap w:val="0"/>
            <w:vAlign w:val="top"/>
          </w:tcPr>
          <w:p w14:paraId="0527BD38">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708" w:type="dxa"/>
            <w:tcBorders>
              <w:top w:val="single" w:color="auto" w:sz="12" w:space="0"/>
              <w:bottom w:val="double" w:color="auto" w:sz="6" w:space="0"/>
            </w:tcBorders>
            <w:noWrap w:val="0"/>
            <w:vAlign w:val="top"/>
          </w:tcPr>
          <w:p w14:paraId="0DE6DBBA">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1236" w:type="dxa"/>
            <w:tcBorders>
              <w:top w:val="single" w:color="auto" w:sz="12" w:space="0"/>
              <w:bottom w:val="double" w:color="auto" w:sz="6" w:space="0"/>
            </w:tcBorders>
            <w:noWrap w:val="0"/>
            <w:vAlign w:val="top"/>
          </w:tcPr>
          <w:p w14:paraId="2496AB3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1297" w:type="dxa"/>
            <w:tcBorders>
              <w:top w:val="single" w:color="auto" w:sz="12" w:space="0"/>
              <w:bottom w:val="double" w:color="auto" w:sz="6" w:space="0"/>
            </w:tcBorders>
            <w:noWrap w:val="0"/>
            <w:vAlign w:val="top"/>
          </w:tcPr>
          <w:p w14:paraId="7BFF5742">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合价</w:t>
            </w:r>
            <w:r>
              <w:rPr>
                <w:rFonts w:hint="eastAsia" w:eastAsia="仿宋_GB2312"/>
                <w:color w:val="000000"/>
                <w:kern w:val="2"/>
                <w:sz w:val="24"/>
                <w:szCs w:val="24"/>
                <w:highlight w:val="none"/>
                <w:lang w:val="en-US" w:eastAsia="zh-CN"/>
              </w:rPr>
              <w:t>（元）</w:t>
            </w:r>
          </w:p>
        </w:tc>
        <w:tc>
          <w:tcPr>
            <w:tcW w:w="1556" w:type="dxa"/>
            <w:tcBorders>
              <w:top w:val="single" w:color="auto" w:sz="12" w:space="0"/>
              <w:bottom w:val="double" w:color="auto" w:sz="6" w:space="0"/>
            </w:tcBorders>
            <w:noWrap w:val="0"/>
            <w:vAlign w:val="top"/>
          </w:tcPr>
          <w:p w14:paraId="0B19716A">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1F164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double" w:color="auto" w:sz="6" w:space="0"/>
              <w:bottom w:val="single" w:color="auto" w:sz="6" w:space="0"/>
            </w:tcBorders>
            <w:noWrap w:val="0"/>
            <w:vAlign w:val="top"/>
          </w:tcPr>
          <w:p w14:paraId="1F8F507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tcBorders>
              <w:top w:val="double" w:color="auto" w:sz="6" w:space="0"/>
              <w:bottom w:val="single" w:color="auto" w:sz="6" w:space="0"/>
            </w:tcBorders>
            <w:noWrap w:val="0"/>
            <w:vAlign w:val="top"/>
          </w:tcPr>
          <w:p w14:paraId="6B4A7EA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tcBorders>
              <w:top w:val="double" w:color="auto" w:sz="6" w:space="0"/>
              <w:bottom w:val="single" w:color="auto" w:sz="6" w:space="0"/>
            </w:tcBorders>
            <w:noWrap w:val="0"/>
            <w:vAlign w:val="top"/>
          </w:tcPr>
          <w:p w14:paraId="67707D5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tcBorders>
              <w:top w:val="double" w:color="auto" w:sz="6" w:space="0"/>
              <w:bottom w:val="single" w:color="auto" w:sz="6" w:space="0"/>
            </w:tcBorders>
            <w:noWrap w:val="0"/>
            <w:vAlign w:val="top"/>
          </w:tcPr>
          <w:p w14:paraId="6C1527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tcBorders>
              <w:top w:val="double" w:color="auto" w:sz="6" w:space="0"/>
              <w:bottom w:val="single" w:color="auto" w:sz="6" w:space="0"/>
            </w:tcBorders>
            <w:noWrap w:val="0"/>
            <w:vAlign w:val="top"/>
          </w:tcPr>
          <w:p w14:paraId="0766EA7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tcBorders>
              <w:top w:val="double" w:color="auto" w:sz="6" w:space="0"/>
              <w:bottom w:val="single" w:color="auto" w:sz="6" w:space="0"/>
            </w:tcBorders>
            <w:noWrap w:val="0"/>
            <w:vAlign w:val="top"/>
          </w:tcPr>
          <w:p w14:paraId="6C0B501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tcBorders>
              <w:top w:val="double" w:color="auto" w:sz="6" w:space="0"/>
              <w:bottom w:val="single" w:color="auto" w:sz="6" w:space="0"/>
            </w:tcBorders>
            <w:noWrap w:val="0"/>
            <w:vAlign w:val="top"/>
          </w:tcPr>
          <w:p w14:paraId="566EA71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069DF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nil"/>
            </w:tcBorders>
            <w:noWrap w:val="0"/>
            <w:vAlign w:val="top"/>
          </w:tcPr>
          <w:p w14:paraId="423C2C0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tcBorders>
              <w:top w:val="nil"/>
            </w:tcBorders>
            <w:noWrap w:val="0"/>
            <w:vAlign w:val="top"/>
          </w:tcPr>
          <w:p w14:paraId="5650F4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tcBorders>
              <w:top w:val="nil"/>
            </w:tcBorders>
            <w:noWrap w:val="0"/>
            <w:vAlign w:val="top"/>
          </w:tcPr>
          <w:p w14:paraId="0003257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tcBorders>
              <w:top w:val="nil"/>
            </w:tcBorders>
            <w:noWrap w:val="0"/>
            <w:vAlign w:val="top"/>
          </w:tcPr>
          <w:p w14:paraId="41E9A9C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tcBorders>
              <w:top w:val="nil"/>
            </w:tcBorders>
            <w:noWrap w:val="0"/>
            <w:vAlign w:val="top"/>
          </w:tcPr>
          <w:p w14:paraId="739CAA6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tcBorders>
              <w:top w:val="nil"/>
            </w:tcBorders>
            <w:noWrap w:val="0"/>
            <w:vAlign w:val="top"/>
          </w:tcPr>
          <w:p w14:paraId="3FC5BE2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tcBorders>
              <w:top w:val="nil"/>
            </w:tcBorders>
            <w:noWrap w:val="0"/>
            <w:vAlign w:val="top"/>
          </w:tcPr>
          <w:p w14:paraId="504531D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BB48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4D6FD8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8C5847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2FCEB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F04A52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9DE56D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3426CC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5DFABD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4C35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983594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10891D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68DD7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0D0C7C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3890544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822F66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3215F4E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C2FA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83E6A8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AB48C5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C4BE82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EA72CF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BF9A1E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1F30F1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35B40343">
            <w:pPr>
              <w:pStyle w:val="5"/>
              <w:keepNext/>
              <w:spacing w:after="0" w:afterLines="0" w:line="440" w:lineRule="exact"/>
              <w:ind w:left="63" w:right="63"/>
              <w:rPr>
                <w:rFonts w:eastAsia="仿宋_GB2312"/>
                <w:color w:val="000000"/>
                <w:kern w:val="2"/>
                <w:sz w:val="24"/>
                <w:szCs w:val="24"/>
                <w:highlight w:val="none"/>
                <w:lang w:val="en-US" w:eastAsia="zh-CN"/>
              </w:rPr>
            </w:pPr>
          </w:p>
        </w:tc>
      </w:tr>
      <w:tr w14:paraId="55AF6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519CC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135BC95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34A108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626576C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1A7BC9A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574A71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E004802">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FCB1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6E99FA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E8F003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4D89AE4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B5D8E2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7C4E18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3E1B25F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7189C3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EA13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F60D32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BC2ECC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763BDBB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197159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E4EB7A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35B72D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06710045">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B438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62CCF0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0D1706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FA425B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6855D4A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4A48F58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9FD839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30F44EE">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3916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7E95AB5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C8424E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17AA33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46FA122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22CDADE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92B0A5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619E26D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1DC48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5A69678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DCF473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13847D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271DEB9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A5DDBB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317BF01">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7275C3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AED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ED260E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DB8674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B67A21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67820C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A26E31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0B03DF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C976BC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3AE5F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292BCA2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17A007C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065886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3F0DCD1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77D119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4D5A52A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31221D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47BB2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30E2A2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32B62D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7CC885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B8515E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502743A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056715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46715F7B">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3045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3F2A63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6EA4B7A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BE428A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E7FDDE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37B467E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C0049E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098877D9">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90EE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CB168E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261B756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098438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CE136B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41EEB21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1F26FE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DA43908">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5593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E7A000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F71B08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5554FB2">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362499C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53CD49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19ADF9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AA7F1A1">
            <w:pPr>
              <w:pStyle w:val="5"/>
              <w:keepNext/>
              <w:spacing w:after="0" w:afterLines="0" w:line="440" w:lineRule="exact"/>
              <w:ind w:left="63" w:right="63"/>
              <w:rPr>
                <w:rFonts w:eastAsia="仿宋_GB2312"/>
                <w:color w:val="000000"/>
                <w:kern w:val="2"/>
                <w:sz w:val="24"/>
                <w:szCs w:val="24"/>
                <w:highlight w:val="none"/>
                <w:lang w:val="en-US" w:eastAsia="zh-CN"/>
              </w:rPr>
            </w:pPr>
          </w:p>
        </w:tc>
      </w:tr>
      <w:tr w14:paraId="27A2A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30679C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E58932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3F6F2AF">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220B9B8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06B39E6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005D31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C26352D">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0E21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73F8A5B">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0A477B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2099D6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BE7EB8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D7C105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579533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D9AEBA7">
            <w:pPr>
              <w:pStyle w:val="5"/>
              <w:keepNext/>
              <w:spacing w:after="0" w:afterLines="0" w:line="440" w:lineRule="exact"/>
              <w:ind w:left="63" w:right="63"/>
              <w:rPr>
                <w:rFonts w:eastAsia="仿宋_GB2312"/>
                <w:color w:val="000000"/>
                <w:kern w:val="2"/>
                <w:sz w:val="24"/>
                <w:szCs w:val="24"/>
                <w:highlight w:val="none"/>
                <w:lang w:val="en-US" w:eastAsia="zh-CN"/>
              </w:rPr>
            </w:pPr>
          </w:p>
        </w:tc>
      </w:tr>
      <w:tr w14:paraId="6B904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5666352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8AF636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42C15F93">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2E52D9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0E399F09">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98B623C">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DFF4370">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0299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56F24A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576C28E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526A7B0">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5AA03E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ABA82DA">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49BF7C4D">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AA4F8E4">
            <w:pPr>
              <w:pStyle w:val="5"/>
              <w:keepNext/>
              <w:spacing w:after="0" w:afterLines="0" w:line="440" w:lineRule="exact"/>
              <w:ind w:left="63" w:right="63"/>
              <w:rPr>
                <w:rFonts w:eastAsia="仿宋_GB2312"/>
                <w:color w:val="000000"/>
                <w:kern w:val="2"/>
                <w:sz w:val="24"/>
                <w:szCs w:val="24"/>
                <w:highlight w:val="none"/>
                <w:lang w:val="en-US" w:eastAsia="zh-CN"/>
              </w:rPr>
            </w:pPr>
          </w:p>
        </w:tc>
      </w:tr>
      <w:tr w14:paraId="76F58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77F9FAE">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2DD80636">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95C35E5">
            <w:pPr>
              <w:pStyle w:val="5"/>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422C7527">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9093CF4">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30B0E58">
            <w:pPr>
              <w:pStyle w:val="5"/>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469FDDF">
            <w:pPr>
              <w:pStyle w:val="5"/>
              <w:keepNext/>
              <w:spacing w:after="0" w:afterLines="0" w:line="440" w:lineRule="exact"/>
              <w:ind w:left="63" w:right="63"/>
              <w:rPr>
                <w:rFonts w:eastAsia="仿宋_GB2312"/>
                <w:color w:val="000000"/>
                <w:kern w:val="2"/>
                <w:sz w:val="24"/>
                <w:szCs w:val="24"/>
                <w:highlight w:val="none"/>
                <w:lang w:val="en-US" w:eastAsia="zh-CN"/>
              </w:rPr>
            </w:pPr>
          </w:p>
        </w:tc>
      </w:tr>
    </w:tbl>
    <w:p w14:paraId="0658CE36">
      <w:pPr>
        <w:spacing w:line="440" w:lineRule="exact"/>
        <w:rPr>
          <w:rFonts w:ascii="Times New Roman" w:hAnsi="Times New Roman" w:eastAsia="仿宋_GB2312"/>
          <w:color w:val="000000"/>
          <w:sz w:val="24"/>
          <w:szCs w:val="24"/>
          <w:highlight w:val="none"/>
        </w:rPr>
      </w:pPr>
    </w:p>
    <w:p w14:paraId="6888F20E">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黑体"/>
          <w:color w:val="000000"/>
          <w:sz w:val="24"/>
          <w:szCs w:val="24"/>
          <w:highlight w:val="none"/>
        </w:rPr>
        <w:t>11-3：专业工程暂估价表</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3"/>
        <w:gridCol w:w="1836"/>
        <w:gridCol w:w="4329"/>
        <w:gridCol w:w="1180"/>
      </w:tblGrid>
      <w:tr w14:paraId="15473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trPr>
        <w:tc>
          <w:tcPr>
            <w:tcW w:w="813" w:type="dxa"/>
            <w:tcBorders>
              <w:top w:val="single" w:color="auto" w:sz="12" w:space="0"/>
              <w:bottom w:val="double" w:color="auto" w:sz="6" w:space="0"/>
            </w:tcBorders>
            <w:noWrap w:val="0"/>
            <w:vAlign w:val="top"/>
          </w:tcPr>
          <w:p w14:paraId="7F45E2AD">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36" w:type="dxa"/>
            <w:tcBorders>
              <w:top w:val="single" w:color="auto" w:sz="12" w:space="0"/>
              <w:bottom w:val="double" w:color="auto" w:sz="6" w:space="0"/>
            </w:tcBorders>
            <w:noWrap w:val="0"/>
            <w:vAlign w:val="top"/>
          </w:tcPr>
          <w:p w14:paraId="3FD20F26">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专业工程名称</w:t>
            </w:r>
          </w:p>
        </w:tc>
        <w:tc>
          <w:tcPr>
            <w:tcW w:w="4329" w:type="dxa"/>
            <w:tcBorders>
              <w:top w:val="single" w:color="auto" w:sz="12" w:space="0"/>
              <w:bottom w:val="double" w:color="auto" w:sz="6" w:space="0"/>
            </w:tcBorders>
            <w:noWrap w:val="0"/>
            <w:vAlign w:val="top"/>
          </w:tcPr>
          <w:p w14:paraId="2E27614F">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工程内容</w:t>
            </w:r>
          </w:p>
        </w:tc>
        <w:tc>
          <w:tcPr>
            <w:tcW w:w="1180" w:type="dxa"/>
            <w:tcBorders>
              <w:top w:val="single" w:color="auto" w:sz="12" w:space="0"/>
              <w:bottom w:val="double" w:color="auto" w:sz="6" w:space="0"/>
            </w:tcBorders>
            <w:noWrap w:val="0"/>
            <w:vAlign w:val="top"/>
          </w:tcPr>
          <w:p w14:paraId="000B3C79">
            <w:pPr>
              <w:pStyle w:val="5"/>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金额</w:t>
            </w:r>
          </w:p>
        </w:tc>
      </w:tr>
      <w:tr w14:paraId="53851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813" w:type="dxa"/>
            <w:tcBorders>
              <w:top w:val="double" w:color="auto" w:sz="6" w:space="0"/>
              <w:bottom w:val="single" w:color="auto" w:sz="6" w:space="0"/>
            </w:tcBorders>
            <w:noWrap w:val="0"/>
            <w:vAlign w:val="top"/>
          </w:tcPr>
          <w:p w14:paraId="1B158BF5">
            <w:pPr>
              <w:pStyle w:val="5"/>
              <w:keepNext/>
              <w:spacing w:after="0" w:afterLines="0" w:line="440" w:lineRule="exact"/>
              <w:ind w:left="63" w:right="63"/>
              <w:rPr>
                <w:color w:val="000000"/>
                <w:kern w:val="2"/>
                <w:sz w:val="24"/>
                <w:szCs w:val="24"/>
                <w:highlight w:val="none"/>
                <w:lang w:val="en-US" w:eastAsia="zh-CN"/>
              </w:rPr>
            </w:pPr>
          </w:p>
        </w:tc>
        <w:tc>
          <w:tcPr>
            <w:tcW w:w="1836" w:type="dxa"/>
            <w:tcBorders>
              <w:top w:val="double" w:color="auto" w:sz="6" w:space="0"/>
              <w:bottom w:val="single" w:color="auto" w:sz="6" w:space="0"/>
            </w:tcBorders>
            <w:noWrap w:val="0"/>
            <w:vAlign w:val="top"/>
          </w:tcPr>
          <w:p w14:paraId="512E03EC">
            <w:pPr>
              <w:jc w:val="center"/>
              <w:rPr>
                <w:sz w:val="24"/>
                <w:szCs w:val="24"/>
                <w:lang w:val="en-US" w:eastAsia="zh-CN"/>
              </w:rPr>
            </w:pPr>
          </w:p>
        </w:tc>
        <w:tc>
          <w:tcPr>
            <w:tcW w:w="4329" w:type="dxa"/>
            <w:tcBorders>
              <w:top w:val="double" w:color="auto" w:sz="6" w:space="0"/>
              <w:bottom w:val="single" w:color="auto" w:sz="6" w:space="0"/>
            </w:tcBorders>
            <w:noWrap w:val="0"/>
            <w:vAlign w:val="top"/>
          </w:tcPr>
          <w:p w14:paraId="24CA5A60">
            <w:pPr>
              <w:pStyle w:val="5"/>
              <w:keepNext/>
              <w:spacing w:after="0" w:afterLines="0" w:line="440" w:lineRule="exact"/>
              <w:ind w:left="63" w:right="63"/>
              <w:rPr>
                <w:color w:val="000000"/>
                <w:kern w:val="2"/>
                <w:sz w:val="24"/>
                <w:szCs w:val="24"/>
                <w:highlight w:val="none"/>
                <w:lang w:val="en-US" w:eastAsia="zh-CN"/>
              </w:rPr>
            </w:pPr>
          </w:p>
        </w:tc>
        <w:tc>
          <w:tcPr>
            <w:tcW w:w="1180" w:type="dxa"/>
            <w:tcBorders>
              <w:top w:val="double" w:color="auto" w:sz="6" w:space="0"/>
              <w:bottom w:val="single" w:color="auto" w:sz="6" w:space="0"/>
            </w:tcBorders>
            <w:noWrap w:val="0"/>
            <w:vAlign w:val="top"/>
          </w:tcPr>
          <w:p w14:paraId="6D674BD4">
            <w:pPr>
              <w:pStyle w:val="5"/>
              <w:keepNext/>
              <w:spacing w:after="0" w:afterLines="0" w:line="440" w:lineRule="exact"/>
              <w:ind w:left="63" w:right="63"/>
              <w:rPr>
                <w:color w:val="000000"/>
                <w:kern w:val="2"/>
                <w:sz w:val="24"/>
                <w:szCs w:val="24"/>
                <w:highlight w:val="none"/>
                <w:lang w:val="en-US" w:eastAsia="zh-CN"/>
              </w:rPr>
            </w:pPr>
          </w:p>
        </w:tc>
      </w:tr>
      <w:tr w14:paraId="50948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185322CC">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33830618">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F5C2A25">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BA8297B">
            <w:pPr>
              <w:pStyle w:val="5"/>
              <w:keepNext/>
              <w:spacing w:after="0" w:afterLines="0" w:line="440" w:lineRule="exact"/>
              <w:ind w:left="63" w:right="63"/>
              <w:rPr>
                <w:color w:val="000000"/>
                <w:kern w:val="2"/>
                <w:sz w:val="24"/>
                <w:szCs w:val="24"/>
                <w:highlight w:val="none"/>
                <w:lang w:val="en-US" w:eastAsia="zh-CN"/>
              </w:rPr>
            </w:pPr>
          </w:p>
        </w:tc>
      </w:tr>
      <w:tr w14:paraId="4C3A0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AA89C7D">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33FB3487">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9E5DDF8">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2B76EF1B">
            <w:pPr>
              <w:pStyle w:val="5"/>
              <w:keepNext/>
              <w:spacing w:after="0" w:afterLines="0" w:line="440" w:lineRule="exact"/>
              <w:ind w:left="63" w:right="63"/>
              <w:rPr>
                <w:color w:val="000000"/>
                <w:kern w:val="2"/>
                <w:sz w:val="24"/>
                <w:szCs w:val="24"/>
                <w:highlight w:val="none"/>
                <w:lang w:val="en-US" w:eastAsia="zh-CN"/>
              </w:rPr>
            </w:pPr>
          </w:p>
        </w:tc>
      </w:tr>
      <w:tr w14:paraId="0A500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5CE1A4C6">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7DCCDD83">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B26D729">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2CC0B77">
            <w:pPr>
              <w:pStyle w:val="5"/>
              <w:keepNext/>
              <w:spacing w:after="0" w:afterLines="0" w:line="440" w:lineRule="exact"/>
              <w:ind w:left="63" w:right="63"/>
              <w:rPr>
                <w:color w:val="000000"/>
                <w:kern w:val="2"/>
                <w:sz w:val="24"/>
                <w:szCs w:val="24"/>
                <w:highlight w:val="none"/>
                <w:lang w:val="en-US" w:eastAsia="zh-CN"/>
              </w:rPr>
            </w:pPr>
          </w:p>
        </w:tc>
      </w:tr>
      <w:tr w14:paraId="7754B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1F001424">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FC78862">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48E9A65">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710288E">
            <w:pPr>
              <w:pStyle w:val="5"/>
              <w:keepNext/>
              <w:spacing w:after="0" w:afterLines="0" w:line="440" w:lineRule="exact"/>
              <w:ind w:left="63" w:right="63"/>
              <w:rPr>
                <w:color w:val="000000"/>
                <w:kern w:val="2"/>
                <w:sz w:val="24"/>
                <w:szCs w:val="24"/>
                <w:highlight w:val="none"/>
                <w:lang w:val="en-US" w:eastAsia="zh-CN"/>
              </w:rPr>
            </w:pPr>
          </w:p>
        </w:tc>
      </w:tr>
      <w:tr w14:paraId="6B9A9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28543BD7">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F3A5C7E">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687640F">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F3A963F">
            <w:pPr>
              <w:pStyle w:val="5"/>
              <w:keepNext/>
              <w:spacing w:after="0" w:afterLines="0" w:line="440" w:lineRule="exact"/>
              <w:ind w:left="63" w:right="63"/>
              <w:rPr>
                <w:color w:val="000000"/>
                <w:kern w:val="2"/>
                <w:sz w:val="24"/>
                <w:szCs w:val="24"/>
                <w:highlight w:val="none"/>
                <w:lang w:val="en-US" w:eastAsia="zh-CN"/>
              </w:rPr>
            </w:pPr>
          </w:p>
        </w:tc>
      </w:tr>
      <w:tr w14:paraId="07FA5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662A57E4">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9CB4ACE">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36C99BA">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11D4E903">
            <w:pPr>
              <w:pStyle w:val="5"/>
              <w:keepNext/>
              <w:spacing w:after="0" w:afterLines="0" w:line="440" w:lineRule="exact"/>
              <w:ind w:left="63" w:right="63"/>
              <w:rPr>
                <w:color w:val="000000"/>
                <w:kern w:val="2"/>
                <w:sz w:val="24"/>
                <w:szCs w:val="24"/>
                <w:highlight w:val="none"/>
                <w:lang w:val="en-US" w:eastAsia="zh-CN"/>
              </w:rPr>
            </w:pPr>
          </w:p>
        </w:tc>
      </w:tr>
      <w:tr w14:paraId="1F1EA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3DF5B0C6">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E50FD31">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04F61F09">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8B86254">
            <w:pPr>
              <w:pStyle w:val="5"/>
              <w:keepNext/>
              <w:spacing w:after="0" w:afterLines="0" w:line="440" w:lineRule="exact"/>
              <w:ind w:left="63" w:right="63"/>
              <w:rPr>
                <w:color w:val="000000"/>
                <w:kern w:val="2"/>
                <w:sz w:val="24"/>
                <w:szCs w:val="24"/>
                <w:highlight w:val="none"/>
                <w:lang w:val="en-US" w:eastAsia="zh-CN"/>
              </w:rPr>
            </w:pPr>
          </w:p>
        </w:tc>
      </w:tr>
      <w:tr w14:paraId="529E9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731F921C">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5F26A0DE">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3C8E08F">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9A6CBA3">
            <w:pPr>
              <w:pStyle w:val="5"/>
              <w:keepNext/>
              <w:spacing w:after="0" w:afterLines="0" w:line="440" w:lineRule="exact"/>
              <w:ind w:left="63" w:right="63"/>
              <w:rPr>
                <w:color w:val="000000"/>
                <w:kern w:val="2"/>
                <w:sz w:val="24"/>
                <w:szCs w:val="24"/>
                <w:highlight w:val="none"/>
                <w:lang w:val="en-US" w:eastAsia="zh-CN"/>
              </w:rPr>
            </w:pPr>
          </w:p>
        </w:tc>
      </w:tr>
      <w:tr w14:paraId="36A8B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6059F655">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0EB8C387">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C960BE3">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790A611">
            <w:pPr>
              <w:pStyle w:val="5"/>
              <w:keepNext/>
              <w:spacing w:after="0" w:afterLines="0" w:line="440" w:lineRule="exact"/>
              <w:ind w:left="63" w:right="63"/>
              <w:rPr>
                <w:color w:val="000000"/>
                <w:kern w:val="2"/>
                <w:sz w:val="24"/>
                <w:szCs w:val="24"/>
                <w:highlight w:val="none"/>
                <w:lang w:val="en-US" w:eastAsia="zh-CN"/>
              </w:rPr>
            </w:pPr>
          </w:p>
        </w:tc>
      </w:tr>
      <w:tr w14:paraId="13828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025556C7">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A4C7CE0">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5E664EDF">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298F7B3">
            <w:pPr>
              <w:pStyle w:val="5"/>
              <w:keepNext/>
              <w:spacing w:after="0" w:afterLines="0" w:line="440" w:lineRule="exact"/>
              <w:ind w:left="63" w:right="63"/>
              <w:rPr>
                <w:color w:val="000000"/>
                <w:kern w:val="2"/>
                <w:sz w:val="24"/>
                <w:szCs w:val="24"/>
                <w:highlight w:val="none"/>
                <w:lang w:val="en-US" w:eastAsia="zh-CN"/>
              </w:rPr>
            </w:pPr>
          </w:p>
        </w:tc>
      </w:tr>
      <w:tr w14:paraId="3BAFA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0C23EDC7">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5C08FDC7">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2A621C3">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46B9B47">
            <w:pPr>
              <w:pStyle w:val="5"/>
              <w:keepNext/>
              <w:spacing w:after="0" w:afterLines="0" w:line="440" w:lineRule="exact"/>
              <w:ind w:left="63" w:right="63"/>
              <w:rPr>
                <w:color w:val="000000"/>
                <w:kern w:val="2"/>
                <w:sz w:val="24"/>
                <w:szCs w:val="24"/>
                <w:highlight w:val="none"/>
                <w:lang w:val="en-US" w:eastAsia="zh-CN"/>
              </w:rPr>
            </w:pPr>
          </w:p>
        </w:tc>
      </w:tr>
      <w:tr w14:paraId="5D0D0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4602C3E">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B17FD73">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050BF4AE">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2459D18A">
            <w:pPr>
              <w:pStyle w:val="5"/>
              <w:keepNext/>
              <w:spacing w:after="0" w:afterLines="0" w:line="440" w:lineRule="exact"/>
              <w:ind w:left="63" w:right="63"/>
              <w:rPr>
                <w:color w:val="000000"/>
                <w:kern w:val="2"/>
                <w:sz w:val="24"/>
                <w:szCs w:val="24"/>
                <w:highlight w:val="none"/>
                <w:lang w:val="en-US" w:eastAsia="zh-CN"/>
              </w:rPr>
            </w:pPr>
          </w:p>
        </w:tc>
      </w:tr>
      <w:tr w14:paraId="30141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6851FEAD">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5314C77">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C2A81F0">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D758E91">
            <w:pPr>
              <w:pStyle w:val="5"/>
              <w:keepNext/>
              <w:spacing w:after="0" w:afterLines="0" w:line="440" w:lineRule="exact"/>
              <w:ind w:left="63" w:right="63"/>
              <w:rPr>
                <w:color w:val="000000"/>
                <w:kern w:val="2"/>
                <w:sz w:val="24"/>
                <w:szCs w:val="24"/>
                <w:highlight w:val="none"/>
                <w:lang w:val="en-US" w:eastAsia="zh-CN"/>
              </w:rPr>
            </w:pPr>
          </w:p>
        </w:tc>
      </w:tr>
      <w:tr w14:paraId="5F730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2ED4B55A">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08E6D5B">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2C3599F">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DEE4536">
            <w:pPr>
              <w:pStyle w:val="5"/>
              <w:keepNext/>
              <w:spacing w:after="0" w:afterLines="0" w:line="440" w:lineRule="exact"/>
              <w:ind w:left="63" w:right="63"/>
              <w:rPr>
                <w:color w:val="000000"/>
                <w:kern w:val="2"/>
                <w:sz w:val="24"/>
                <w:szCs w:val="24"/>
                <w:highlight w:val="none"/>
                <w:lang w:val="en-US" w:eastAsia="zh-CN"/>
              </w:rPr>
            </w:pPr>
          </w:p>
        </w:tc>
      </w:tr>
      <w:tr w14:paraId="4D01C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8746E9C">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026F8B1">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1BB09BB">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D2251E5">
            <w:pPr>
              <w:pStyle w:val="5"/>
              <w:keepNext/>
              <w:spacing w:after="0" w:afterLines="0" w:line="440" w:lineRule="exact"/>
              <w:ind w:left="63" w:right="63"/>
              <w:rPr>
                <w:color w:val="000000"/>
                <w:kern w:val="2"/>
                <w:sz w:val="24"/>
                <w:szCs w:val="24"/>
                <w:highlight w:val="none"/>
                <w:lang w:val="en-US" w:eastAsia="zh-CN"/>
              </w:rPr>
            </w:pPr>
          </w:p>
        </w:tc>
      </w:tr>
      <w:tr w14:paraId="36DE2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D75700D">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13777CFA">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7A268F58">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997A5C1">
            <w:pPr>
              <w:pStyle w:val="5"/>
              <w:keepNext/>
              <w:spacing w:after="0" w:afterLines="0" w:line="440" w:lineRule="exact"/>
              <w:ind w:left="63" w:right="63"/>
              <w:rPr>
                <w:color w:val="000000"/>
                <w:kern w:val="2"/>
                <w:sz w:val="24"/>
                <w:szCs w:val="24"/>
                <w:highlight w:val="none"/>
                <w:lang w:val="en-US" w:eastAsia="zh-CN"/>
              </w:rPr>
            </w:pPr>
          </w:p>
        </w:tc>
      </w:tr>
      <w:tr w14:paraId="211F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1524F4A">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11860C7F">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EDE1779">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05E229D">
            <w:pPr>
              <w:pStyle w:val="5"/>
              <w:keepNext/>
              <w:spacing w:after="0" w:afterLines="0" w:line="440" w:lineRule="exact"/>
              <w:ind w:left="63" w:right="63"/>
              <w:rPr>
                <w:color w:val="000000"/>
                <w:kern w:val="2"/>
                <w:sz w:val="24"/>
                <w:szCs w:val="24"/>
                <w:highlight w:val="none"/>
                <w:lang w:val="en-US" w:eastAsia="zh-CN"/>
              </w:rPr>
            </w:pPr>
          </w:p>
        </w:tc>
      </w:tr>
      <w:tr w14:paraId="232B7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14B5812">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DEECF65">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81568EC">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02821BD">
            <w:pPr>
              <w:pStyle w:val="5"/>
              <w:keepNext/>
              <w:spacing w:after="0" w:afterLines="0" w:line="440" w:lineRule="exact"/>
              <w:ind w:left="63" w:right="63"/>
              <w:rPr>
                <w:color w:val="000000"/>
                <w:kern w:val="2"/>
                <w:sz w:val="24"/>
                <w:szCs w:val="24"/>
                <w:highlight w:val="none"/>
                <w:lang w:val="en-US" w:eastAsia="zh-CN"/>
              </w:rPr>
            </w:pPr>
          </w:p>
        </w:tc>
      </w:tr>
      <w:tr w14:paraId="46B84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2E30BC49">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FE0B450">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9002C57">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7C16362">
            <w:pPr>
              <w:pStyle w:val="5"/>
              <w:keepNext/>
              <w:spacing w:after="0" w:afterLines="0" w:line="440" w:lineRule="exact"/>
              <w:ind w:left="63" w:right="63"/>
              <w:rPr>
                <w:color w:val="000000"/>
                <w:kern w:val="2"/>
                <w:sz w:val="24"/>
                <w:szCs w:val="24"/>
                <w:highlight w:val="none"/>
                <w:lang w:val="en-US" w:eastAsia="zh-CN"/>
              </w:rPr>
            </w:pPr>
          </w:p>
        </w:tc>
      </w:tr>
      <w:tr w14:paraId="03E63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7E1FFAAE">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0ED5EDCA">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5D13791D">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72FDBA7">
            <w:pPr>
              <w:pStyle w:val="5"/>
              <w:keepNext/>
              <w:spacing w:after="0" w:afterLines="0" w:line="440" w:lineRule="exact"/>
              <w:ind w:left="63" w:right="63"/>
              <w:rPr>
                <w:color w:val="000000"/>
                <w:kern w:val="2"/>
                <w:sz w:val="24"/>
                <w:szCs w:val="24"/>
                <w:highlight w:val="none"/>
                <w:lang w:val="en-US" w:eastAsia="zh-CN"/>
              </w:rPr>
            </w:pPr>
          </w:p>
        </w:tc>
      </w:tr>
      <w:tr w14:paraId="07672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20F8C6C9">
            <w:pPr>
              <w:pStyle w:val="5"/>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F7D2772">
            <w:pPr>
              <w:pStyle w:val="5"/>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3F9C0C4">
            <w:pPr>
              <w:pStyle w:val="5"/>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12A81DC3">
            <w:pPr>
              <w:pStyle w:val="5"/>
              <w:keepNext/>
              <w:spacing w:after="0" w:afterLines="0" w:line="440" w:lineRule="exact"/>
              <w:ind w:left="63" w:right="63"/>
              <w:rPr>
                <w:color w:val="000000"/>
                <w:kern w:val="2"/>
                <w:sz w:val="24"/>
                <w:szCs w:val="24"/>
                <w:highlight w:val="none"/>
                <w:lang w:val="en-US" w:eastAsia="zh-CN"/>
              </w:rPr>
            </w:pPr>
          </w:p>
        </w:tc>
      </w:tr>
      <w:tr w14:paraId="5CD3E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8158" w:type="dxa"/>
            <w:gridSpan w:val="4"/>
            <w:noWrap w:val="0"/>
            <w:vAlign w:val="top"/>
          </w:tcPr>
          <w:p w14:paraId="3E78F0EC">
            <w:pPr>
              <w:pStyle w:val="5"/>
              <w:keepNext/>
              <w:spacing w:after="0" w:afterLines="0" w:line="440" w:lineRule="exact"/>
              <w:ind w:left="63" w:right="63"/>
              <w:rPr>
                <w:color w:val="000000"/>
                <w:kern w:val="2"/>
                <w:sz w:val="24"/>
                <w:szCs w:val="24"/>
                <w:highlight w:val="none"/>
                <w:lang w:val="en-US" w:eastAsia="zh-CN"/>
              </w:rPr>
            </w:pPr>
          </w:p>
        </w:tc>
      </w:tr>
    </w:tbl>
    <w:p w14:paraId="6F04A2C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24"/>
          <w:szCs w:val="24"/>
          <w:highlight w:val="none"/>
          <w:lang w:eastAsia="zh-CN"/>
        </w:rPr>
      </w:pPr>
    </w:p>
    <w:p w14:paraId="0ADDC21D">
      <w:pPr>
        <w:keepNext/>
        <w:keepLines/>
        <w:widowControl w:val="0"/>
        <w:spacing w:before="260" w:after="260" w:line="416" w:lineRule="auto"/>
        <w:jc w:val="both"/>
        <w:outlineLvl w:val="2"/>
        <w:rPr>
          <w:rFonts w:hint="eastAsia" w:ascii="仿宋" w:hAnsi="仿宋" w:eastAsia="仿宋" w:cs="仿宋"/>
          <w:b/>
          <w:bCs/>
          <w:color w:val="000000"/>
          <w:kern w:val="44"/>
          <w:sz w:val="36"/>
          <w:szCs w:val="36"/>
          <w:highlight w:val="none"/>
          <w:lang w:val="en-US" w:eastAsia="zh-CN" w:bidi="ar-SA"/>
        </w:rPr>
      </w:pPr>
    </w:p>
    <w:sectPr>
      <w:footerReference r:id="rId12"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A9C2295-9B8D-4D33-9A20-4FDC25C7104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9914568-6543-4F40-8BA1-D69BD4EFD3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C87C344-1742-4914-9A92-347B745C149C}"/>
  </w:font>
  <w:font w:name="仿宋">
    <w:panose1 w:val="02010609060101010101"/>
    <w:charset w:val="86"/>
    <w:family w:val="auto"/>
    <w:pitch w:val="default"/>
    <w:sig w:usb0="800002BF" w:usb1="38CF7CFA" w:usb2="00000016" w:usb3="00000000" w:csb0="00040001" w:csb1="00000000"/>
    <w:embedRegular r:id="rId4" w:fontKey="{E123ACC1-3162-4AAF-BA54-4AE82BDD9747}"/>
  </w:font>
  <w:font w:name="CG 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35E3EA7E-19A8-484A-A70C-6B9F5B9B233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6" w:fontKey="{99E7EF48-AB83-483B-B8B3-7EC23BA6C1EB}"/>
  </w:font>
  <w:font w:name="华文中宋">
    <w:panose1 w:val="02010600040101010101"/>
    <w:charset w:val="7A"/>
    <w:family w:val="auto"/>
    <w:pitch w:val="default"/>
    <w:sig w:usb0="00000287" w:usb1="080F0000" w:usb2="00000000" w:usb3="00000000" w:csb0="0004009F" w:csb1="DFD70000"/>
    <w:embedRegular r:id="rId7" w:fontKey="{C4F26924-0A56-4CC8-884F-FDC741E847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8E355">
    <w:pPr>
      <w:pStyle w:val="52"/>
      <w:tabs>
        <w:tab w:val="clear" w:pos="4153"/>
        <w:tab w:val="clear" w:pos="8306"/>
      </w:tabs>
      <w:jc w:val="both"/>
      <w:rPr>
        <w:rFonts w:hint="eastAsia"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99E7">
    <w:pPr>
      <w:pStyle w:val="52"/>
      <w:tabs>
        <w:tab w:val="clear" w:pos="4153"/>
        <w:tab w:val="clear" w:pos="8306"/>
      </w:tabs>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54E79">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E54E79">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C875">
    <w:pPr>
      <w:spacing w:beforeAutospacing="0" w:afterAutospacing="0" w:line="196" w:lineRule="auto"/>
      <w:ind w:left="4323"/>
      <w:rPr>
        <w:rFonts w:ascii="Times New Roman" w:hAnsi="Times New Roman" w:eastAsia="Times New Roman"/>
        <w:spacing w:val="2"/>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51469">
                          <w:pPr>
                            <w:pStyle w:val="2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F751469">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B95B">
    <w:pPr>
      <w:spacing w:beforeAutospacing="0" w:afterAutospacing="0" w:line="196" w:lineRule="auto"/>
      <w:ind w:left="4323"/>
      <w:rPr>
        <w:rFonts w:ascii="Times New Roman" w:hAnsi="Times New Roman" w:eastAsia="Times New Roman"/>
        <w:spacing w:val="2"/>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04CFA">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304CFA">
                    <w:pPr>
                      <w:pStyle w:val="2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E47F">
    <w:pPr>
      <w:pStyle w:val="20"/>
      <w:jc w:val="center"/>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3E632">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93E632">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9F32">
    <w:pPr>
      <w:jc w:val="center"/>
      <w:rPr>
        <w:rFonts w:hint="eastAsia"/>
      </w:rPr>
    </w:pPr>
    <w:r>
      <w:rPr>
        <w:sz w:val="3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89A77">
                          <w:pPr>
                            <w:pStyle w:val="2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F89A77">
                    <w:pPr>
                      <w:pStyle w:val="2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7E57">
    <w:pPr>
      <w:widowControl w:val="0"/>
      <w:snapToGrid w:val="0"/>
      <w:jc w:val="left"/>
      <w:rPr>
        <w:rFonts w:ascii="Times New Roman" w:hAnsi="Times New Roman" w:eastAsia="仿宋_GB2312" w:cs="Times New Roman"/>
        <w:kern w:val="2"/>
        <w:sz w:val="24"/>
        <w:szCs w:val="20"/>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3D5D8">
                          <w:pPr>
                            <w:pStyle w:val="20"/>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B3D5D8">
                    <w:pPr>
                      <w:pStyle w:val="20"/>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5118">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E76C1"/>
    <w:multiLevelType w:val="singleLevel"/>
    <w:tmpl w:val="ADAE76C1"/>
    <w:lvl w:ilvl="0" w:tentative="0">
      <w:start w:val="3"/>
      <w:numFmt w:val="decimal"/>
      <w:suff w:val="space"/>
      <w:lvlText w:val="%1."/>
      <w:lvlJc w:val="left"/>
    </w:lvl>
  </w:abstractNum>
  <w:abstractNum w:abstractNumId="1">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left"/>
    </w:lvl>
    <w:lvl w:ilvl="5" w:tentative="0">
      <w:start w:val="1"/>
      <w:numFmt w:val="decimal"/>
      <w:suff w:val="nothing"/>
      <w:lvlText w:val=""/>
      <w:lvlJc w:val="left"/>
    </w:lvl>
    <w:lvl w:ilvl="6" w:tentative="0">
      <w:start w:val="1"/>
      <w:numFmt w:val="decimal"/>
      <w:pStyle w:val="40"/>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abstractNum w:abstractNumId="2">
    <w:nsid w:val="00000001"/>
    <w:multiLevelType w:val="singleLevel"/>
    <w:tmpl w:val="00000001"/>
    <w:lvl w:ilvl="0" w:tentative="0">
      <w:start w:val="4"/>
      <w:numFmt w:val="decimal"/>
      <w:suff w:val="nothing"/>
      <w:lvlText w:val="（%1）"/>
      <w:lvlJc w:val="left"/>
    </w:lvl>
  </w:abstractNum>
  <w:abstractNum w:abstractNumId="3">
    <w:nsid w:val="00000003"/>
    <w:multiLevelType w:val="singleLevel"/>
    <w:tmpl w:val="00000003"/>
    <w:lvl w:ilvl="0" w:tentative="0">
      <w:start w:val="1"/>
      <w:numFmt w:val="decimal"/>
      <w:pStyle w:val="70"/>
      <w:lvlText w:val="%1."/>
      <w:lvlJc w:val="left"/>
      <w:pPr>
        <w:tabs>
          <w:tab w:val="left" w:pos="360"/>
        </w:tabs>
        <w:ind w:left="360" w:hanging="360"/>
      </w:pPr>
    </w:lvl>
  </w:abstractNum>
  <w:abstractNum w:abstractNumId="4">
    <w:nsid w:val="0000000C"/>
    <w:multiLevelType w:val="singleLevel"/>
    <w:tmpl w:val="0000000C"/>
    <w:lvl w:ilvl="0" w:tentative="0">
      <w:start w:val="1"/>
      <w:numFmt w:val="decimal"/>
      <w:suff w:val="space"/>
      <w:lvlText w:val="%1."/>
      <w:lvlJc w:val="left"/>
    </w:lvl>
  </w:abstractNum>
  <w:abstractNum w:abstractNumId="5">
    <w:nsid w:val="6E17D4D7"/>
    <w:multiLevelType w:val="multilevel"/>
    <w:tmpl w:val="6E17D4D7"/>
    <w:lvl w:ilvl="0" w:tentative="0">
      <w:start w:val="1"/>
      <w:numFmt w:val="decimal"/>
      <w:lvlText w:val="第%1章"/>
      <w:lvlJc w:val="left"/>
      <w:pPr>
        <w:ind w:left="432" w:hanging="432"/>
      </w:pPr>
      <w:rPr>
        <w:rFonts w:hint="eastAsia" w:ascii="宋体" w:hAnsi="宋体" w:eastAsia="宋体"/>
      </w:rPr>
    </w:lvl>
    <w:lvl w:ilvl="1" w:tentative="0">
      <w:start w:val="1"/>
      <w:numFmt w:val="none"/>
      <w:lvlText w:val="%1.%2"/>
      <w:lvlJc w:val="left"/>
      <w:pPr>
        <w:ind w:left="575" w:hanging="575"/>
      </w:pPr>
      <w:rPr>
        <w:rFonts w:hint="eastAsia" w:ascii="宋体" w:hAnsi="宋体" w:eastAsia="宋体"/>
      </w:rPr>
    </w:lvl>
    <w:lvl w:ilvl="2" w:tentative="0">
      <w:start w:val="1"/>
      <w:numFmt w:val="decimal"/>
      <w:lvlText w:val="%1.%2.%3 "/>
      <w:lvlJc w:val="left"/>
      <w:pPr>
        <w:ind w:left="720" w:hanging="720"/>
      </w:pPr>
      <w:rPr>
        <w:rFonts w:hint="eastAsia" w:ascii="宋体" w:hAnsi="宋体" w:eastAsia="宋体"/>
      </w:rPr>
    </w:lvl>
    <w:lvl w:ilvl="3" w:tentative="0">
      <w:start w:val="1"/>
      <w:numFmt w:val="decimal"/>
      <w:pStyle w:val="37"/>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NDRlODk4NmJmYzVkZjYzZTkwYjM5MDllZDY3NjcifQ=="/>
  </w:docVars>
  <w:rsids>
    <w:rsidRoot w:val="00000000"/>
    <w:rsid w:val="008322BB"/>
    <w:rsid w:val="00C34DAD"/>
    <w:rsid w:val="01B658ED"/>
    <w:rsid w:val="0241242E"/>
    <w:rsid w:val="0250093A"/>
    <w:rsid w:val="0273010D"/>
    <w:rsid w:val="02F05C02"/>
    <w:rsid w:val="0301396B"/>
    <w:rsid w:val="03887BE8"/>
    <w:rsid w:val="03E72B61"/>
    <w:rsid w:val="03F434D0"/>
    <w:rsid w:val="040C25C7"/>
    <w:rsid w:val="04402271"/>
    <w:rsid w:val="048F6B98"/>
    <w:rsid w:val="049A6F91"/>
    <w:rsid w:val="051200B1"/>
    <w:rsid w:val="05C649F8"/>
    <w:rsid w:val="06CE1DB6"/>
    <w:rsid w:val="07222102"/>
    <w:rsid w:val="075A3D5F"/>
    <w:rsid w:val="08744BDF"/>
    <w:rsid w:val="0883716C"/>
    <w:rsid w:val="089351B1"/>
    <w:rsid w:val="08BB636A"/>
    <w:rsid w:val="08C2594B"/>
    <w:rsid w:val="0955241D"/>
    <w:rsid w:val="09766BE2"/>
    <w:rsid w:val="09866978"/>
    <w:rsid w:val="09EA5159"/>
    <w:rsid w:val="0A3B3C06"/>
    <w:rsid w:val="0A586566"/>
    <w:rsid w:val="0A96708F"/>
    <w:rsid w:val="0AC232DE"/>
    <w:rsid w:val="0AF344E1"/>
    <w:rsid w:val="0B3C7C36"/>
    <w:rsid w:val="0B3F14D4"/>
    <w:rsid w:val="0B6B051B"/>
    <w:rsid w:val="0BC35C62"/>
    <w:rsid w:val="0BE33E15"/>
    <w:rsid w:val="0BE60D08"/>
    <w:rsid w:val="0C75675E"/>
    <w:rsid w:val="0DA63A8D"/>
    <w:rsid w:val="0DB656F5"/>
    <w:rsid w:val="0DE17D54"/>
    <w:rsid w:val="0DED5218"/>
    <w:rsid w:val="0E207C3B"/>
    <w:rsid w:val="0E4B0767"/>
    <w:rsid w:val="0E8F62CF"/>
    <w:rsid w:val="0EA0672E"/>
    <w:rsid w:val="0EF97BEC"/>
    <w:rsid w:val="0F0767AD"/>
    <w:rsid w:val="0F554A8F"/>
    <w:rsid w:val="0F707EAE"/>
    <w:rsid w:val="0FC71A98"/>
    <w:rsid w:val="10DF3A55"/>
    <w:rsid w:val="10E03BB5"/>
    <w:rsid w:val="115630D4"/>
    <w:rsid w:val="115B40DB"/>
    <w:rsid w:val="116E48C1"/>
    <w:rsid w:val="11847C41"/>
    <w:rsid w:val="11C6025A"/>
    <w:rsid w:val="11DC2455"/>
    <w:rsid w:val="11E22BBA"/>
    <w:rsid w:val="125731CE"/>
    <w:rsid w:val="12641821"/>
    <w:rsid w:val="128D6FC9"/>
    <w:rsid w:val="12BE3627"/>
    <w:rsid w:val="12EA441C"/>
    <w:rsid w:val="12F62DC0"/>
    <w:rsid w:val="12FB3F33"/>
    <w:rsid w:val="13832473"/>
    <w:rsid w:val="13A46379"/>
    <w:rsid w:val="13CB5FFB"/>
    <w:rsid w:val="13E1587A"/>
    <w:rsid w:val="14151024"/>
    <w:rsid w:val="14165942"/>
    <w:rsid w:val="1428183B"/>
    <w:rsid w:val="142C45C0"/>
    <w:rsid w:val="148F7B31"/>
    <w:rsid w:val="155C12FF"/>
    <w:rsid w:val="15D867AD"/>
    <w:rsid w:val="16111CE9"/>
    <w:rsid w:val="16710480"/>
    <w:rsid w:val="1690460A"/>
    <w:rsid w:val="16DA2A3D"/>
    <w:rsid w:val="17005FBC"/>
    <w:rsid w:val="1827650A"/>
    <w:rsid w:val="18455DC8"/>
    <w:rsid w:val="187E711A"/>
    <w:rsid w:val="18BE612E"/>
    <w:rsid w:val="18C74DD1"/>
    <w:rsid w:val="18E11E1D"/>
    <w:rsid w:val="196E2C55"/>
    <w:rsid w:val="19A54BF8"/>
    <w:rsid w:val="19CC487B"/>
    <w:rsid w:val="19EF1139"/>
    <w:rsid w:val="1A3B49F1"/>
    <w:rsid w:val="1A4268EB"/>
    <w:rsid w:val="1AC854E6"/>
    <w:rsid w:val="1ACA4475"/>
    <w:rsid w:val="1B3C7FB3"/>
    <w:rsid w:val="1B570174"/>
    <w:rsid w:val="1BB15E18"/>
    <w:rsid w:val="1BE7599C"/>
    <w:rsid w:val="1C632B49"/>
    <w:rsid w:val="1C8B6F98"/>
    <w:rsid w:val="1CC12CDF"/>
    <w:rsid w:val="1D1B6C8D"/>
    <w:rsid w:val="1D5E10DB"/>
    <w:rsid w:val="1D6161FF"/>
    <w:rsid w:val="1D8C5C79"/>
    <w:rsid w:val="1DA90A2F"/>
    <w:rsid w:val="1DD755B8"/>
    <w:rsid w:val="1E8474D2"/>
    <w:rsid w:val="1ECE074D"/>
    <w:rsid w:val="1EFC4C0E"/>
    <w:rsid w:val="1F941997"/>
    <w:rsid w:val="20796DDF"/>
    <w:rsid w:val="210147AE"/>
    <w:rsid w:val="21052421"/>
    <w:rsid w:val="215F4227"/>
    <w:rsid w:val="21DA1AFF"/>
    <w:rsid w:val="21E64000"/>
    <w:rsid w:val="223B07F0"/>
    <w:rsid w:val="22477195"/>
    <w:rsid w:val="22695E7F"/>
    <w:rsid w:val="227C4126"/>
    <w:rsid w:val="229E03FB"/>
    <w:rsid w:val="22A15189"/>
    <w:rsid w:val="22F866E1"/>
    <w:rsid w:val="235F406A"/>
    <w:rsid w:val="23767606"/>
    <w:rsid w:val="237815D0"/>
    <w:rsid w:val="23AA0A6B"/>
    <w:rsid w:val="23D902C0"/>
    <w:rsid w:val="244B0A92"/>
    <w:rsid w:val="245E1D27"/>
    <w:rsid w:val="24844A49"/>
    <w:rsid w:val="2549209E"/>
    <w:rsid w:val="25FF1B34"/>
    <w:rsid w:val="266F2816"/>
    <w:rsid w:val="26804A23"/>
    <w:rsid w:val="26C37006"/>
    <w:rsid w:val="27604855"/>
    <w:rsid w:val="27F531EF"/>
    <w:rsid w:val="287F0C9A"/>
    <w:rsid w:val="28A16ED3"/>
    <w:rsid w:val="28E868B0"/>
    <w:rsid w:val="2906785B"/>
    <w:rsid w:val="2A8E16D9"/>
    <w:rsid w:val="2AC5334C"/>
    <w:rsid w:val="2B14398C"/>
    <w:rsid w:val="2B2F75DC"/>
    <w:rsid w:val="2CD70CF0"/>
    <w:rsid w:val="2CDA30CF"/>
    <w:rsid w:val="2CDF384B"/>
    <w:rsid w:val="2CFF7C64"/>
    <w:rsid w:val="2D28607F"/>
    <w:rsid w:val="2E2C1D2C"/>
    <w:rsid w:val="2EFD6656"/>
    <w:rsid w:val="2FF124EE"/>
    <w:rsid w:val="30550CCF"/>
    <w:rsid w:val="30874C00"/>
    <w:rsid w:val="30DC13F0"/>
    <w:rsid w:val="318D6246"/>
    <w:rsid w:val="32D700C1"/>
    <w:rsid w:val="331E378C"/>
    <w:rsid w:val="3349596A"/>
    <w:rsid w:val="33576B0C"/>
    <w:rsid w:val="33AD7981"/>
    <w:rsid w:val="33BE4DDD"/>
    <w:rsid w:val="34AE15AA"/>
    <w:rsid w:val="35817BCA"/>
    <w:rsid w:val="35BB5A78"/>
    <w:rsid w:val="35E86141"/>
    <w:rsid w:val="35E93673"/>
    <w:rsid w:val="369D6F2B"/>
    <w:rsid w:val="36A4475E"/>
    <w:rsid w:val="37503F9E"/>
    <w:rsid w:val="3798538C"/>
    <w:rsid w:val="3805122C"/>
    <w:rsid w:val="381274A5"/>
    <w:rsid w:val="38454AF6"/>
    <w:rsid w:val="38482EC7"/>
    <w:rsid w:val="38912A8D"/>
    <w:rsid w:val="389F34E3"/>
    <w:rsid w:val="38D64977"/>
    <w:rsid w:val="38DD7AB3"/>
    <w:rsid w:val="38FC5E89"/>
    <w:rsid w:val="39A64349"/>
    <w:rsid w:val="3A5C0EAC"/>
    <w:rsid w:val="3AE96BE3"/>
    <w:rsid w:val="3B1F0857"/>
    <w:rsid w:val="3B20637D"/>
    <w:rsid w:val="3CCC056A"/>
    <w:rsid w:val="3CCE3861"/>
    <w:rsid w:val="3CE82ECA"/>
    <w:rsid w:val="3CFC0570"/>
    <w:rsid w:val="3D365343"/>
    <w:rsid w:val="3D7E0386"/>
    <w:rsid w:val="3D813575"/>
    <w:rsid w:val="3D8949C3"/>
    <w:rsid w:val="3DE71EF3"/>
    <w:rsid w:val="3E0363BE"/>
    <w:rsid w:val="3E75253C"/>
    <w:rsid w:val="3ED40657"/>
    <w:rsid w:val="3F78162B"/>
    <w:rsid w:val="3FCE187E"/>
    <w:rsid w:val="3FF47F30"/>
    <w:rsid w:val="403A57EB"/>
    <w:rsid w:val="404743B5"/>
    <w:rsid w:val="41105A26"/>
    <w:rsid w:val="414A7CB0"/>
    <w:rsid w:val="42DE0F20"/>
    <w:rsid w:val="42FE6FA4"/>
    <w:rsid w:val="43162494"/>
    <w:rsid w:val="436E4E2A"/>
    <w:rsid w:val="4379487C"/>
    <w:rsid w:val="437B05F4"/>
    <w:rsid w:val="439B0C97"/>
    <w:rsid w:val="43A90DD9"/>
    <w:rsid w:val="43E066A9"/>
    <w:rsid w:val="43F32881"/>
    <w:rsid w:val="43F81C45"/>
    <w:rsid w:val="44083B7C"/>
    <w:rsid w:val="441E2512"/>
    <w:rsid w:val="445D3C9B"/>
    <w:rsid w:val="45264590"/>
    <w:rsid w:val="454113CA"/>
    <w:rsid w:val="458D5460"/>
    <w:rsid w:val="459B6D2C"/>
    <w:rsid w:val="45F445D0"/>
    <w:rsid w:val="462D194E"/>
    <w:rsid w:val="465C3A3F"/>
    <w:rsid w:val="4720532F"/>
    <w:rsid w:val="47507FEA"/>
    <w:rsid w:val="47637D1D"/>
    <w:rsid w:val="47A91C41"/>
    <w:rsid w:val="47B916EB"/>
    <w:rsid w:val="47DA343B"/>
    <w:rsid w:val="48253552"/>
    <w:rsid w:val="482C01B5"/>
    <w:rsid w:val="483376F0"/>
    <w:rsid w:val="48E050AA"/>
    <w:rsid w:val="4A0462BA"/>
    <w:rsid w:val="4A253F1B"/>
    <w:rsid w:val="4A742241"/>
    <w:rsid w:val="4A783A80"/>
    <w:rsid w:val="4B6573C5"/>
    <w:rsid w:val="4B72052F"/>
    <w:rsid w:val="4B8C5272"/>
    <w:rsid w:val="4B9C03C6"/>
    <w:rsid w:val="4BAD77B9"/>
    <w:rsid w:val="4C46376A"/>
    <w:rsid w:val="4C51643C"/>
    <w:rsid w:val="4C651E42"/>
    <w:rsid w:val="4CC44899"/>
    <w:rsid w:val="4CCE1850"/>
    <w:rsid w:val="4D00367C"/>
    <w:rsid w:val="4D7F6F33"/>
    <w:rsid w:val="4DFA1637"/>
    <w:rsid w:val="4EB25722"/>
    <w:rsid w:val="4ED4505D"/>
    <w:rsid w:val="4F3A5808"/>
    <w:rsid w:val="4F7F30C2"/>
    <w:rsid w:val="4FDE2637"/>
    <w:rsid w:val="4FE861DA"/>
    <w:rsid w:val="4FF0753A"/>
    <w:rsid w:val="5067762F"/>
    <w:rsid w:val="50E05F3B"/>
    <w:rsid w:val="50EC2B32"/>
    <w:rsid w:val="512E2ED1"/>
    <w:rsid w:val="51B561FA"/>
    <w:rsid w:val="51E14F57"/>
    <w:rsid w:val="51F63F1B"/>
    <w:rsid w:val="523F2319"/>
    <w:rsid w:val="52432C25"/>
    <w:rsid w:val="525941F7"/>
    <w:rsid w:val="52A1639A"/>
    <w:rsid w:val="52EE281C"/>
    <w:rsid w:val="52FD1026"/>
    <w:rsid w:val="541617E6"/>
    <w:rsid w:val="54224ABC"/>
    <w:rsid w:val="546B1FBF"/>
    <w:rsid w:val="54BF230B"/>
    <w:rsid w:val="54D477C0"/>
    <w:rsid w:val="54E87AB4"/>
    <w:rsid w:val="55222FC6"/>
    <w:rsid w:val="556B3665"/>
    <w:rsid w:val="55C53951"/>
    <w:rsid w:val="562B2612"/>
    <w:rsid w:val="564048A6"/>
    <w:rsid w:val="56A93273"/>
    <w:rsid w:val="56B06EA6"/>
    <w:rsid w:val="56B34582"/>
    <w:rsid w:val="570C1B4D"/>
    <w:rsid w:val="5798756F"/>
    <w:rsid w:val="57F329F7"/>
    <w:rsid w:val="5809168D"/>
    <w:rsid w:val="5861548F"/>
    <w:rsid w:val="58BB3BD3"/>
    <w:rsid w:val="58DE3F06"/>
    <w:rsid w:val="59561490"/>
    <w:rsid w:val="59926240"/>
    <w:rsid w:val="59AA4345"/>
    <w:rsid w:val="5A4206BD"/>
    <w:rsid w:val="5A5D6E4E"/>
    <w:rsid w:val="5A601E9A"/>
    <w:rsid w:val="5A8C2C8F"/>
    <w:rsid w:val="5A950AB4"/>
    <w:rsid w:val="5ACE2222"/>
    <w:rsid w:val="5AE91E90"/>
    <w:rsid w:val="5B624230"/>
    <w:rsid w:val="5BE03AC9"/>
    <w:rsid w:val="5C292E8C"/>
    <w:rsid w:val="5C9443DE"/>
    <w:rsid w:val="5CA93FCD"/>
    <w:rsid w:val="5D69161B"/>
    <w:rsid w:val="5DDC5CDC"/>
    <w:rsid w:val="5DEF1EB3"/>
    <w:rsid w:val="5E1A7EF1"/>
    <w:rsid w:val="5EE94B54"/>
    <w:rsid w:val="5F313E05"/>
    <w:rsid w:val="5F7206A6"/>
    <w:rsid w:val="5F814D8D"/>
    <w:rsid w:val="5FE1582B"/>
    <w:rsid w:val="5FF6265A"/>
    <w:rsid w:val="603A63E4"/>
    <w:rsid w:val="605E6E7C"/>
    <w:rsid w:val="607F5327"/>
    <w:rsid w:val="61267B41"/>
    <w:rsid w:val="613D2F35"/>
    <w:rsid w:val="61FF2660"/>
    <w:rsid w:val="621811CA"/>
    <w:rsid w:val="62AC57EA"/>
    <w:rsid w:val="62B17737"/>
    <w:rsid w:val="62BD2580"/>
    <w:rsid w:val="62F77D9F"/>
    <w:rsid w:val="62F933A7"/>
    <w:rsid w:val="63927568"/>
    <w:rsid w:val="639808F7"/>
    <w:rsid w:val="63EE069F"/>
    <w:rsid w:val="640D4E41"/>
    <w:rsid w:val="645667E8"/>
    <w:rsid w:val="64C01EB3"/>
    <w:rsid w:val="65314B5F"/>
    <w:rsid w:val="65412185"/>
    <w:rsid w:val="659B1356"/>
    <w:rsid w:val="65C854C3"/>
    <w:rsid w:val="65D774B5"/>
    <w:rsid w:val="661F70AE"/>
    <w:rsid w:val="66263F98"/>
    <w:rsid w:val="663E5786"/>
    <w:rsid w:val="66ED2D08"/>
    <w:rsid w:val="67713939"/>
    <w:rsid w:val="67A21D44"/>
    <w:rsid w:val="67B6759E"/>
    <w:rsid w:val="67D57A24"/>
    <w:rsid w:val="683230C8"/>
    <w:rsid w:val="686314D3"/>
    <w:rsid w:val="689773CF"/>
    <w:rsid w:val="690245F2"/>
    <w:rsid w:val="6A6C1B13"/>
    <w:rsid w:val="6AA97ABF"/>
    <w:rsid w:val="6AD22940"/>
    <w:rsid w:val="6B015A74"/>
    <w:rsid w:val="6B1C51D6"/>
    <w:rsid w:val="6B560FC3"/>
    <w:rsid w:val="6B5670CE"/>
    <w:rsid w:val="6BB145C0"/>
    <w:rsid w:val="6C16685D"/>
    <w:rsid w:val="6C4B4758"/>
    <w:rsid w:val="6C9F4AA4"/>
    <w:rsid w:val="6CD02EB0"/>
    <w:rsid w:val="6D17288C"/>
    <w:rsid w:val="6D3A7899"/>
    <w:rsid w:val="6D3C3588"/>
    <w:rsid w:val="6D567859"/>
    <w:rsid w:val="6D9360F3"/>
    <w:rsid w:val="6DF36E56"/>
    <w:rsid w:val="6DF51964"/>
    <w:rsid w:val="6E12227C"/>
    <w:rsid w:val="6E3A4A84"/>
    <w:rsid w:val="6F7B68A3"/>
    <w:rsid w:val="6F8D34C0"/>
    <w:rsid w:val="708609B4"/>
    <w:rsid w:val="70E84C6C"/>
    <w:rsid w:val="70E92897"/>
    <w:rsid w:val="71135568"/>
    <w:rsid w:val="714F58B3"/>
    <w:rsid w:val="720D24B0"/>
    <w:rsid w:val="724D0AFE"/>
    <w:rsid w:val="72A96169"/>
    <w:rsid w:val="72CB65F3"/>
    <w:rsid w:val="73353A6C"/>
    <w:rsid w:val="735A5ADF"/>
    <w:rsid w:val="735F6D3B"/>
    <w:rsid w:val="73893DB8"/>
    <w:rsid w:val="73D72D76"/>
    <w:rsid w:val="73EA390A"/>
    <w:rsid w:val="745E5245"/>
    <w:rsid w:val="75183646"/>
    <w:rsid w:val="762E5AA6"/>
    <w:rsid w:val="769E036F"/>
    <w:rsid w:val="76C515AB"/>
    <w:rsid w:val="76DC3431"/>
    <w:rsid w:val="77487608"/>
    <w:rsid w:val="77717486"/>
    <w:rsid w:val="778E4466"/>
    <w:rsid w:val="78395DAD"/>
    <w:rsid w:val="785E5813"/>
    <w:rsid w:val="78B73EB0"/>
    <w:rsid w:val="79852AA2"/>
    <w:rsid w:val="799D05BD"/>
    <w:rsid w:val="79B11A3C"/>
    <w:rsid w:val="79CC5832"/>
    <w:rsid w:val="79E81839"/>
    <w:rsid w:val="79F40094"/>
    <w:rsid w:val="7A1016C4"/>
    <w:rsid w:val="7A4078C7"/>
    <w:rsid w:val="7B0528FD"/>
    <w:rsid w:val="7B0F081D"/>
    <w:rsid w:val="7B3348D9"/>
    <w:rsid w:val="7B66335D"/>
    <w:rsid w:val="7B6E5D6D"/>
    <w:rsid w:val="7B910F06"/>
    <w:rsid w:val="7C280612"/>
    <w:rsid w:val="7C4B60AF"/>
    <w:rsid w:val="7C890B90"/>
    <w:rsid w:val="7CC05D74"/>
    <w:rsid w:val="7D3F6BF3"/>
    <w:rsid w:val="7DC51E91"/>
    <w:rsid w:val="7EAA7A04"/>
    <w:rsid w:val="7F713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8"/>
    <w:qFormat/>
    <w:uiPriority w:val="0"/>
    <w:pPr>
      <w:widowControl w:val="0"/>
      <w:spacing w:beforeAutospacing="0" w:afterAutospacing="0" w:line="312" w:lineRule="atLeast"/>
      <w:jc w:val="both"/>
    </w:pPr>
    <w:rPr>
      <w:rFonts w:ascii="宋体" w:hAnsi="Times New Roman" w:eastAsia="宋体" w:cs="Times New Roman"/>
      <w:sz w:val="34"/>
      <w:lang w:val="en-US" w:eastAsia="zh-CN" w:bidi="ar-SA"/>
    </w:rPr>
  </w:style>
  <w:style w:type="paragraph" w:styleId="7">
    <w:name w:val="heading 1"/>
    <w:basedOn w:val="1"/>
    <w:next w:val="1"/>
    <w:autoRedefine/>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8">
    <w:name w:val="heading 2"/>
    <w:next w:val="1"/>
    <w:autoRedefine/>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9">
    <w:name w:val="heading 3"/>
    <w:basedOn w:val="1"/>
    <w:next w:val="1"/>
    <w:autoRedefine/>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10">
    <w:name w:val="heading 4"/>
    <w:basedOn w:val="1"/>
    <w:next w:val="1"/>
    <w:autoRedefine/>
    <w:qFormat/>
    <w:uiPriority w:val="0"/>
    <w:pPr>
      <w:keepNext/>
      <w:keepLines/>
      <w:widowControl w:val="0"/>
      <w:numPr>
        <w:ilvl w:val="3"/>
        <w:numId w:val="1"/>
      </w:numPr>
      <w:spacing w:before="280" w:beforeLines="0" w:beforeAutospacing="0" w:after="290" w:afterLines="0" w:afterAutospacing="0" w:line="372" w:lineRule="auto"/>
      <w:ind w:left="864" w:hanging="864"/>
      <w:jc w:val="both"/>
      <w:outlineLvl w:val="3"/>
    </w:pPr>
    <w:rPr>
      <w:rFonts w:ascii="Arial" w:hAnsi="Arial" w:eastAsia="黑体" w:cs="Times New Roman"/>
      <w:b/>
      <w:kern w:val="2"/>
      <w:sz w:val="28"/>
      <w:szCs w:val="24"/>
      <w:lang w:val="en-US" w:eastAsia="zh-CN" w:bidi="ar-SA"/>
    </w:rPr>
  </w:style>
  <w:style w:type="paragraph" w:styleId="11">
    <w:name w:val="heading 5"/>
    <w:basedOn w:val="1"/>
    <w:next w:val="1"/>
    <w:qFormat/>
    <w:uiPriority w:val="0"/>
    <w:pPr>
      <w:keepNext/>
      <w:keepLines/>
      <w:spacing w:before="280" w:beforeLines="0" w:after="290" w:afterLines="0" w:line="372" w:lineRule="auto"/>
      <w:outlineLvl w:val="4"/>
    </w:pPr>
    <w:rPr>
      <w:b/>
      <w:bCs/>
      <w:kern w:val="2"/>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after="120"/>
      <w:ind w:left="420" w:leftChars="200" w:firstLine="420" w:firstLineChars="200"/>
      <w:jc w:val="both"/>
    </w:pPr>
    <w:rPr>
      <w:rFonts w:ascii="Times New Roman" w:hAnsi="Times New Roman" w:eastAsia="宋体" w:cs="Times New Roman"/>
      <w:color w:val="FF0000"/>
      <w:kern w:val="2"/>
      <w:sz w:val="21"/>
      <w:szCs w:val="24"/>
      <w:lang w:val="en-US" w:eastAsia="zh-CN" w:bidi="ar-SA"/>
    </w:rPr>
  </w:style>
  <w:style w:type="paragraph" w:styleId="3">
    <w:name w:val="Body Text Indent"/>
    <w:basedOn w:val="1"/>
    <w:next w:val="4"/>
    <w:autoRedefine/>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styleId="4">
    <w:name w:val="Body Text First Indent"/>
    <w:basedOn w:val="5"/>
    <w:next w:val="1"/>
    <w:qFormat/>
    <w:uiPriority w:val="0"/>
    <w:pPr>
      <w:spacing w:line="312" w:lineRule="auto"/>
      <w:ind w:firstLine="420"/>
    </w:pPr>
  </w:style>
  <w:style w:type="paragraph" w:styleId="5">
    <w:name w:val="Body Text"/>
    <w:basedOn w:val="1"/>
    <w:next w:val="6"/>
    <w:autoRedefine/>
    <w:qFormat/>
    <w:uiPriority w:val="0"/>
    <w:pPr>
      <w:spacing w:after="120"/>
    </w:pPr>
  </w:style>
  <w:style w:type="paragraph" w:styleId="6">
    <w:name w:val="Body Text 3"/>
    <w:basedOn w:val="1"/>
    <w:next w:val="1"/>
    <w:qFormat/>
    <w:uiPriority w:val="0"/>
    <w:pPr>
      <w:jc w:val="center"/>
    </w:pPr>
    <w:rPr>
      <w:b/>
      <w:spacing w:val="-20"/>
      <w:w w:val="110"/>
      <w:sz w:val="52"/>
    </w:rPr>
  </w:style>
  <w:style w:type="paragraph" w:styleId="12">
    <w:name w:val="Normal Indent"/>
    <w:basedOn w:val="1"/>
    <w:next w:val="1"/>
    <w:autoRedefine/>
    <w:qFormat/>
    <w:uiPriority w:val="0"/>
    <w:pPr>
      <w:ind w:firstLine="420" w:firstLineChars="200"/>
    </w:pPr>
  </w:style>
  <w:style w:type="paragraph" w:styleId="13">
    <w:name w:val="Document Map"/>
    <w:basedOn w:val="1"/>
    <w:autoRedefine/>
    <w:qFormat/>
    <w:uiPriority w:val="0"/>
    <w:pPr>
      <w:widowControl w:val="0"/>
      <w:shd w:val="clear" w:color="auto" w:fill="000080"/>
      <w:jc w:val="both"/>
    </w:pPr>
    <w:rPr>
      <w:rFonts w:ascii="Times New Roman" w:hAnsi="Times New Roman" w:eastAsia="宋体" w:cs="Times New Roman"/>
      <w:kern w:val="0"/>
      <w:sz w:val="24"/>
      <w:szCs w:val="20"/>
      <w:lang w:val="en-US" w:eastAsia="zh-CN" w:bidi="ar-SA"/>
    </w:rPr>
  </w:style>
  <w:style w:type="paragraph" w:styleId="14">
    <w:name w:val="toa heading"/>
    <w:basedOn w:val="1"/>
    <w:next w:val="1"/>
    <w:qFormat/>
    <w:uiPriority w:val="0"/>
    <w:pPr>
      <w:spacing w:before="120"/>
    </w:pPr>
    <w:rPr>
      <w:rFonts w:ascii="Cambria" w:hAnsi="Cambria"/>
      <w:sz w:val="24"/>
    </w:rPr>
  </w:style>
  <w:style w:type="paragraph" w:styleId="15">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tabs>
        <w:tab w:val="right" w:leader="dot" w:pos="8296"/>
      </w:tabs>
      <w:ind w:left="1050" w:leftChars="500"/>
    </w:pPr>
  </w:style>
  <w:style w:type="paragraph" w:styleId="17">
    <w:name w:val="toc 3"/>
    <w:basedOn w:val="1"/>
    <w:next w:val="1"/>
    <w:qFormat/>
    <w:uiPriority w:val="0"/>
    <w:pPr>
      <w:ind w:left="840" w:leftChars="400"/>
    </w:pPr>
  </w:style>
  <w:style w:type="paragraph" w:styleId="18">
    <w:name w:val="Plain Text"/>
    <w:autoRedefine/>
    <w:qFormat/>
    <w:uiPriority w:val="99"/>
    <w:pPr>
      <w:widowControl w:val="0"/>
      <w:jc w:val="both"/>
    </w:pPr>
    <w:rPr>
      <w:rFonts w:ascii="宋体" w:hAnsi="Courier New" w:eastAsia="宋体" w:cs="Times New Roman"/>
      <w:kern w:val="2"/>
      <w:sz w:val="22"/>
      <w:szCs w:val="20"/>
      <w:lang w:val="en-US" w:eastAsia="zh-CN" w:bidi="ar-SA"/>
    </w:rPr>
  </w:style>
  <w:style w:type="paragraph" w:styleId="19">
    <w:name w:val="Body Text Indent 2"/>
    <w:basedOn w:val="1"/>
    <w:autoRedefine/>
    <w:qFormat/>
    <w:uiPriority w:val="0"/>
    <w:pPr>
      <w:spacing w:after="120" w:line="480" w:lineRule="auto"/>
      <w:ind w:left="420" w:leftChars="200"/>
    </w:pPr>
    <w:rPr>
      <w:rFonts w:ascii="Calibri" w:hAnsi="Calibri" w:eastAsia="宋体" w:cs="Times New Roman"/>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autoRedefine/>
    <w:qFormat/>
    <w:uiPriority w:val="0"/>
  </w:style>
  <w:style w:type="paragraph" w:styleId="23">
    <w:name w:val="toc 4"/>
    <w:basedOn w:val="1"/>
    <w:next w:val="1"/>
    <w:qFormat/>
    <w:uiPriority w:val="0"/>
    <w:pPr>
      <w:tabs>
        <w:tab w:val="left" w:pos="1890"/>
        <w:tab w:val="right" w:leader="dot" w:pos="8296"/>
      </w:tabs>
      <w:ind w:left="630" w:leftChars="300"/>
    </w:pPr>
  </w:style>
  <w:style w:type="paragraph" w:styleId="24">
    <w:name w:val="footnote text"/>
    <w:basedOn w:val="1"/>
    <w:unhideWhenUsed/>
    <w:qFormat/>
    <w:uiPriority w:val="99"/>
    <w:pPr>
      <w:snapToGrid w:val="0"/>
      <w:jc w:val="left"/>
    </w:pPr>
    <w:rPr>
      <w:sz w:val="18"/>
    </w:rPr>
  </w:style>
  <w:style w:type="paragraph" w:styleId="25">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rFonts w:ascii="Calibri" w:hAnsi="Calibri" w:eastAsia="宋体" w:cs="Times New Roman"/>
      <w:b/>
    </w:rPr>
  </w:style>
  <w:style w:type="character" w:styleId="30">
    <w:name w:val="Hyperlink"/>
    <w:basedOn w:val="28"/>
    <w:autoRedefine/>
    <w:qFormat/>
    <w:uiPriority w:val="0"/>
    <w:rPr>
      <w:color w:val="0000FF"/>
      <w:u w:val="single"/>
    </w:rPr>
  </w:style>
  <w:style w:type="paragraph" w:customStyle="1" w:styleId="31">
    <w:name w:val="目录 53"/>
    <w:next w:val="1"/>
    <w:autoRedefine/>
    <w:qFormat/>
    <w:uiPriority w:val="0"/>
    <w:pPr>
      <w:widowControl w:val="0"/>
      <w:ind w:left="840"/>
      <w:jc w:val="both"/>
    </w:pPr>
    <w:rPr>
      <w:rFonts w:ascii="Times New Roman" w:hAnsi="Times New Roman" w:eastAsia="宋体" w:cs="Times New Roman"/>
      <w:kern w:val="2"/>
      <w:sz w:val="18"/>
      <w:szCs w:val="24"/>
      <w:lang w:val="en-US" w:eastAsia="zh-CN" w:bidi="ar-SA"/>
    </w:rPr>
  </w:style>
  <w:style w:type="paragraph" w:customStyle="1" w:styleId="32">
    <w:name w:val="Default"/>
    <w:autoRedefine/>
    <w:qFormat/>
    <w:uiPriority w:val="0"/>
    <w:pPr>
      <w:widowControl w:val="0"/>
    </w:pPr>
    <w:rPr>
      <w:rFonts w:ascii="Times New Roman" w:hAnsi="Times New Roman" w:eastAsia="Times New Roman" w:cs="Times New Roman"/>
      <w:color w:val="000000"/>
      <w:sz w:val="24"/>
      <w:lang w:val="en-US" w:eastAsia="en-US" w:bidi="ar-SA"/>
    </w:rPr>
  </w:style>
  <w:style w:type="character" w:customStyle="1" w:styleId="33">
    <w:name w:val="标题 1 Char"/>
    <w:link w:val="34"/>
    <w:autoRedefine/>
    <w:qFormat/>
    <w:uiPriority w:val="0"/>
    <w:rPr>
      <w:rFonts w:ascii="Calibri" w:hAnsi="Calibri" w:eastAsia="宋体"/>
      <w:b/>
      <w:bCs/>
      <w:kern w:val="44"/>
      <w:sz w:val="36"/>
      <w:szCs w:val="44"/>
    </w:rPr>
  </w:style>
  <w:style w:type="paragraph" w:customStyle="1" w:styleId="34">
    <w:name w:val="标题 11"/>
    <w:basedOn w:val="1"/>
    <w:link w:val="33"/>
    <w:autoRedefine/>
    <w:qFormat/>
    <w:uiPriority w:val="0"/>
    <w:pPr>
      <w:keepNext/>
      <w:keepLines/>
      <w:spacing w:beforeAutospacing="0" w:afterAutospacing="0" w:line="360" w:lineRule="auto"/>
      <w:jc w:val="center"/>
      <w:outlineLvl w:val="0"/>
    </w:pPr>
    <w:rPr>
      <w:rFonts w:ascii="Calibri" w:hAnsi="Calibri" w:eastAsia="宋体"/>
      <w:b/>
      <w:bCs/>
      <w:kern w:val="44"/>
      <w:sz w:val="36"/>
      <w:szCs w:val="44"/>
    </w:rPr>
  </w:style>
  <w:style w:type="paragraph" w:customStyle="1" w:styleId="35">
    <w:name w:val="标题 21"/>
    <w:basedOn w:val="1"/>
    <w:autoRedefine/>
    <w:qFormat/>
    <w:uiPriority w:val="0"/>
    <w:pPr>
      <w:keepNext/>
      <w:keepLines/>
      <w:spacing w:before="260" w:beforeAutospacing="0" w:after="260" w:afterAutospacing="0" w:line="416" w:lineRule="auto"/>
      <w:outlineLvl w:val="1"/>
    </w:pPr>
    <w:rPr>
      <w:rFonts w:ascii="Arial" w:hAnsi="Arial" w:eastAsia="黑体"/>
      <w:b/>
      <w:bCs/>
      <w:sz w:val="32"/>
      <w:szCs w:val="32"/>
    </w:rPr>
  </w:style>
  <w:style w:type="paragraph" w:customStyle="1" w:styleId="36">
    <w:name w:val="标题 31"/>
    <w:basedOn w:val="1"/>
    <w:autoRedefine/>
    <w:qFormat/>
    <w:uiPriority w:val="0"/>
    <w:pPr>
      <w:keepNext/>
      <w:keepLines/>
      <w:spacing w:before="260" w:beforeAutospacing="0" w:after="260" w:afterAutospacing="0" w:line="416" w:lineRule="auto"/>
      <w:outlineLvl w:val="2"/>
    </w:pPr>
    <w:rPr>
      <w:b/>
      <w:bCs/>
      <w:sz w:val="32"/>
      <w:szCs w:val="32"/>
    </w:rPr>
  </w:style>
  <w:style w:type="paragraph" w:customStyle="1" w:styleId="37">
    <w:name w:val="标题 41"/>
    <w:basedOn w:val="1"/>
    <w:autoRedefine/>
    <w:qFormat/>
    <w:uiPriority w:val="0"/>
    <w:pPr>
      <w:keepNext/>
      <w:keepLines/>
      <w:numPr>
        <w:ilvl w:val="3"/>
        <w:numId w:val="1"/>
      </w:numPr>
      <w:spacing w:before="280" w:beforeAutospacing="0" w:after="290" w:afterAutospacing="0" w:line="372" w:lineRule="auto"/>
      <w:ind w:left="864" w:hanging="864"/>
      <w:outlineLvl w:val="3"/>
    </w:pPr>
    <w:rPr>
      <w:rFonts w:ascii="Arial" w:hAnsi="Arial" w:eastAsia="黑体"/>
      <w:b/>
      <w:sz w:val="28"/>
    </w:rPr>
  </w:style>
  <w:style w:type="paragraph" w:customStyle="1" w:styleId="38">
    <w:name w:val="标题 51"/>
    <w:basedOn w:val="1"/>
    <w:autoRedefine/>
    <w:qFormat/>
    <w:uiPriority w:val="0"/>
    <w:pPr>
      <w:keepNext/>
      <w:keepLines/>
      <w:spacing w:before="280" w:beforeAutospacing="0" w:after="290" w:afterAutospacing="0" w:line="376" w:lineRule="auto"/>
      <w:outlineLvl w:val="4"/>
    </w:pPr>
    <w:rPr>
      <w:b/>
      <w:bCs/>
      <w:kern w:val="0"/>
      <w:sz w:val="28"/>
      <w:szCs w:val="28"/>
    </w:rPr>
  </w:style>
  <w:style w:type="paragraph" w:customStyle="1" w:styleId="39">
    <w:name w:val="标题 61"/>
    <w:basedOn w:val="1"/>
    <w:autoRedefine/>
    <w:qFormat/>
    <w:uiPriority w:val="0"/>
    <w:pPr>
      <w:keepNext/>
      <w:keepLines/>
      <w:spacing w:before="240" w:beforeAutospacing="0" w:after="64" w:afterAutospacing="0" w:line="320" w:lineRule="auto"/>
      <w:outlineLvl w:val="5"/>
    </w:pPr>
    <w:rPr>
      <w:rFonts w:ascii="Arial" w:hAnsi="Arial" w:eastAsia="黑体"/>
      <w:b/>
      <w:bCs/>
      <w:kern w:val="0"/>
      <w:sz w:val="24"/>
    </w:rPr>
  </w:style>
  <w:style w:type="paragraph" w:customStyle="1" w:styleId="40">
    <w:name w:val="标题 71"/>
    <w:basedOn w:val="1"/>
    <w:autoRedefine/>
    <w:qFormat/>
    <w:uiPriority w:val="0"/>
    <w:pPr>
      <w:keepNext/>
      <w:keepLines/>
      <w:numPr>
        <w:ilvl w:val="6"/>
        <w:numId w:val="2"/>
      </w:numPr>
      <w:spacing w:before="240" w:beforeAutospacing="0" w:after="64" w:afterAutospacing="0" w:line="320" w:lineRule="atLeast"/>
      <w:outlineLvl w:val="6"/>
    </w:pPr>
    <w:rPr>
      <w:rFonts w:ascii="宋体" w:eastAsia="仿宋_GB2312"/>
      <w:b/>
      <w:kern w:val="0"/>
      <w:sz w:val="24"/>
    </w:rPr>
  </w:style>
  <w:style w:type="character" w:customStyle="1" w:styleId="41">
    <w:name w:val="默认段落字体1"/>
    <w:link w:val="1"/>
    <w:autoRedefine/>
    <w:semiHidden/>
    <w:qFormat/>
    <w:uiPriority w:val="0"/>
  </w:style>
  <w:style w:type="table" w:customStyle="1" w:styleId="42">
    <w:name w:val="普通表格1"/>
    <w:autoRedefine/>
    <w:semiHidden/>
    <w:qFormat/>
    <w:uiPriority w:val="0"/>
  </w:style>
  <w:style w:type="paragraph" w:customStyle="1" w:styleId="43">
    <w:name w:val="正文缩进1"/>
    <w:basedOn w:val="1"/>
    <w:link w:val="44"/>
    <w:autoRedefine/>
    <w:qFormat/>
    <w:uiPriority w:val="0"/>
    <w:pPr>
      <w:ind w:firstLine="420" w:firstLineChars="200"/>
    </w:pPr>
  </w:style>
  <w:style w:type="character" w:customStyle="1" w:styleId="44">
    <w:name w:val="正文缩进 字符"/>
    <w:link w:val="43"/>
    <w:autoRedefine/>
    <w:qFormat/>
    <w:uiPriority w:val="0"/>
    <w:rPr>
      <w:rFonts w:eastAsia="宋体"/>
      <w:kern w:val="2"/>
      <w:sz w:val="21"/>
      <w:szCs w:val="24"/>
      <w:lang w:val="en-US" w:eastAsia="zh-CN" w:bidi="ar-SA"/>
    </w:rPr>
  </w:style>
  <w:style w:type="paragraph" w:customStyle="1" w:styleId="45">
    <w:name w:val="引文目录标题1"/>
    <w:basedOn w:val="1"/>
    <w:autoRedefine/>
    <w:semiHidden/>
    <w:qFormat/>
    <w:uiPriority w:val="0"/>
    <w:pPr>
      <w:spacing w:before="120" w:beforeAutospacing="0" w:afterAutospacing="0"/>
    </w:pPr>
    <w:rPr>
      <w:rFonts w:ascii="Arial" w:hAnsi="Arial" w:eastAsia="宋体"/>
      <w:kern w:val="0"/>
      <w:sz w:val="24"/>
      <w:szCs w:val="20"/>
    </w:rPr>
  </w:style>
  <w:style w:type="paragraph" w:customStyle="1" w:styleId="46">
    <w:name w:val="批注文字1"/>
    <w:basedOn w:val="1"/>
    <w:autoRedefine/>
    <w:qFormat/>
    <w:uiPriority w:val="0"/>
    <w:pPr>
      <w:jc w:val="left"/>
    </w:pPr>
  </w:style>
  <w:style w:type="paragraph" w:customStyle="1" w:styleId="47">
    <w:name w:val="正文文本1"/>
    <w:basedOn w:val="1"/>
    <w:autoRedefine/>
    <w:qFormat/>
    <w:uiPriority w:val="0"/>
    <w:pPr>
      <w:spacing w:beforeAutospacing="0" w:after="120" w:afterAutospacing="0"/>
    </w:pPr>
  </w:style>
  <w:style w:type="paragraph" w:customStyle="1" w:styleId="48">
    <w:name w:val="正文文本缩进1"/>
    <w:basedOn w:val="1"/>
    <w:autoRedefine/>
    <w:qFormat/>
    <w:uiPriority w:val="0"/>
    <w:pPr>
      <w:ind w:firstLine="630"/>
    </w:pPr>
    <w:rPr>
      <w:sz w:val="32"/>
      <w:szCs w:val="20"/>
    </w:rPr>
  </w:style>
  <w:style w:type="paragraph" w:customStyle="1" w:styleId="49">
    <w:name w:val="纯文本1"/>
    <w:basedOn w:val="1"/>
    <w:link w:val="50"/>
    <w:autoRedefine/>
    <w:qFormat/>
    <w:uiPriority w:val="0"/>
    <w:rPr>
      <w:rFonts w:ascii="宋体" w:hAnsi="Courier New"/>
      <w:szCs w:val="20"/>
    </w:rPr>
  </w:style>
  <w:style w:type="character" w:customStyle="1" w:styleId="50">
    <w:name w:val="纯文本 字符"/>
    <w:link w:val="49"/>
    <w:autoRedefine/>
    <w:qFormat/>
    <w:uiPriority w:val="0"/>
    <w:rPr>
      <w:rFonts w:ascii="宋体" w:hAnsi="Courier New" w:eastAsia="宋体"/>
      <w:kern w:val="2"/>
      <w:sz w:val="21"/>
      <w:lang w:val="en-US" w:eastAsia="zh-CN" w:bidi="ar-SA"/>
    </w:rPr>
  </w:style>
  <w:style w:type="paragraph" w:customStyle="1" w:styleId="51">
    <w:name w:val="正文文本缩进 21"/>
    <w:basedOn w:val="1"/>
    <w:autoRedefine/>
    <w:qFormat/>
    <w:uiPriority w:val="0"/>
    <w:pPr>
      <w:spacing w:beforeAutospacing="0" w:after="120" w:afterAutospacing="0" w:line="480" w:lineRule="auto"/>
      <w:ind w:left="420" w:leftChars="200"/>
    </w:pPr>
  </w:style>
  <w:style w:type="paragraph" w:customStyle="1" w:styleId="52">
    <w:name w:val="页脚1"/>
    <w:basedOn w:val="1"/>
    <w:autoRedefine/>
    <w:qFormat/>
    <w:uiPriority w:val="0"/>
    <w:pPr>
      <w:tabs>
        <w:tab w:val="center" w:pos="4153"/>
        <w:tab w:val="right" w:pos="8306"/>
      </w:tabs>
      <w:snapToGrid w:val="0"/>
      <w:jc w:val="left"/>
    </w:pPr>
    <w:rPr>
      <w:sz w:val="18"/>
      <w:szCs w:val="20"/>
    </w:rPr>
  </w:style>
  <w:style w:type="paragraph" w:customStyle="1" w:styleId="53">
    <w:name w:val="页眉1"/>
    <w:basedOn w:val="1"/>
    <w:autoRedefine/>
    <w:qFormat/>
    <w:uiPriority w:val="0"/>
    <w:pPr>
      <w:pBdr>
        <w:bottom w:val="single" w:color="000000" w:sz="6" w:space="1"/>
      </w:pBdr>
      <w:tabs>
        <w:tab w:val="center" w:pos="4153"/>
        <w:tab w:val="right" w:pos="8306"/>
      </w:tabs>
      <w:snapToGrid w:val="0"/>
      <w:jc w:val="center"/>
    </w:pPr>
    <w:rPr>
      <w:sz w:val="18"/>
      <w:szCs w:val="20"/>
    </w:rPr>
  </w:style>
  <w:style w:type="paragraph" w:customStyle="1" w:styleId="54">
    <w:name w:val="目录 11"/>
    <w:basedOn w:val="1"/>
    <w:autoRedefine/>
    <w:qFormat/>
    <w:uiPriority w:val="0"/>
    <w:pPr>
      <w:spacing w:beforeAutospacing="0" w:afterAutospacing="0" w:line="480" w:lineRule="auto"/>
    </w:pPr>
    <w:rPr>
      <w:rFonts w:ascii="Times New Roman" w:hAnsi="Times New Roman" w:eastAsia="宋体"/>
      <w:sz w:val="30"/>
    </w:rPr>
  </w:style>
  <w:style w:type="paragraph" w:customStyle="1" w:styleId="55">
    <w:name w:val="副标题1"/>
    <w:basedOn w:val="1"/>
    <w:autoRedefine/>
    <w:qFormat/>
    <w:uiPriority w:val="0"/>
    <w:pPr>
      <w:spacing w:beforeAutospacing="0" w:afterAutospacing="0" w:line="500" w:lineRule="exact"/>
      <w:ind w:firstLine="200" w:firstLineChars="200"/>
      <w:jc w:val="left"/>
      <w:outlineLvl w:val="1"/>
    </w:pPr>
    <w:rPr>
      <w:rFonts w:ascii="黑体" w:hAnsi="Cambria" w:eastAsia="黑体"/>
      <w:b/>
      <w:bCs/>
      <w:kern w:val="28"/>
      <w:sz w:val="24"/>
      <w:szCs w:val="32"/>
    </w:rPr>
  </w:style>
  <w:style w:type="paragraph" w:customStyle="1" w:styleId="56">
    <w:name w:val="列表 51"/>
    <w:basedOn w:val="1"/>
    <w:autoRedefine/>
    <w:qFormat/>
    <w:uiPriority w:val="0"/>
    <w:pPr>
      <w:ind w:left="2100" w:hanging="420"/>
    </w:pPr>
    <w:rPr>
      <w:rFonts w:eastAsia="楷体_GB2312"/>
      <w:sz w:val="32"/>
      <w:szCs w:val="20"/>
    </w:rPr>
  </w:style>
  <w:style w:type="paragraph" w:customStyle="1" w:styleId="57">
    <w:name w:val="正文文本缩进 31"/>
    <w:basedOn w:val="1"/>
    <w:autoRedefine/>
    <w:qFormat/>
    <w:uiPriority w:val="0"/>
    <w:pPr>
      <w:spacing w:beforeAutospacing="0" w:after="120" w:afterAutospacing="0"/>
      <w:ind w:left="420" w:leftChars="200"/>
    </w:pPr>
    <w:rPr>
      <w:sz w:val="16"/>
      <w:szCs w:val="16"/>
    </w:rPr>
  </w:style>
  <w:style w:type="paragraph" w:customStyle="1" w:styleId="58">
    <w:name w:val="普通(网站)1"/>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9">
    <w:name w:val="标题1"/>
    <w:basedOn w:val="1"/>
    <w:qFormat/>
    <w:uiPriority w:val="0"/>
    <w:pPr>
      <w:spacing w:before="240" w:beforeAutospacing="0" w:after="60" w:afterAutospacing="0"/>
      <w:jc w:val="center"/>
      <w:outlineLvl w:val="0"/>
    </w:pPr>
    <w:rPr>
      <w:rFonts w:ascii="Cambria" w:hAnsi="Cambria" w:eastAsia="宋体"/>
      <w:b/>
      <w:bCs/>
      <w:sz w:val="32"/>
      <w:szCs w:val="32"/>
    </w:rPr>
  </w:style>
  <w:style w:type="paragraph" w:customStyle="1" w:styleId="60">
    <w:name w:val="正文首行缩进 21"/>
    <w:basedOn w:val="48"/>
    <w:qFormat/>
    <w:uiPriority w:val="0"/>
    <w:pPr>
      <w:ind w:firstLine="420"/>
    </w:pPr>
  </w:style>
  <w:style w:type="character" w:customStyle="1" w:styleId="61">
    <w:name w:val="要点1"/>
    <w:basedOn w:val="41"/>
    <w:link w:val="1"/>
    <w:qFormat/>
    <w:uiPriority w:val="0"/>
    <w:rPr>
      <w:rFonts w:ascii="Calibri" w:hAnsi="Calibri" w:eastAsia="宋体"/>
      <w:b/>
    </w:rPr>
  </w:style>
  <w:style w:type="character" w:customStyle="1" w:styleId="62">
    <w:name w:val="页码1"/>
    <w:basedOn w:val="41"/>
    <w:link w:val="1"/>
    <w:qFormat/>
    <w:uiPriority w:val="0"/>
  </w:style>
  <w:style w:type="character" w:customStyle="1" w:styleId="63">
    <w:name w:val="强调1"/>
    <w:basedOn w:val="41"/>
    <w:link w:val="1"/>
    <w:qFormat/>
    <w:uiPriority w:val="0"/>
    <w:rPr>
      <w:rFonts w:ascii="仿宋_GB2312" w:eastAsia="仿宋_GB2312"/>
      <w:i/>
      <w:sz w:val="24"/>
    </w:rPr>
  </w:style>
  <w:style w:type="character" w:customStyle="1" w:styleId="64">
    <w:name w:val="font21"/>
    <w:basedOn w:val="41"/>
    <w:link w:val="1"/>
    <w:qFormat/>
    <w:uiPriority w:val="0"/>
    <w:rPr>
      <w:rFonts w:hint="eastAsia" w:ascii="宋体" w:hAnsi="宋体" w:eastAsia="宋体"/>
      <w:color w:val="000000"/>
      <w:sz w:val="22"/>
      <w:szCs w:val="22"/>
    </w:rPr>
  </w:style>
  <w:style w:type="character" w:customStyle="1" w:styleId="65">
    <w:name w:val="font01"/>
    <w:basedOn w:val="41"/>
    <w:link w:val="1"/>
    <w:qFormat/>
    <w:uiPriority w:val="0"/>
    <w:rPr>
      <w:rFonts w:hint="eastAsia" w:ascii="宋体" w:hAnsi="宋体" w:eastAsia="宋体"/>
      <w:color w:val="000000"/>
      <w:sz w:val="22"/>
      <w:szCs w:val="22"/>
    </w:rPr>
  </w:style>
  <w:style w:type="character" w:customStyle="1" w:styleId="66">
    <w:name w:val="（符号）邀请函中一、"/>
    <w:link w:val="1"/>
    <w:qFormat/>
    <w:uiPriority w:val="0"/>
    <w:rPr>
      <w:rFonts w:ascii="黑体" w:hAnsi="黑体" w:eastAsia="黑体"/>
      <w:b/>
      <w:bCs/>
      <w:sz w:val="24"/>
    </w:rPr>
  </w:style>
  <w:style w:type="character" w:customStyle="1" w:styleId="67">
    <w:name w:val="NormalCharacter"/>
    <w:link w:val="1"/>
    <w:semiHidden/>
    <w:qFormat/>
    <w:uiPriority w:val="0"/>
  </w:style>
  <w:style w:type="character" w:customStyle="1" w:styleId="68">
    <w:name w:val="font11"/>
    <w:basedOn w:val="41"/>
    <w:link w:val="1"/>
    <w:qFormat/>
    <w:uiPriority w:val="0"/>
    <w:rPr>
      <w:rFonts w:hint="eastAsia" w:ascii="宋体" w:hAnsi="宋体" w:eastAsia="宋体"/>
      <w:color w:val="000000"/>
      <w:sz w:val="21"/>
      <w:szCs w:val="21"/>
    </w:rPr>
  </w:style>
  <w:style w:type="paragraph" w:customStyle="1" w:styleId="69">
    <w:name w:val="WPSOffice手动目录 1"/>
    <w:autoRedefine/>
    <w:qFormat/>
    <w:uiPriority w:val="0"/>
    <w:pPr>
      <w:ind w:leftChars="0"/>
    </w:pPr>
    <w:rPr>
      <w:rFonts w:ascii="Times New Roman" w:hAnsi="Times New Roman" w:eastAsia="宋体" w:cs="Times New Roman"/>
      <w:sz w:val="20"/>
      <w:szCs w:val="20"/>
      <w:lang w:val="en-US"/>
    </w:rPr>
  </w:style>
  <w:style w:type="paragraph" w:customStyle="1" w:styleId="70">
    <w:name w:val="Z-符号层进"/>
    <w:basedOn w:val="1"/>
    <w:qFormat/>
    <w:uiPriority w:val="0"/>
    <w:pPr>
      <w:widowControl/>
      <w:numPr>
        <w:ilvl w:val="0"/>
        <w:numId w:val="3"/>
      </w:numPr>
      <w:tabs>
        <w:tab w:val="clear" w:pos="360"/>
      </w:tabs>
      <w:spacing w:beforeAutospacing="0" w:afterAutospacing="0" w:line="360" w:lineRule="auto"/>
      <w:jc w:val="left"/>
    </w:pPr>
    <w:rPr>
      <w:kern w:val="0"/>
      <w:sz w:val="24"/>
      <w:szCs w:val="22"/>
    </w:rPr>
  </w:style>
  <w:style w:type="paragraph" w:customStyle="1" w:styleId="71">
    <w:name w:val="列表段落"/>
    <w:basedOn w:val="1"/>
    <w:qFormat/>
    <w:uiPriority w:val="0"/>
    <w:pPr>
      <w:ind w:firstLine="420" w:firstLineChars="200"/>
    </w:pPr>
    <w:rPr>
      <w:sz w:val="18"/>
      <w:szCs w:val="18"/>
    </w:rPr>
  </w:style>
  <w:style w:type="paragraph" w:customStyle="1" w:styleId="72">
    <w:name w:val="首行缩进:  0.85 厘米"/>
    <w:basedOn w:val="1"/>
    <w:autoRedefine/>
    <w:qFormat/>
    <w:uiPriority w:val="0"/>
    <w:pPr>
      <w:widowControl/>
      <w:spacing w:beforeAutospacing="0" w:after="100" w:afterAutospacing="0" w:line="360" w:lineRule="auto"/>
      <w:ind w:firstLine="482"/>
      <w:jc w:val="left"/>
    </w:pPr>
    <w:rPr>
      <w:kern w:val="0"/>
      <w:sz w:val="24"/>
      <w:lang w:eastAsia="en-US"/>
    </w:rPr>
  </w:style>
  <w:style w:type="paragraph" w:customStyle="1" w:styleId="73">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
    <w:basedOn w:val="73"/>
    <w:qFormat/>
    <w:uiPriority w:val="0"/>
    <w:pPr>
      <w:tabs>
        <w:tab w:val="left" w:pos="-120"/>
      </w:tabs>
      <w:spacing w:beforeAutospacing="0" w:afterAutospacing="0" w:line="560" w:lineRule="exact"/>
      <w:ind w:firstLine="600"/>
    </w:pPr>
    <w:rPr>
      <w:rFonts w:ascii="仿宋_GB2312" w:hAnsi="仿宋_GB2312" w:eastAsia="仿宋_GB2312"/>
      <w:color w:val="000000"/>
      <w:spacing w:val="20"/>
      <w:kern w:val="0"/>
    </w:rPr>
  </w:style>
  <w:style w:type="paragraph" w:customStyle="1" w:styleId="75">
    <w:name w:val="BodyText"/>
    <w:basedOn w:val="1"/>
    <w:qFormat/>
    <w:uiPriority w:val="0"/>
    <w:pPr>
      <w:widowControl/>
      <w:spacing w:beforeAutospacing="0" w:after="120" w:afterAutospacing="0" w:line="240" w:lineRule="auto"/>
      <w:ind w:firstLine="0" w:firstLineChars="0"/>
      <w:jc w:val="left"/>
    </w:pPr>
    <w:rPr>
      <w:rFonts w:ascii="宋体" w:hAnsi="宋体"/>
      <w:kern w:val="0"/>
      <w:sz w:val="24"/>
      <w:szCs w:val="24"/>
    </w:rPr>
  </w:style>
  <w:style w:type="paragraph" w:customStyle="1" w:styleId="76">
    <w:name w:val="正文首行缩进两字符"/>
    <w:basedOn w:val="1"/>
    <w:autoRedefine/>
    <w:qFormat/>
    <w:uiPriority w:val="0"/>
    <w:pPr>
      <w:spacing w:beforeAutospacing="0" w:afterAutospacing="0" w:line="360" w:lineRule="auto"/>
      <w:ind w:firstLine="200" w:firstLineChars="200"/>
    </w:pPr>
  </w:style>
  <w:style w:type="paragraph" w:customStyle="1" w:styleId="77">
    <w:name w:val="表格"/>
    <w:basedOn w:val="1"/>
    <w:qFormat/>
    <w:uiPriority w:val="0"/>
    <w:pPr>
      <w:spacing w:beforeAutospacing="0" w:afterAutospacing="0" w:line="400" w:lineRule="exact"/>
    </w:pPr>
    <w:rPr>
      <w:sz w:val="24"/>
    </w:rPr>
  </w:style>
  <w:style w:type="paragraph" w:customStyle="1" w:styleId="78">
    <w:name w:val="TableNormal"/>
    <w:basedOn w:val="1"/>
    <w:qFormat/>
    <w:uiPriority w:val="0"/>
    <w:pPr>
      <w:widowControl/>
      <w:spacing w:before="40" w:beforeAutospacing="0" w:after="40" w:afterAutospacing="0" w:line="264" w:lineRule="auto"/>
      <w:jc w:val="left"/>
    </w:pPr>
    <w:rPr>
      <w:rFonts w:ascii="Arial" w:hAnsi="Arial"/>
      <w:kern w:val="0"/>
      <w:lang w:eastAsia="en-US"/>
    </w:rPr>
  </w:style>
  <w:style w:type="paragraph" w:customStyle="1" w:styleId="79">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80">
    <w:name w:val="正文1"/>
    <w:autoRedefine/>
    <w:qFormat/>
    <w:uiPriority w:val="0"/>
    <w:pPr>
      <w:widowControl w:val="0"/>
      <w:spacing w:beforeAutospacing="0" w:afterAutospacing="0" w:line="312" w:lineRule="atLeast"/>
      <w:jc w:val="both"/>
    </w:pPr>
    <w:rPr>
      <w:rFonts w:ascii="宋体" w:hAnsi="Times New Roman" w:eastAsia="宋体" w:cs="Times New Roman"/>
      <w:sz w:val="34"/>
      <w:lang w:val="en-US" w:eastAsia="zh-CN" w:bidi="ar-SA"/>
    </w:rPr>
  </w:style>
  <w:style w:type="paragraph" w:customStyle="1" w:styleId="81">
    <w:name w:val="列出段落1"/>
    <w:basedOn w:val="1"/>
    <w:autoRedefine/>
    <w:qFormat/>
    <w:uiPriority w:val="0"/>
    <w:pPr>
      <w:spacing w:beforeAutospacing="0" w:afterAutospacing="0" w:line="360" w:lineRule="auto"/>
      <w:ind w:firstLine="420" w:firstLineChars="200"/>
    </w:pPr>
    <w:rPr>
      <w:rFonts w:ascii="等线" w:hAnsi="等线"/>
      <w:szCs w:val="22"/>
    </w:rPr>
  </w:style>
  <w:style w:type="paragraph" w:customStyle="1" w:styleId="82">
    <w:name w:val="WPS Plain"/>
    <w:basedOn w:val="1"/>
    <w:autoRedefine/>
    <w:qFormat/>
    <w:uiPriority w:val="0"/>
    <w:pPr>
      <w:widowControl/>
      <w:spacing w:beforeAutospacing="0" w:afterAutospacing="0" w:line="240" w:lineRule="auto"/>
      <w:jc w:val="left"/>
    </w:pPr>
    <w:rPr>
      <w:rFonts w:ascii="Times New Roman"/>
      <w:sz w:val="24"/>
      <w:szCs w:val="24"/>
    </w:rPr>
  </w:style>
  <w:style w:type="paragraph" w:customStyle="1" w:styleId="83">
    <w:name w:val="Default Text"/>
    <w:autoRedefine/>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84">
    <w:name w:val="日期_0"/>
    <w:basedOn w:val="73"/>
    <w:qFormat/>
    <w:uiPriority w:val="0"/>
    <w:pPr>
      <w:spacing w:beforeAutospacing="0" w:afterAutospacing="0" w:line="360" w:lineRule="atLeast"/>
    </w:pPr>
    <w:rPr>
      <w:rFonts w:ascii="宋体" w:hAnsi="Calibri" w:eastAsia="宋体"/>
      <w:kern w:val="0"/>
      <w:sz w:val="24"/>
      <w:szCs w:val="20"/>
    </w:rPr>
  </w:style>
  <w:style w:type="paragraph" w:customStyle="1" w:styleId="8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样式 首行缩进:  2 字符"/>
    <w:basedOn w:val="1"/>
    <w:autoRedefine/>
    <w:qFormat/>
    <w:uiPriority w:val="0"/>
    <w:pPr>
      <w:spacing w:beforeAutospacing="0" w:afterAutospacing="0" w:line="400" w:lineRule="exact"/>
      <w:ind w:firstLine="200" w:firstLineChars="200"/>
    </w:pPr>
    <w:rPr>
      <w:sz w:val="24"/>
    </w:rPr>
  </w:style>
  <w:style w:type="paragraph" w:customStyle="1" w:styleId="87">
    <w:name w:val="Table Paragraph"/>
    <w:basedOn w:val="1"/>
    <w:autoRedefine/>
    <w:qFormat/>
    <w:uiPriority w:val="0"/>
    <w:pPr>
      <w:autoSpaceDE w:val="0"/>
      <w:autoSpaceDN w:val="0"/>
      <w:jc w:val="left"/>
    </w:pPr>
    <w:rPr>
      <w:rFonts w:ascii="Calibri" w:hAnsi="Calibri"/>
      <w:kern w:val="0"/>
      <w:sz w:val="24"/>
    </w:rPr>
  </w:style>
  <w:style w:type="paragraph" w:customStyle="1" w:styleId="88">
    <w:name w:val="Body text|1"/>
    <w:basedOn w:val="1"/>
    <w:autoRedefine/>
    <w:qFormat/>
    <w:uiPriority w:val="0"/>
    <w:pPr>
      <w:widowControl w:val="0"/>
      <w:shd w:val="clear" w:color="auto" w:fill="auto"/>
      <w:spacing w:beforeAutospacing="0" w:afterAutospacing="0" w:line="290" w:lineRule="auto"/>
      <w:ind w:firstLine="400"/>
    </w:pPr>
    <w:rPr>
      <w:rFonts w:ascii="宋体" w:hAnsi="宋体" w:eastAsia="宋体"/>
      <w:sz w:val="22"/>
      <w:szCs w:val="22"/>
      <w:shd w:val="clear" w:color="auto" w:fill="auto"/>
      <w:lang w:val="zh-CN" w:eastAsia="zh-CN" w:bidi="zh-CN"/>
    </w:rPr>
  </w:style>
  <w:style w:type="paragraph" w:customStyle="1" w:styleId="89">
    <w:name w:val="缺省文本"/>
    <w:autoRedefine/>
    <w:qFormat/>
    <w:uiPriority w:val="0"/>
    <w:pPr>
      <w:widowControl w:val="0"/>
      <w:autoSpaceDE w:val="0"/>
      <w:autoSpaceDN w:val="0"/>
    </w:pPr>
    <w:rPr>
      <w:rFonts w:ascii="Times New Roman" w:hAnsi="Times New Roman" w:eastAsia="宋体" w:cs="Times New Roman"/>
      <w:color w:val="000000"/>
      <w:szCs w:val="24"/>
      <w:lang w:val="en-US" w:eastAsia="zh-CN" w:bidi="ar-SA"/>
    </w:rPr>
  </w:style>
  <w:style w:type="paragraph" w:customStyle="1" w:styleId="9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10"/>
    <w:qFormat/>
    <w:uiPriority w:val="0"/>
    <w:pPr>
      <w:widowControl w:val="0"/>
      <w:jc w:val="both"/>
    </w:pPr>
    <w:rPr>
      <w:rFonts w:ascii="Calibri" w:hAnsi="Calibri" w:eastAsia="宋体" w:cs="Times New Roman"/>
      <w:kern w:val="2"/>
      <w:sz w:val="21"/>
      <w:szCs w:val="22"/>
      <w:lang w:val="en-US" w:eastAsia="zh-CN" w:bidi="ar-SA"/>
    </w:rPr>
  </w:style>
  <w:style w:type="paragraph" w:styleId="92">
    <w:name w:val="List Paragraph"/>
    <w:qFormat/>
    <w:uiPriority w:val="0"/>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customStyle="1" w:styleId="93">
    <w:name w:val="_Style 8"/>
    <w:basedOn w:val="7"/>
    <w:next w:val="1"/>
    <w:qFormat/>
    <w:uiPriority w:val="0"/>
    <w:pPr>
      <w:outlineLvl w:val="9"/>
    </w:pPr>
    <w:rPr>
      <w:rFonts w:ascii="Times New Roman" w:hAnsi="Times New Roman" w:eastAsia="宋体" w:cs="Times New Roman"/>
    </w:rPr>
  </w:style>
  <w:style w:type="paragraph" w:customStyle="1" w:styleId="94">
    <w:name w:val="_Style 3"/>
    <w:basedOn w:val="7"/>
    <w:next w:val="1"/>
    <w:qFormat/>
    <w:uiPriority w:val="0"/>
    <w:pPr>
      <w:outlineLvl w:val="9"/>
    </w:pPr>
    <w:rPr>
      <w:rFonts w:ascii="Times New Roman" w:hAnsi="Times New Roman" w:eastAsia="宋体" w:cs="Times New Roman"/>
    </w:rPr>
  </w:style>
  <w:style w:type="paragraph" w:customStyle="1" w:styleId="95">
    <w:name w:val="Table Text"/>
    <w:basedOn w:val="1"/>
    <w:semiHidden/>
    <w:qFormat/>
    <w:uiPriority w:val="0"/>
    <w:rPr>
      <w:rFonts w:ascii="宋体" w:hAnsi="宋体" w:eastAsia="宋体" w:cs="宋体"/>
      <w:sz w:val="20"/>
      <w:szCs w:val="20"/>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153</Words>
  <Characters>173</Characters>
  <Lines>0</Lines>
  <Paragraphs>0</Paragraphs>
  <TotalTime>40</TotalTime>
  <ScaleCrop>false</ScaleCrop>
  <LinksUpToDate>false</LinksUpToDate>
  <CharactersWithSpaces>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2023-03-30T09:02:00Z</dcterms:created>
  <dc:creator>User</dc:creator>
  <cp:lastModifiedBy>人生若只如初见</cp:lastModifiedBy>
  <cp:lastPrinted>2024-04-26T06:32:00Z</cp:lastPrinted>
  <dcterms:modified xsi:type="dcterms:W3CDTF">2025-07-14T06:39:37Z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A37F98ECC3FE439B85DBE1D8C7079140_13</vt:lpwstr>
  </property>
  <property fmtid="{D5CDD505-2E9C-101B-9397-08002B2CF9AE}" pid="4" name="KSOTemplateDocerSaveRecord">
    <vt:lpwstr>eyJoZGlkIjoiNGViNDRlODk4NmJmYzVkZjYzZTkwYjM5MDllZDY3NjciLCJ1c2VySWQiOiIyNDM1MzY4NTYifQ==</vt:lpwstr>
  </property>
</Properties>
</file>