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BC387">
      <w:pPr>
        <w:pStyle w:val="2"/>
        <w:keepNext w:val="0"/>
        <w:widowControl/>
        <w:numPr>
          <w:ilvl w:val="0"/>
          <w:numId w:val="0"/>
        </w:numPr>
        <w:spacing w:line="360" w:lineRule="auto"/>
        <w:rPr>
          <w:rFonts w:hint="eastAsia" w:ascii="宋体" w:hAnsi="宋体" w:cs="宋体"/>
          <w:color w:val="auto"/>
          <w:sz w:val="40"/>
          <w:szCs w:val="40"/>
        </w:rPr>
      </w:pPr>
    </w:p>
    <w:p w14:paraId="2368F52D">
      <w:pPr>
        <w:jc w:val="center"/>
        <w:rPr>
          <w:rFonts w:hint="eastAsia" w:ascii="宋体" w:hAnsi="宋体" w:cs="宋体"/>
          <w:b/>
          <w:color w:val="auto"/>
          <w:sz w:val="84"/>
          <w:szCs w:val="84"/>
        </w:rPr>
      </w:pPr>
      <w:bookmarkStart w:id="0" w:name="_Toc20015"/>
      <w:bookmarkStart w:id="1" w:name="_Toc267301280"/>
      <w:bookmarkStart w:id="2" w:name="_Toc298240403"/>
      <w:bookmarkStart w:id="3" w:name="_Toc349573119"/>
      <w:bookmarkStart w:id="4" w:name="_Toc349637918"/>
      <w:r>
        <w:rPr>
          <w:rFonts w:hint="eastAsia" w:ascii="宋体" w:hAnsi="宋体" w:cs="宋体"/>
          <w:b/>
          <w:color w:val="auto"/>
          <w:sz w:val="84"/>
          <w:szCs w:val="84"/>
        </w:rPr>
        <w:t>竞争性磋商文件</w:t>
      </w:r>
    </w:p>
    <w:p w14:paraId="0C927EBE">
      <w:pPr>
        <w:spacing w:before="120" w:after="120"/>
        <w:ind w:firstLine="880" w:firstLineChars="200"/>
        <w:jc w:val="center"/>
        <w:rPr>
          <w:rFonts w:hint="eastAsia" w:ascii="宋体" w:hAnsi="宋体" w:cs="宋体"/>
          <w:bCs/>
          <w:color w:val="auto"/>
          <w:sz w:val="44"/>
        </w:rPr>
      </w:pPr>
    </w:p>
    <w:p w14:paraId="6B14E5C2">
      <w:pPr>
        <w:spacing w:before="120" w:after="120"/>
        <w:ind w:firstLine="880" w:firstLineChars="200"/>
        <w:jc w:val="center"/>
        <w:rPr>
          <w:rFonts w:hint="eastAsia" w:ascii="宋体" w:hAnsi="宋体" w:cs="宋体"/>
          <w:bCs/>
          <w:color w:val="auto"/>
          <w:sz w:val="44"/>
        </w:rPr>
      </w:pPr>
    </w:p>
    <w:p w14:paraId="1BBF4029">
      <w:pPr>
        <w:spacing w:before="120" w:after="120"/>
        <w:ind w:firstLine="880" w:firstLineChars="200"/>
        <w:jc w:val="center"/>
        <w:rPr>
          <w:rFonts w:hint="eastAsia" w:ascii="宋体" w:hAnsi="宋体" w:cs="宋体"/>
          <w:bCs/>
          <w:color w:val="auto"/>
          <w:sz w:val="44"/>
        </w:rPr>
      </w:pPr>
    </w:p>
    <w:p w14:paraId="130D21F7">
      <w:pPr>
        <w:tabs>
          <w:tab w:val="left" w:pos="2700"/>
          <w:tab w:val="left" w:pos="3584"/>
        </w:tabs>
        <w:spacing w:line="360" w:lineRule="auto"/>
        <w:rPr>
          <w:rFonts w:hint="eastAsia" w:ascii="宋体" w:hAnsi="宋体" w:cs="宋体"/>
          <w:b/>
          <w:bCs/>
          <w:color w:val="auto"/>
          <w:sz w:val="44"/>
        </w:rPr>
      </w:pPr>
    </w:p>
    <w:p w14:paraId="79DCB5A0">
      <w:pPr>
        <w:spacing w:line="360" w:lineRule="auto"/>
        <w:jc w:val="center"/>
        <w:rPr>
          <w:rFonts w:hint="eastAsia" w:ascii="宋体" w:hAnsi="宋体" w:cs="宋体"/>
          <w:b/>
          <w:color w:val="auto"/>
          <w:sz w:val="72"/>
        </w:rPr>
      </w:pPr>
    </w:p>
    <w:p w14:paraId="2330C478">
      <w:pPr>
        <w:spacing w:line="360" w:lineRule="auto"/>
        <w:jc w:val="center"/>
        <w:rPr>
          <w:rFonts w:hint="eastAsia" w:ascii="宋体" w:hAnsi="宋体" w:cs="宋体"/>
          <w:b/>
          <w:color w:val="auto"/>
          <w:sz w:val="72"/>
        </w:rPr>
      </w:pPr>
    </w:p>
    <w:p w14:paraId="20EE077D">
      <w:pPr>
        <w:rPr>
          <w:rFonts w:hint="eastAsia" w:ascii="宋体" w:hAnsi="宋体" w:cs="宋体"/>
          <w:color w:val="auto"/>
          <w:sz w:val="28"/>
        </w:rPr>
      </w:pPr>
    </w:p>
    <w:p w14:paraId="66A1FC5B">
      <w:pPr>
        <w:tabs>
          <w:tab w:val="left" w:pos="3240"/>
          <w:tab w:val="left" w:pos="3420"/>
        </w:tabs>
        <w:spacing w:line="360" w:lineRule="auto"/>
        <w:ind w:left="2128" w:hanging="2128" w:hangingChars="400"/>
        <w:jc w:val="left"/>
        <w:rPr>
          <w:rFonts w:hint="eastAsia" w:ascii="宋体" w:hAnsi="宋体" w:eastAsia="宋体" w:cs="宋体"/>
          <w:bCs/>
          <w:color w:val="auto"/>
          <w:sz w:val="32"/>
          <w:szCs w:val="30"/>
          <w:u w:val="single"/>
          <w:lang w:eastAsia="zh-CN"/>
        </w:rPr>
      </w:pPr>
      <w:r>
        <w:rPr>
          <w:rFonts w:hint="eastAsia" w:ascii="宋体" w:hAnsi="宋体" w:cs="宋体"/>
          <w:bCs/>
          <w:color w:val="auto"/>
          <w:spacing w:val="106"/>
          <w:kern w:val="0"/>
          <w:sz w:val="32"/>
          <w:szCs w:val="30"/>
          <w:fitText w:val="1920" w:id="1690715533"/>
        </w:rPr>
        <w:t>项目名</w:t>
      </w:r>
      <w:r>
        <w:rPr>
          <w:rFonts w:hint="eastAsia" w:ascii="宋体" w:hAnsi="宋体" w:cs="宋体"/>
          <w:bCs/>
          <w:color w:val="auto"/>
          <w:spacing w:val="2"/>
          <w:kern w:val="0"/>
          <w:sz w:val="32"/>
          <w:szCs w:val="30"/>
          <w:fitText w:val="1920" w:id="1690715533"/>
        </w:rPr>
        <w:t>称</w:t>
      </w:r>
      <w:r>
        <w:rPr>
          <w:rFonts w:hint="eastAsia" w:ascii="宋体" w:hAnsi="宋体" w:cs="宋体"/>
          <w:bCs/>
          <w:color w:val="auto"/>
          <w:sz w:val="32"/>
          <w:szCs w:val="30"/>
        </w:rPr>
        <w:t>：</w:t>
      </w:r>
      <w:r>
        <w:rPr>
          <w:rFonts w:hint="eastAsia" w:ascii="宋体" w:hAnsi="宋体" w:cs="宋体"/>
          <w:bCs/>
          <w:color w:val="auto"/>
          <w:sz w:val="32"/>
          <w:szCs w:val="30"/>
          <w:u w:val="single"/>
          <w:lang w:eastAsia="zh-CN"/>
        </w:rPr>
        <w:t>2024年地州企业职工基本养老保险基金专项审计项目（三次）</w:t>
      </w:r>
    </w:p>
    <w:p w14:paraId="6F5B26DE">
      <w:pPr>
        <w:tabs>
          <w:tab w:val="left" w:pos="3240"/>
          <w:tab w:val="left" w:pos="3420"/>
        </w:tabs>
        <w:spacing w:line="360" w:lineRule="auto"/>
        <w:rPr>
          <w:rFonts w:hint="eastAsia" w:ascii="宋体" w:hAnsi="宋体" w:eastAsia="宋体" w:cs="宋体"/>
          <w:bCs/>
          <w:color w:val="auto"/>
          <w:sz w:val="32"/>
          <w:szCs w:val="30"/>
          <w:lang w:eastAsia="zh-CN"/>
        </w:rPr>
      </w:pPr>
      <w:r>
        <w:rPr>
          <w:rFonts w:hint="eastAsia" w:ascii="宋体" w:hAnsi="宋体" w:cs="宋体"/>
          <w:bCs/>
          <w:color w:val="auto"/>
          <w:spacing w:val="106"/>
          <w:kern w:val="0"/>
          <w:sz w:val="32"/>
          <w:szCs w:val="30"/>
          <w:fitText w:val="1920" w:id="1"/>
        </w:rPr>
        <w:t>采购编</w:t>
      </w:r>
      <w:r>
        <w:rPr>
          <w:rFonts w:hint="eastAsia" w:ascii="宋体" w:hAnsi="宋体" w:cs="宋体"/>
          <w:bCs/>
          <w:color w:val="auto"/>
          <w:spacing w:val="2"/>
          <w:kern w:val="0"/>
          <w:sz w:val="32"/>
          <w:szCs w:val="30"/>
          <w:fitText w:val="1920" w:id="1"/>
        </w:rPr>
        <w:t>号</w:t>
      </w:r>
      <w:r>
        <w:rPr>
          <w:rFonts w:hint="eastAsia" w:ascii="宋体" w:hAnsi="宋体" w:cs="宋体"/>
          <w:bCs/>
          <w:color w:val="auto"/>
          <w:sz w:val="32"/>
          <w:szCs w:val="30"/>
        </w:rPr>
        <w:t>：</w:t>
      </w:r>
      <w:r>
        <w:rPr>
          <w:rFonts w:hint="eastAsia" w:ascii="宋体" w:hAnsi="宋体" w:cs="宋体"/>
          <w:bCs/>
          <w:color w:val="auto"/>
          <w:sz w:val="32"/>
          <w:szCs w:val="30"/>
          <w:u w:val="single"/>
          <w:lang w:eastAsia="zh-CN"/>
        </w:rPr>
        <w:t>2025(JKJ)137-02</w:t>
      </w:r>
    </w:p>
    <w:p w14:paraId="16EEFD80">
      <w:pPr>
        <w:tabs>
          <w:tab w:val="left" w:pos="3240"/>
          <w:tab w:val="left" w:pos="3420"/>
        </w:tabs>
        <w:spacing w:line="360" w:lineRule="auto"/>
        <w:rPr>
          <w:rFonts w:hint="eastAsia" w:ascii="宋体" w:hAnsi="宋体" w:cs="宋体"/>
          <w:bCs/>
          <w:color w:val="auto"/>
          <w:sz w:val="32"/>
          <w:szCs w:val="30"/>
        </w:rPr>
      </w:pPr>
      <w:r>
        <w:rPr>
          <w:rFonts w:hint="eastAsia" w:ascii="宋体" w:hAnsi="宋体" w:cs="宋体"/>
          <w:bCs/>
          <w:color w:val="auto"/>
          <w:spacing w:val="240"/>
          <w:kern w:val="0"/>
          <w:sz w:val="32"/>
          <w:szCs w:val="30"/>
          <w:fitText w:val="1920" w:id="2"/>
        </w:rPr>
        <w:t>采购</w:t>
      </w:r>
      <w:r>
        <w:rPr>
          <w:rFonts w:hint="eastAsia" w:ascii="宋体" w:hAnsi="宋体" w:cs="宋体"/>
          <w:bCs/>
          <w:color w:val="auto"/>
          <w:spacing w:val="0"/>
          <w:kern w:val="0"/>
          <w:sz w:val="32"/>
          <w:szCs w:val="30"/>
          <w:fitText w:val="1920" w:id="2"/>
        </w:rPr>
        <w:t>人</w:t>
      </w:r>
      <w:r>
        <w:rPr>
          <w:rFonts w:hint="eastAsia" w:ascii="宋体" w:hAnsi="宋体" w:cs="宋体"/>
          <w:bCs/>
          <w:color w:val="auto"/>
          <w:sz w:val="32"/>
          <w:szCs w:val="30"/>
        </w:rPr>
        <w:t>：</w:t>
      </w:r>
      <w:r>
        <w:rPr>
          <w:rFonts w:hint="eastAsia" w:ascii="宋体" w:hAnsi="宋体" w:cs="宋体"/>
          <w:bCs/>
          <w:color w:val="auto"/>
          <w:sz w:val="32"/>
          <w:szCs w:val="30"/>
          <w:u w:val="single"/>
        </w:rPr>
        <w:t xml:space="preserve">新疆维吾尔自治区社会保险中心 </w:t>
      </w:r>
    </w:p>
    <w:p w14:paraId="697FCBDF">
      <w:pPr>
        <w:tabs>
          <w:tab w:val="left" w:pos="3240"/>
          <w:tab w:val="left" w:pos="3420"/>
        </w:tabs>
        <w:spacing w:line="360" w:lineRule="auto"/>
        <w:rPr>
          <w:rFonts w:hint="eastAsia" w:ascii="宋体" w:hAnsi="宋体" w:cs="宋体"/>
          <w:bCs/>
          <w:color w:val="auto"/>
          <w:sz w:val="32"/>
          <w:szCs w:val="30"/>
          <w:u w:val="single"/>
        </w:rPr>
      </w:pPr>
      <w:r>
        <w:rPr>
          <w:rFonts w:hint="eastAsia" w:ascii="宋体" w:hAnsi="宋体" w:cs="宋体"/>
          <w:bCs/>
          <w:color w:val="auto"/>
          <w:sz w:val="32"/>
          <w:szCs w:val="30"/>
        </w:rPr>
        <w:t>采购代理机构：</w:t>
      </w:r>
      <w:r>
        <w:rPr>
          <w:rFonts w:hint="eastAsia" w:ascii="宋体" w:hAnsi="宋体" w:cs="宋体"/>
          <w:bCs/>
          <w:color w:val="auto"/>
          <w:sz w:val="32"/>
          <w:szCs w:val="30"/>
          <w:u w:val="single"/>
        </w:rPr>
        <w:t>新疆君凯杰工程项目管理有限公司</w:t>
      </w:r>
    </w:p>
    <w:p w14:paraId="66BD28F0">
      <w:pPr>
        <w:tabs>
          <w:tab w:val="left" w:pos="3240"/>
          <w:tab w:val="left" w:pos="3420"/>
        </w:tabs>
        <w:spacing w:line="360" w:lineRule="auto"/>
        <w:rPr>
          <w:rFonts w:hint="eastAsia" w:ascii="宋体" w:hAnsi="宋体" w:cs="宋体"/>
          <w:bCs/>
          <w:color w:val="auto"/>
          <w:sz w:val="32"/>
          <w:szCs w:val="36"/>
          <w:u w:val="single"/>
        </w:rPr>
      </w:pPr>
      <w:r>
        <w:rPr>
          <w:rFonts w:hint="eastAsia" w:ascii="宋体" w:hAnsi="宋体" w:cs="宋体"/>
          <w:bCs/>
          <w:color w:val="auto"/>
          <w:spacing w:val="640"/>
          <w:kern w:val="0"/>
          <w:sz w:val="32"/>
          <w:szCs w:val="36"/>
          <w:fitText w:val="1920" w:id="3"/>
        </w:rPr>
        <w:t>日</w:t>
      </w:r>
      <w:r>
        <w:rPr>
          <w:rFonts w:hint="eastAsia" w:ascii="宋体" w:hAnsi="宋体" w:cs="宋体"/>
          <w:bCs/>
          <w:color w:val="auto"/>
          <w:spacing w:val="0"/>
          <w:kern w:val="0"/>
          <w:sz w:val="32"/>
          <w:szCs w:val="36"/>
          <w:fitText w:val="1920" w:id="3"/>
        </w:rPr>
        <w:t>期</w:t>
      </w:r>
      <w:r>
        <w:rPr>
          <w:rFonts w:hint="eastAsia" w:ascii="宋体" w:hAnsi="宋体" w:cs="宋体"/>
          <w:bCs/>
          <w:color w:val="auto"/>
          <w:sz w:val="32"/>
          <w:szCs w:val="36"/>
        </w:rPr>
        <w:t>：</w:t>
      </w:r>
      <w:r>
        <w:rPr>
          <w:rFonts w:hint="eastAsia" w:ascii="宋体" w:hAnsi="宋体" w:cs="宋体"/>
          <w:bCs/>
          <w:color w:val="auto"/>
          <w:sz w:val="32"/>
          <w:szCs w:val="36"/>
          <w:u w:val="single"/>
        </w:rPr>
        <w:t>2025年0</w:t>
      </w:r>
      <w:r>
        <w:rPr>
          <w:rFonts w:hint="eastAsia" w:ascii="宋体" w:hAnsi="宋体" w:cs="宋体"/>
          <w:bCs/>
          <w:color w:val="auto"/>
          <w:sz w:val="32"/>
          <w:szCs w:val="36"/>
          <w:u w:val="single"/>
          <w:lang w:val="en-US" w:eastAsia="zh-CN"/>
        </w:rPr>
        <w:t>6</w:t>
      </w:r>
      <w:r>
        <w:rPr>
          <w:rFonts w:hint="eastAsia" w:ascii="宋体" w:hAnsi="宋体" w:cs="宋体"/>
          <w:bCs/>
          <w:color w:val="auto"/>
          <w:sz w:val="32"/>
          <w:szCs w:val="36"/>
          <w:u w:val="single"/>
        </w:rPr>
        <w:t>月</w:t>
      </w:r>
    </w:p>
    <w:p w14:paraId="01D873DB">
      <w:pPr>
        <w:rPr>
          <w:rFonts w:hint="eastAsia" w:ascii="宋体" w:hAnsi="宋体" w:cs="宋体"/>
          <w:bCs/>
          <w:color w:val="auto"/>
          <w:sz w:val="32"/>
          <w:szCs w:val="36"/>
          <w:u w:val="single"/>
        </w:rPr>
      </w:pPr>
    </w:p>
    <w:p w14:paraId="67E144EA">
      <w:pPr>
        <w:rPr>
          <w:rFonts w:hint="eastAsia" w:ascii="宋体" w:hAnsi="宋体" w:cs="宋体"/>
          <w:bCs/>
          <w:color w:val="auto"/>
          <w:sz w:val="32"/>
          <w:szCs w:val="36"/>
          <w:u w:val="single"/>
        </w:rPr>
      </w:pPr>
    </w:p>
    <w:p w14:paraId="481DB33B">
      <w:pPr>
        <w:pStyle w:val="36"/>
        <w:rPr>
          <w:rFonts w:hint="eastAsia" w:ascii="宋体" w:hAnsi="宋体" w:cs="宋体"/>
          <w:bCs/>
          <w:color w:val="auto"/>
          <w:sz w:val="32"/>
          <w:szCs w:val="36"/>
          <w:u w:val="single"/>
        </w:rPr>
      </w:pPr>
    </w:p>
    <w:p w14:paraId="3671B055">
      <w:pPr>
        <w:pStyle w:val="36"/>
        <w:rPr>
          <w:rFonts w:hint="eastAsia" w:ascii="宋体" w:hAnsi="宋体" w:cs="宋体"/>
          <w:bCs/>
          <w:color w:val="auto"/>
          <w:sz w:val="32"/>
          <w:szCs w:val="36"/>
          <w:u w:val="single"/>
        </w:rPr>
      </w:pPr>
    </w:p>
    <w:p w14:paraId="428674CF">
      <w:pPr>
        <w:pStyle w:val="36"/>
        <w:rPr>
          <w:rFonts w:hint="eastAsia" w:ascii="宋体" w:hAnsi="宋体" w:cs="宋体"/>
          <w:bCs/>
          <w:color w:val="auto"/>
          <w:sz w:val="32"/>
          <w:szCs w:val="36"/>
          <w:u w:val="single"/>
        </w:rPr>
      </w:pPr>
    </w:p>
    <w:p w14:paraId="3B3C116D">
      <w:pPr>
        <w:rPr>
          <w:rFonts w:hint="eastAsia" w:ascii="宋体" w:hAnsi="宋体" w:cs="宋体"/>
          <w:bCs/>
          <w:color w:val="auto"/>
          <w:sz w:val="32"/>
          <w:szCs w:val="36"/>
          <w:u w:val="single"/>
        </w:rPr>
      </w:pPr>
    </w:p>
    <w:p w14:paraId="0A754F7A">
      <w:pPr>
        <w:rPr>
          <w:rFonts w:hint="eastAsia" w:ascii="宋体" w:hAnsi="宋体" w:cs="宋体"/>
          <w:b/>
          <w:bCs/>
          <w:color w:val="auto"/>
          <w:sz w:val="24"/>
        </w:rPr>
      </w:pPr>
      <w:r>
        <w:rPr>
          <w:rFonts w:hint="eastAsia" w:ascii="宋体" w:hAnsi="宋体" w:cs="宋体"/>
          <w:b/>
          <w:bCs/>
          <w:color w:val="auto"/>
          <w:sz w:val="24"/>
        </w:rPr>
        <w:t>招投标监督管理机构备案登记栏：</w:t>
      </w:r>
    </w:p>
    <w:tbl>
      <w:tblPr>
        <w:tblStyle w:val="26"/>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6"/>
      </w:tblGrid>
      <w:tr w14:paraId="5582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1" w:hRule="atLeast"/>
          <w:jc w:val="center"/>
        </w:trPr>
        <w:tc>
          <w:tcPr>
            <w:tcW w:w="9106" w:type="dxa"/>
          </w:tcPr>
          <w:p w14:paraId="5176BCBB">
            <w:pPr>
              <w:jc w:val="center"/>
              <w:rPr>
                <w:rFonts w:hint="eastAsia" w:ascii="宋体" w:hAnsi="宋体" w:cs="宋体"/>
                <w:color w:val="auto"/>
                <w:sz w:val="24"/>
              </w:rPr>
            </w:pPr>
          </w:p>
          <w:p w14:paraId="533341BA">
            <w:pPr>
              <w:jc w:val="center"/>
              <w:rPr>
                <w:rFonts w:hint="eastAsia" w:ascii="宋体" w:hAnsi="宋体" w:cs="宋体"/>
                <w:color w:val="auto"/>
                <w:sz w:val="24"/>
              </w:rPr>
            </w:pPr>
          </w:p>
          <w:p w14:paraId="706D56B5">
            <w:pPr>
              <w:rPr>
                <w:rFonts w:hint="eastAsia" w:ascii="宋体" w:hAnsi="宋体" w:cs="宋体"/>
                <w:color w:val="auto"/>
                <w:sz w:val="24"/>
              </w:rPr>
            </w:pPr>
          </w:p>
          <w:p w14:paraId="2DA44B4D">
            <w:pPr>
              <w:rPr>
                <w:rFonts w:hint="eastAsia" w:ascii="宋体" w:hAnsi="宋体" w:cs="宋体"/>
                <w:color w:val="auto"/>
                <w:sz w:val="24"/>
              </w:rPr>
            </w:pPr>
          </w:p>
          <w:p w14:paraId="12E99208">
            <w:pPr>
              <w:jc w:val="center"/>
              <w:rPr>
                <w:rFonts w:hint="eastAsia" w:ascii="宋体" w:hAnsi="宋体" w:cs="宋体"/>
                <w:color w:val="auto"/>
                <w:sz w:val="24"/>
              </w:rPr>
            </w:pPr>
          </w:p>
          <w:p w14:paraId="2593F435">
            <w:pPr>
              <w:widowControl/>
              <w:spacing w:after="120"/>
              <w:ind w:left="420" w:firstLine="540"/>
              <w:jc w:val="left"/>
              <w:rPr>
                <w:rFonts w:hint="eastAsia" w:ascii="宋体" w:hAnsi="宋体" w:cs="宋体"/>
                <w:color w:val="auto"/>
                <w:kern w:val="0"/>
                <w:sz w:val="20"/>
              </w:rPr>
            </w:pPr>
          </w:p>
          <w:p w14:paraId="380C4AAE">
            <w:pPr>
              <w:rPr>
                <w:rFonts w:hint="eastAsia" w:ascii="宋体" w:hAnsi="宋体" w:cs="宋体"/>
                <w:color w:val="auto"/>
                <w:sz w:val="24"/>
              </w:rPr>
            </w:pPr>
          </w:p>
          <w:p w14:paraId="4A99BC3E">
            <w:pPr>
              <w:jc w:val="center"/>
              <w:rPr>
                <w:rFonts w:hint="eastAsia" w:ascii="宋体" w:hAnsi="宋体" w:cs="宋体"/>
                <w:color w:val="auto"/>
                <w:sz w:val="24"/>
              </w:rPr>
            </w:pPr>
          </w:p>
          <w:p w14:paraId="06D777DC">
            <w:pPr>
              <w:jc w:val="center"/>
              <w:rPr>
                <w:rFonts w:hint="eastAsia" w:ascii="宋体" w:hAnsi="宋体" w:cs="宋体"/>
                <w:color w:val="auto"/>
                <w:sz w:val="24"/>
              </w:rPr>
            </w:pPr>
          </w:p>
          <w:p w14:paraId="131DE487">
            <w:pPr>
              <w:jc w:val="center"/>
              <w:rPr>
                <w:rFonts w:hint="eastAsia" w:ascii="宋体" w:hAnsi="宋体" w:cs="宋体"/>
                <w:color w:val="auto"/>
                <w:sz w:val="24"/>
              </w:rPr>
            </w:pPr>
          </w:p>
          <w:p w14:paraId="7CD4CBF5">
            <w:pPr>
              <w:jc w:val="center"/>
              <w:rPr>
                <w:rFonts w:hint="eastAsia" w:ascii="宋体" w:hAnsi="宋体" w:cs="宋体"/>
                <w:color w:val="auto"/>
                <w:sz w:val="24"/>
              </w:rPr>
            </w:pPr>
          </w:p>
          <w:p w14:paraId="0AA169B2">
            <w:pPr>
              <w:jc w:val="center"/>
              <w:rPr>
                <w:rFonts w:hint="eastAsia" w:ascii="宋体" w:hAnsi="宋体" w:cs="宋体"/>
                <w:color w:val="auto"/>
                <w:sz w:val="24"/>
              </w:rPr>
            </w:pPr>
          </w:p>
          <w:p w14:paraId="6D609685">
            <w:pPr>
              <w:jc w:val="center"/>
              <w:rPr>
                <w:rFonts w:hint="eastAsia" w:ascii="宋体" w:hAnsi="宋体" w:cs="宋体"/>
                <w:color w:val="auto"/>
                <w:sz w:val="24"/>
              </w:rPr>
            </w:pPr>
          </w:p>
          <w:p w14:paraId="2D7B69BF">
            <w:pPr>
              <w:jc w:val="center"/>
              <w:rPr>
                <w:rFonts w:hint="eastAsia" w:ascii="宋体" w:hAnsi="宋体" w:cs="宋体"/>
                <w:color w:val="auto"/>
                <w:sz w:val="24"/>
              </w:rPr>
            </w:pPr>
          </w:p>
          <w:p w14:paraId="7294A0EC">
            <w:pPr>
              <w:jc w:val="center"/>
              <w:rPr>
                <w:rFonts w:hint="eastAsia" w:ascii="宋体" w:hAnsi="宋体" w:cs="宋体"/>
                <w:color w:val="auto"/>
                <w:sz w:val="24"/>
              </w:rPr>
            </w:pPr>
          </w:p>
          <w:p w14:paraId="4AEE6416">
            <w:pPr>
              <w:jc w:val="center"/>
              <w:rPr>
                <w:rFonts w:hint="eastAsia" w:ascii="宋体" w:hAnsi="宋体" w:cs="宋体"/>
                <w:color w:val="auto"/>
                <w:sz w:val="24"/>
              </w:rPr>
            </w:pPr>
          </w:p>
          <w:p w14:paraId="36827EA1">
            <w:pPr>
              <w:jc w:val="center"/>
              <w:rPr>
                <w:rFonts w:hint="eastAsia" w:ascii="宋体" w:hAnsi="宋体" w:cs="宋体"/>
                <w:color w:val="auto"/>
                <w:sz w:val="24"/>
              </w:rPr>
            </w:pPr>
            <w:r>
              <w:rPr>
                <w:rFonts w:hint="eastAsia" w:ascii="宋体" w:hAnsi="宋体" w:cs="宋体"/>
                <w:color w:val="auto"/>
                <w:sz w:val="24"/>
              </w:rPr>
              <w:t>本招标文件已报备</w:t>
            </w:r>
          </w:p>
          <w:p w14:paraId="4740A9C6">
            <w:pPr>
              <w:jc w:val="center"/>
              <w:rPr>
                <w:rFonts w:hint="eastAsia" w:ascii="宋体" w:hAnsi="宋体" w:cs="宋体"/>
                <w:color w:val="auto"/>
                <w:sz w:val="24"/>
              </w:rPr>
            </w:pPr>
          </w:p>
          <w:p w14:paraId="16BDEF1E">
            <w:pPr>
              <w:rPr>
                <w:rFonts w:hint="eastAsia" w:ascii="宋体" w:hAnsi="宋体" w:cs="宋体"/>
                <w:b/>
                <w:bCs/>
                <w:color w:val="auto"/>
                <w:sz w:val="24"/>
              </w:rPr>
            </w:pPr>
          </w:p>
          <w:p w14:paraId="0F8B11BE">
            <w:pPr>
              <w:rPr>
                <w:rFonts w:hint="eastAsia" w:ascii="宋体" w:hAnsi="宋体" w:cs="宋体"/>
                <w:b/>
                <w:bCs/>
                <w:color w:val="auto"/>
                <w:sz w:val="24"/>
              </w:rPr>
            </w:pPr>
          </w:p>
          <w:p w14:paraId="65345035">
            <w:pPr>
              <w:rPr>
                <w:rFonts w:hint="eastAsia" w:ascii="宋体" w:hAnsi="宋体" w:cs="宋体"/>
                <w:b/>
                <w:bCs/>
                <w:color w:val="auto"/>
                <w:sz w:val="24"/>
              </w:rPr>
            </w:pPr>
          </w:p>
          <w:p w14:paraId="22F5E536">
            <w:pPr>
              <w:widowControl/>
              <w:spacing w:after="120"/>
              <w:ind w:left="420" w:firstLine="540"/>
              <w:jc w:val="left"/>
              <w:rPr>
                <w:rFonts w:hint="eastAsia" w:ascii="宋体" w:hAnsi="宋体" w:cs="宋体"/>
                <w:color w:val="auto"/>
                <w:kern w:val="0"/>
                <w:sz w:val="20"/>
              </w:rPr>
            </w:pPr>
          </w:p>
          <w:p w14:paraId="4E6707EE">
            <w:pPr>
              <w:widowControl/>
              <w:spacing w:after="120"/>
              <w:ind w:left="420" w:firstLine="542"/>
              <w:jc w:val="left"/>
              <w:rPr>
                <w:rFonts w:hint="eastAsia" w:ascii="宋体" w:hAnsi="宋体" w:cs="宋体"/>
                <w:b/>
                <w:bCs/>
                <w:color w:val="auto"/>
                <w:kern w:val="0"/>
                <w:sz w:val="20"/>
              </w:rPr>
            </w:pPr>
          </w:p>
          <w:p w14:paraId="61A821F5">
            <w:pPr>
              <w:widowControl/>
              <w:spacing w:after="120"/>
              <w:ind w:left="420" w:firstLine="542"/>
              <w:jc w:val="left"/>
              <w:rPr>
                <w:rFonts w:hint="eastAsia" w:ascii="宋体" w:hAnsi="宋体" w:cs="宋体"/>
                <w:b/>
                <w:bCs/>
                <w:color w:val="auto"/>
                <w:kern w:val="0"/>
                <w:sz w:val="20"/>
              </w:rPr>
            </w:pPr>
          </w:p>
          <w:p w14:paraId="0A2B8E72">
            <w:pPr>
              <w:rPr>
                <w:rFonts w:hint="eastAsia" w:ascii="宋体" w:hAnsi="宋体" w:cs="宋体"/>
                <w:b/>
                <w:bCs/>
                <w:color w:val="auto"/>
                <w:sz w:val="24"/>
              </w:rPr>
            </w:pPr>
          </w:p>
          <w:p w14:paraId="4404681B">
            <w:pPr>
              <w:widowControl/>
              <w:adjustRightInd w:val="0"/>
              <w:spacing w:before="75" w:after="75" w:line="300" w:lineRule="atLeast"/>
              <w:ind w:firstLine="420"/>
              <w:jc w:val="left"/>
              <w:rPr>
                <w:rFonts w:hint="eastAsia" w:ascii="宋体" w:hAnsi="宋体" w:cs="宋体"/>
                <w:bCs/>
                <w:color w:val="auto"/>
                <w:kern w:val="0"/>
                <w:sz w:val="24"/>
                <w:szCs w:val="24"/>
                <w:lang w:val="zh-CN"/>
              </w:rPr>
            </w:pPr>
          </w:p>
          <w:p w14:paraId="781AB297">
            <w:pPr>
              <w:widowControl/>
              <w:adjustRightInd w:val="0"/>
              <w:spacing w:before="75" w:after="75" w:line="300" w:lineRule="atLeast"/>
              <w:ind w:firstLine="420"/>
              <w:jc w:val="left"/>
              <w:rPr>
                <w:rFonts w:hint="eastAsia" w:ascii="宋体" w:hAnsi="宋体" w:cs="宋体"/>
                <w:bCs/>
                <w:color w:val="auto"/>
                <w:kern w:val="0"/>
                <w:sz w:val="24"/>
                <w:szCs w:val="24"/>
                <w:lang w:val="zh-CN"/>
              </w:rPr>
            </w:pPr>
          </w:p>
          <w:p w14:paraId="33424271">
            <w:pPr>
              <w:widowControl/>
              <w:adjustRightInd w:val="0"/>
              <w:spacing w:before="75" w:after="75" w:line="300" w:lineRule="atLeast"/>
              <w:ind w:firstLine="420"/>
              <w:jc w:val="left"/>
              <w:rPr>
                <w:rFonts w:hint="eastAsia" w:ascii="宋体" w:hAnsi="宋体" w:cs="宋体"/>
                <w:bCs/>
                <w:color w:val="auto"/>
                <w:kern w:val="0"/>
                <w:sz w:val="24"/>
                <w:szCs w:val="24"/>
                <w:lang w:val="zh-CN"/>
              </w:rPr>
            </w:pPr>
          </w:p>
          <w:p w14:paraId="0FFBBEFF">
            <w:pPr>
              <w:widowControl/>
              <w:adjustRightInd w:val="0"/>
              <w:spacing w:before="75" w:after="75" w:line="300" w:lineRule="atLeast"/>
              <w:ind w:firstLine="420"/>
              <w:jc w:val="left"/>
              <w:rPr>
                <w:rFonts w:hint="eastAsia" w:ascii="宋体" w:hAnsi="宋体" w:cs="宋体"/>
                <w:bCs/>
                <w:color w:val="auto"/>
                <w:kern w:val="0"/>
                <w:sz w:val="24"/>
                <w:szCs w:val="24"/>
                <w:lang w:val="zh-CN"/>
              </w:rPr>
            </w:pPr>
          </w:p>
          <w:p w14:paraId="47DAFD3A">
            <w:pPr>
              <w:widowControl/>
              <w:adjustRightInd w:val="0"/>
              <w:spacing w:before="75" w:after="75" w:line="300" w:lineRule="atLeast"/>
              <w:ind w:firstLine="420"/>
              <w:jc w:val="left"/>
              <w:rPr>
                <w:rFonts w:hint="eastAsia" w:ascii="宋体" w:hAnsi="宋体" w:cs="宋体"/>
                <w:bCs/>
                <w:color w:val="auto"/>
                <w:kern w:val="0"/>
                <w:sz w:val="24"/>
                <w:szCs w:val="24"/>
                <w:lang w:val="zh-CN"/>
              </w:rPr>
            </w:pPr>
          </w:p>
          <w:p w14:paraId="37316393">
            <w:pPr>
              <w:widowControl/>
              <w:adjustRightInd w:val="0"/>
              <w:spacing w:before="75" w:after="75" w:line="300" w:lineRule="atLeast"/>
              <w:ind w:firstLine="420"/>
              <w:jc w:val="left"/>
              <w:rPr>
                <w:rFonts w:hint="eastAsia" w:ascii="宋体" w:hAnsi="宋体" w:cs="宋体"/>
                <w:bCs/>
                <w:color w:val="auto"/>
                <w:kern w:val="0"/>
                <w:sz w:val="24"/>
                <w:szCs w:val="24"/>
                <w:lang w:val="zh-CN"/>
              </w:rPr>
            </w:pPr>
          </w:p>
          <w:p w14:paraId="7CC5DF82">
            <w:pPr>
              <w:widowControl/>
              <w:adjustRightInd w:val="0"/>
              <w:spacing w:before="75" w:after="75" w:line="300" w:lineRule="atLeast"/>
              <w:ind w:firstLine="420"/>
              <w:jc w:val="left"/>
              <w:rPr>
                <w:rFonts w:hint="eastAsia" w:ascii="宋体" w:hAnsi="宋体" w:cs="宋体"/>
                <w:bCs/>
                <w:color w:val="auto"/>
                <w:kern w:val="0"/>
                <w:sz w:val="24"/>
                <w:szCs w:val="24"/>
                <w:lang w:val="zh-CN"/>
              </w:rPr>
            </w:pPr>
          </w:p>
          <w:p w14:paraId="4E1C67A6">
            <w:pPr>
              <w:widowControl/>
              <w:adjustRightInd w:val="0"/>
              <w:spacing w:before="75" w:after="75" w:line="300" w:lineRule="atLeast"/>
              <w:ind w:firstLine="420"/>
              <w:jc w:val="left"/>
              <w:rPr>
                <w:rFonts w:hint="eastAsia" w:ascii="宋体" w:hAnsi="宋体" w:cs="宋体"/>
                <w:bCs/>
                <w:color w:val="auto"/>
                <w:kern w:val="0"/>
                <w:sz w:val="24"/>
                <w:szCs w:val="24"/>
                <w:lang w:val="zh-CN"/>
              </w:rPr>
            </w:pPr>
          </w:p>
          <w:p w14:paraId="32C13B06">
            <w:pPr>
              <w:widowControl/>
              <w:adjustRightInd w:val="0"/>
              <w:spacing w:before="75" w:after="75" w:line="300" w:lineRule="atLeast"/>
              <w:ind w:firstLine="420"/>
              <w:jc w:val="left"/>
              <w:rPr>
                <w:rFonts w:hint="eastAsia" w:ascii="宋体" w:hAnsi="宋体" w:cs="宋体"/>
                <w:bCs/>
                <w:color w:val="auto"/>
                <w:kern w:val="0"/>
                <w:sz w:val="24"/>
                <w:szCs w:val="24"/>
                <w:lang w:val="zh-CN"/>
              </w:rPr>
            </w:pPr>
          </w:p>
          <w:p w14:paraId="3A02285A">
            <w:pPr>
              <w:rPr>
                <w:rFonts w:hint="eastAsia" w:ascii="宋体" w:hAnsi="宋体" w:cs="宋体"/>
                <w:color w:val="auto"/>
                <w:sz w:val="24"/>
              </w:rPr>
            </w:pPr>
            <w:r>
              <w:rPr>
                <w:rFonts w:hint="eastAsia" w:ascii="宋体" w:hAnsi="宋体" w:cs="宋体"/>
                <w:bCs/>
                <w:color w:val="auto"/>
                <w:kern w:val="0"/>
                <w:sz w:val="24"/>
                <w:szCs w:val="24"/>
                <w:lang w:val="zh-CN"/>
              </w:rPr>
              <w:t>项目名称：2024年地州企业职工基本养老保险基金专项审计项目（三次）</w:t>
            </w:r>
            <w:r>
              <w:rPr>
                <w:rFonts w:hint="eastAsia" w:ascii="宋体" w:hAnsi="宋体" w:cs="宋体"/>
                <w:color w:val="auto"/>
                <w:sz w:val="24"/>
              </w:rPr>
              <w:t xml:space="preserve"> </w:t>
            </w:r>
          </w:p>
          <w:p w14:paraId="7FD2CFFF">
            <w:pPr>
              <w:rPr>
                <w:rFonts w:hint="eastAsia" w:ascii="宋体" w:hAnsi="宋体" w:cs="宋体"/>
                <w:b/>
                <w:bCs/>
                <w:color w:val="auto"/>
                <w:sz w:val="24"/>
              </w:rPr>
            </w:pPr>
          </w:p>
        </w:tc>
      </w:tr>
    </w:tbl>
    <w:p w14:paraId="048B2CA8">
      <w:pPr>
        <w:spacing w:line="360" w:lineRule="auto"/>
        <w:jc w:val="right"/>
        <w:rPr>
          <w:rFonts w:hint="eastAsia" w:ascii="宋体" w:hAnsi="宋体" w:cs="宋体"/>
          <w:b/>
          <w:bCs/>
          <w:color w:val="auto"/>
          <w:sz w:val="24"/>
        </w:rPr>
      </w:pPr>
      <w:r>
        <w:rPr>
          <w:rFonts w:hint="eastAsia" w:ascii="宋体" w:hAnsi="宋体" w:cs="宋体"/>
          <w:b/>
          <w:bCs/>
          <w:color w:val="auto"/>
          <w:sz w:val="24"/>
        </w:rPr>
        <w:t xml:space="preserve"> </w:t>
      </w:r>
    </w:p>
    <w:p w14:paraId="0081215D">
      <w:pPr>
        <w:tabs>
          <w:tab w:val="left" w:pos="2377"/>
        </w:tabs>
        <w:jc w:val="left"/>
        <w:rPr>
          <w:rFonts w:hint="eastAsia" w:ascii="宋体" w:hAnsi="宋体" w:cs="宋体"/>
          <w:color w:val="auto"/>
        </w:rPr>
        <w:sectPr>
          <w:footerReference r:id="rId3" w:type="default"/>
          <w:pgSz w:w="11907" w:h="16840"/>
          <w:pgMar w:top="1440" w:right="1080" w:bottom="1440" w:left="1080" w:header="851" w:footer="851" w:gutter="0"/>
          <w:pgNumType w:start="1"/>
          <w:cols w:space="720" w:num="1"/>
          <w:docGrid w:linePitch="462" w:charSpace="0"/>
        </w:sectPr>
      </w:pPr>
      <w:bookmarkStart w:id="5" w:name="_Toc521014774"/>
      <w:bookmarkStart w:id="6" w:name="_Toc5048"/>
    </w:p>
    <w:bookmarkEnd w:id="5"/>
    <w:bookmarkEnd w:id="6"/>
    <w:p w14:paraId="3AC1E5F6">
      <w:pPr>
        <w:numPr>
          <w:ilvl w:val="0"/>
          <w:numId w:val="2"/>
        </w:numPr>
        <w:spacing w:line="460" w:lineRule="exact"/>
        <w:jc w:val="center"/>
        <w:outlineLvl w:val="0"/>
        <w:rPr>
          <w:rFonts w:hint="eastAsia" w:ascii="宋体" w:hAnsi="宋体" w:cs="宋体"/>
          <w:b/>
          <w:color w:val="auto"/>
          <w:sz w:val="32"/>
          <w:szCs w:val="32"/>
        </w:rPr>
      </w:pPr>
      <w:bookmarkStart w:id="7" w:name="_Toc31279"/>
      <w:bookmarkStart w:id="8" w:name="_Toc21730"/>
      <w:bookmarkStart w:id="9" w:name="_Toc1984"/>
      <w:bookmarkStart w:id="10" w:name="_Toc24806"/>
      <w:bookmarkStart w:id="11" w:name="_Toc10143"/>
      <w:r>
        <w:rPr>
          <w:rFonts w:hint="eastAsia" w:ascii="宋体" w:hAnsi="宋体" w:cs="宋体"/>
          <w:b/>
          <w:color w:val="auto"/>
          <w:sz w:val="32"/>
          <w:szCs w:val="32"/>
        </w:rPr>
        <w:t>竞争性磋商公告</w:t>
      </w:r>
      <w:bookmarkEnd w:id="7"/>
      <w:bookmarkEnd w:id="8"/>
      <w:bookmarkEnd w:id="9"/>
      <w:bookmarkEnd w:id="10"/>
    </w:p>
    <w:tbl>
      <w:tblPr>
        <w:tblStyle w:val="27"/>
        <w:tblW w:w="96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620"/>
      </w:tblGrid>
      <w:tr w14:paraId="3C87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4" w:hRule="atLeast"/>
        </w:trPr>
        <w:tc>
          <w:tcPr>
            <w:tcW w:w="9620" w:type="dxa"/>
            <w:vAlign w:val="center"/>
          </w:tcPr>
          <w:p w14:paraId="3B9FE1FD">
            <w:pPr>
              <w:topLinePunct/>
              <w:adjustRightInd w:val="0"/>
              <w:snapToGrid w:val="0"/>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项目概况：</w:t>
            </w:r>
          </w:p>
          <w:p w14:paraId="7FAD75A8">
            <w:pPr>
              <w:pStyle w:val="25"/>
              <w:topLinePunct/>
              <w:adjustRightInd w:val="0"/>
              <w:snapToGrid w:val="0"/>
              <w:spacing w:line="360" w:lineRule="auto"/>
              <w:ind w:firstLine="480"/>
              <w:rPr>
                <w:rFonts w:hint="eastAsia" w:cs="宋体"/>
                <w:color w:val="auto"/>
                <w:sz w:val="28"/>
                <w:szCs w:val="28"/>
              </w:rPr>
            </w:pPr>
            <w:r>
              <w:rPr>
                <w:rFonts w:hint="eastAsia" w:cs="宋体"/>
                <w:color w:val="auto"/>
                <w:szCs w:val="24"/>
                <w:u w:val="single"/>
                <w:lang w:eastAsia="zh-CN"/>
              </w:rPr>
              <w:t>2024年地州企业职工基本养老保险基金专项审计项目（三次）</w:t>
            </w:r>
            <w:r>
              <w:rPr>
                <w:rFonts w:hint="eastAsia" w:cs="宋体"/>
                <w:color w:val="auto"/>
                <w:szCs w:val="24"/>
                <w:u w:val="single"/>
              </w:rPr>
              <w:t>的潜在投标人在符合该招标（采购）公告投标人资格要求条件的前提下，可于本公告发布之日起供应商登录政采云平台https：//www.zcygov.cn/在线下载获取采购文件，并于</w:t>
            </w:r>
            <w:r>
              <w:rPr>
                <w:rFonts w:hint="eastAsia" w:cs="宋体"/>
                <w:color w:val="auto"/>
                <w:szCs w:val="24"/>
                <w:u w:val="single"/>
                <w:lang w:eastAsia="zh-CN"/>
              </w:rPr>
              <w:t>2025年07月07日11：00</w:t>
            </w:r>
            <w:r>
              <w:rPr>
                <w:rFonts w:hint="eastAsia" w:cs="宋体"/>
                <w:color w:val="auto"/>
                <w:szCs w:val="24"/>
                <w:u w:val="single"/>
              </w:rPr>
              <w:t>（北京时间）前递交投标文件。</w:t>
            </w:r>
          </w:p>
        </w:tc>
      </w:tr>
    </w:tbl>
    <w:p w14:paraId="3BA72BF5">
      <w:pPr>
        <w:topLinePunct/>
        <w:adjustRightInd w:val="0"/>
        <w:snapToGrid w:val="0"/>
        <w:spacing w:line="360" w:lineRule="auto"/>
        <w:ind w:firstLine="482" w:firstLineChars="200"/>
        <w:textAlignment w:val="baseline"/>
        <w:rPr>
          <w:rFonts w:hint="eastAsia" w:ascii="宋体" w:hAnsi="宋体" w:cs="宋体"/>
          <w:b/>
          <w:bCs/>
          <w:color w:val="auto"/>
          <w:kern w:val="0"/>
          <w:sz w:val="24"/>
          <w:szCs w:val="24"/>
        </w:rPr>
      </w:pPr>
      <w:bookmarkStart w:id="12" w:name="_Toc35393798"/>
      <w:bookmarkStart w:id="13" w:name="_Toc28359012"/>
      <w:bookmarkStart w:id="14" w:name="_Toc35393629"/>
      <w:bookmarkStart w:id="15" w:name="_Toc28359089"/>
      <w:r>
        <w:rPr>
          <w:rFonts w:hint="eastAsia" w:ascii="宋体" w:hAnsi="宋体" w:cs="宋体"/>
          <w:b/>
          <w:bCs/>
          <w:color w:val="auto"/>
          <w:kern w:val="0"/>
          <w:sz w:val="24"/>
          <w:szCs w:val="24"/>
        </w:rPr>
        <w:t>一、项目基本情况</w:t>
      </w:r>
      <w:bookmarkEnd w:id="12"/>
      <w:bookmarkEnd w:id="13"/>
      <w:bookmarkEnd w:id="14"/>
      <w:bookmarkEnd w:id="15"/>
    </w:p>
    <w:p w14:paraId="174E2116">
      <w:pPr>
        <w:topLinePunct/>
        <w:adjustRightInd w:val="0"/>
        <w:snapToGrid w:val="0"/>
        <w:spacing w:line="360" w:lineRule="auto"/>
        <w:ind w:firstLine="480" w:firstLineChars="200"/>
        <w:textAlignment w:val="baseline"/>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项目编号：</w:t>
      </w:r>
      <w:r>
        <w:rPr>
          <w:rFonts w:hint="eastAsia" w:ascii="宋体" w:hAnsi="宋体" w:cs="宋体"/>
          <w:color w:val="auto"/>
          <w:kern w:val="0"/>
          <w:sz w:val="24"/>
          <w:szCs w:val="24"/>
          <w:lang w:eastAsia="zh-CN"/>
        </w:rPr>
        <w:t>2025(JKJ)137-02</w:t>
      </w:r>
    </w:p>
    <w:p w14:paraId="2B57FC9F">
      <w:pPr>
        <w:topLinePunct/>
        <w:adjustRightInd w:val="0"/>
        <w:snapToGrid w:val="0"/>
        <w:spacing w:line="360" w:lineRule="auto"/>
        <w:ind w:firstLine="480" w:firstLineChars="200"/>
        <w:textAlignment w:val="baseline"/>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项目名称：</w:t>
      </w:r>
      <w:r>
        <w:rPr>
          <w:rFonts w:hint="eastAsia" w:ascii="宋体" w:hAnsi="宋体" w:cs="宋体"/>
          <w:color w:val="auto"/>
          <w:kern w:val="0"/>
          <w:sz w:val="24"/>
          <w:szCs w:val="24"/>
          <w:lang w:eastAsia="zh-CN"/>
        </w:rPr>
        <w:t>2024年地州企业职工基本养老保险基金专项审计项目（三次）</w:t>
      </w:r>
    </w:p>
    <w:p w14:paraId="69831901">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采购方式：竞争性磋商</w:t>
      </w:r>
    </w:p>
    <w:p w14:paraId="656332DF">
      <w:pPr>
        <w:topLinePunct/>
        <w:adjustRightInd w:val="0"/>
        <w:snapToGrid w:val="0"/>
        <w:spacing w:line="360" w:lineRule="auto"/>
        <w:ind w:firstLine="480" w:firstLineChars="200"/>
        <w:textAlignment w:val="baseline"/>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预算金额：</w:t>
      </w:r>
      <w:r>
        <w:rPr>
          <w:rFonts w:hint="eastAsia" w:ascii="宋体" w:hAnsi="宋体" w:cs="宋体"/>
          <w:color w:val="auto"/>
          <w:kern w:val="0"/>
          <w:sz w:val="24"/>
          <w:szCs w:val="24"/>
          <w:lang w:eastAsia="zh-CN"/>
        </w:rPr>
        <w:t>29万元</w:t>
      </w:r>
    </w:p>
    <w:p w14:paraId="29A38A5A">
      <w:pPr>
        <w:topLinePunct/>
        <w:adjustRightInd w:val="0"/>
        <w:snapToGrid w:val="0"/>
        <w:spacing w:line="360" w:lineRule="auto"/>
        <w:ind w:firstLine="480" w:firstLineChars="200"/>
        <w:textAlignment w:val="baseline"/>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最高限价：</w:t>
      </w:r>
      <w:r>
        <w:rPr>
          <w:rFonts w:hint="eastAsia" w:ascii="宋体" w:hAnsi="宋体" w:cs="宋体"/>
          <w:color w:val="auto"/>
          <w:kern w:val="0"/>
          <w:sz w:val="24"/>
          <w:szCs w:val="24"/>
          <w:lang w:eastAsia="zh-CN"/>
        </w:rPr>
        <w:t>29万元</w:t>
      </w:r>
    </w:p>
    <w:p w14:paraId="01FF6369">
      <w:pPr>
        <w:topLinePunct/>
        <w:adjustRightInd w:val="0"/>
        <w:snapToGrid w:val="0"/>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采购需求：</w:t>
      </w:r>
    </w:p>
    <w:tbl>
      <w:tblPr>
        <w:tblStyle w:val="26"/>
        <w:tblW w:w="10332" w:type="dxa"/>
        <w:tblInd w:w="1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04"/>
        <w:gridCol w:w="2019"/>
        <w:gridCol w:w="955"/>
        <w:gridCol w:w="1293"/>
        <w:gridCol w:w="440"/>
        <w:gridCol w:w="3394"/>
        <w:gridCol w:w="1327"/>
      </w:tblGrid>
      <w:tr w14:paraId="269DAD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9" w:hRule="atLeast"/>
        </w:trPr>
        <w:tc>
          <w:tcPr>
            <w:tcW w:w="904" w:type="dxa"/>
            <w:tcMar>
              <w:top w:w="75" w:type="dxa"/>
              <w:left w:w="150" w:type="dxa"/>
              <w:bottom w:w="75" w:type="dxa"/>
              <w:right w:w="150" w:type="dxa"/>
            </w:tcMar>
            <w:vAlign w:val="center"/>
          </w:tcPr>
          <w:p w14:paraId="3D9555E9">
            <w:pPr>
              <w:topLinePunct/>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标项序号</w:t>
            </w:r>
          </w:p>
        </w:tc>
        <w:tc>
          <w:tcPr>
            <w:tcW w:w="2019" w:type="dxa"/>
            <w:tcMar>
              <w:top w:w="75" w:type="dxa"/>
              <w:left w:w="150" w:type="dxa"/>
              <w:bottom w:w="75" w:type="dxa"/>
              <w:right w:w="150" w:type="dxa"/>
            </w:tcMar>
            <w:vAlign w:val="center"/>
          </w:tcPr>
          <w:p w14:paraId="250DB047">
            <w:pPr>
              <w:topLinePunct/>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标项名称</w:t>
            </w:r>
          </w:p>
        </w:tc>
        <w:tc>
          <w:tcPr>
            <w:tcW w:w="955" w:type="dxa"/>
            <w:tcMar>
              <w:top w:w="75" w:type="dxa"/>
              <w:left w:w="150" w:type="dxa"/>
              <w:bottom w:w="75" w:type="dxa"/>
              <w:right w:w="150" w:type="dxa"/>
            </w:tcMar>
            <w:vAlign w:val="center"/>
          </w:tcPr>
          <w:p w14:paraId="19305C1A">
            <w:pPr>
              <w:topLinePunct/>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数量</w:t>
            </w:r>
          </w:p>
        </w:tc>
        <w:tc>
          <w:tcPr>
            <w:tcW w:w="1293" w:type="dxa"/>
            <w:tcMar>
              <w:top w:w="75" w:type="dxa"/>
              <w:left w:w="150" w:type="dxa"/>
              <w:bottom w:w="75" w:type="dxa"/>
              <w:right w:w="150" w:type="dxa"/>
            </w:tcMar>
            <w:vAlign w:val="center"/>
          </w:tcPr>
          <w:p w14:paraId="6F4A0FC8">
            <w:pPr>
              <w:topLinePunct/>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预算金额（元）</w:t>
            </w:r>
          </w:p>
        </w:tc>
        <w:tc>
          <w:tcPr>
            <w:tcW w:w="440" w:type="dxa"/>
            <w:tcMar>
              <w:top w:w="75" w:type="dxa"/>
              <w:left w:w="150" w:type="dxa"/>
              <w:bottom w:w="75" w:type="dxa"/>
              <w:right w:w="150" w:type="dxa"/>
            </w:tcMar>
            <w:vAlign w:val="center"/>
          </w:tcPr>
          <w:p w14:paraId="074C70A8">
            <w:pPr>
              <w:topLinePunct/>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单位</w:t>
            </w:r>
          </w:p>
        </w:tc>
        <w:tc>
          <w:tcPr>
            <w:tcW w:w="3394" w:type="dxa"/>
            <w:tcMar>
              <w:top w:w="75" w:type="dxa"/>
              <w:left w:w="150" w:type="dxa"/>
              <w:bottom w:w="75" w:type="dxa"/>
              <w:right w:w="150" w:type="dxa"/>
            </w:tcMar>
            <w:vAlign w:val="center"/>
          </w:tcPr>
          <w:p w14:paraId="1A8AA065">
            <w:pPr>
              <w:topLinePunct/>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简要规格描述</w:t>
            </w:r>
          </w:p>
        </w:tc>
        <w:tc>
          <w:tcPr>
            <w:tcW w:w="1327" w:type="dxa"/>
            <w:tcMar>
              <w:top w:w="75" w:type="dxa"/>
              <w:left w:w="150" w:type="dxa"/>
              <w:bottom w:w="75" w:type="dxa"/>
              <w:right w:w="150" w:type="dxa"/>
            </w:tcMar>
            <w:vAlign w:val="center"/>
          </w:tcPr>
          <w:p w14:paraId="5338017B">
            <w:pPr>
              <w:topLinePunct/>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备注</w:t>
            </w:r>
          </w:p>
        </w:tc>
      </w:tr>
      <w:tr w14:paraId="7859AB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904" w:type="dxa"/>
            <w:tcMar>
              <w:top w:w="75" w:type="dxa"/>
              <w:left w:w="150" w:type="dxa"/>
              <w:bottom w:w="75" w:type="dxa"/>
              <w:right w:w="150" w:type="dxa"/>
            </w:tcMar>
            <w:vAlign w:val="center"/>
          </w:tcPr>
          <w:p w14:paraId="0A200921">
            <w:pPr>
              <w:topLinePunct/>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1</w:t>
            </w:r>
          </w:p>
        </w:tc>
        <w:tc>
          <w:tcPr>
            <w:tcW w:w="2019" w:type="dxa"/>
            <w:tcMar>
              <w:top w:w="75" w:type="dxa"/>
              <w:left w:w="150" w:type="dxa"/>
              <w:bottom w:w="75" w:type="dxa"/>
              <w:right w:w="150" w:type="dxa"/>
            </w:tcMar>
            <w:vAlign w:val="center"/>
          </w:tcPr>
          <w:p w14:paraId="0A0AF110">
            <w:pPr>
              <w:topLinePunct/>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2024年地州企业职工基本养老保险基金专项审计项目（三次）</w:t>
            </w:r>
          </w:p>
        </w:tc>
        <w:tc>
          <w:tcPr>
            <w:tcW w:w="955" w:type="dxa"/>
            <w:tcMar>
              <w:top w:w="75" w:type="dxa"/>
              <w:left w:w="150" w:type="dxa"/>
              <w:bottom w:w="75" w:type="dxa"/>
              <w:right w:w="150" w:type="dxa"/>
            </w:tcMar>
            <w:vAlign w:val="center"/>
          </w:tcPr>
          <w:p w14:paraId="60CE9D85">
            <w:pPr>
              <w:topLinePunct/>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1</w:t>
            </w:r>
          </w:p>
        </w:tc>
        <w:tc>
          <w:tcPr>
            <w:tcW w:w="1293" w:type="dxa"/>
            <w:tcMar>
              <w:top w:w="75" w:type="dxa"/>
              <w:left w:w="150" w:type="dxa"/>
              <w:bottom w:w="75" w:type="dxa"/>
              <w:right w:w="150" w:type="dxa"/>
            </w:tcMar>
            <w:vAlign w:val="center"/>
          </w:tcPr>
          <w:p w14:paraId="717DE5AF">
            <w:pPr>
              <w:topLinePunct/>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29万元</w:t>
            </w:r>
          </w:p>
        </w:tc>
        <w:tc>
          <w:tcPr>
            <w:tcW w:w="440" w:type="dxa"/>
            <w:tcMar>
              <w:top w:w="75" w:type="dxa"/>
              <w:left w:w="150" w:type="dxa"/>
              <w:bottom w:w="75" w:type="dxa"/>
              <w:right w:w="150" w:type="dxa"/>
            </w:tcMar>
            <w:vAlign w:val="center"/>
          </w:tcPr>
          <w:p w14:paraId="05E159C6">
            <w:pPr>
              <w:topLinePunct/>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项</w:t>
            </w:r>
          </w:p>
        </w:tc>
        <w:tc>
          <w:tcPr>
            <w:tcW w:w="3394" w:type="dxa"/>
            <w:tcMar>
              <w:top w:w="75" w:type="dxa"/>
              <w:left w:w="150" w:type="dxa"/>
              <w:bottom w:w="75" w:type="dxa"/>
              <w:right w:w="150" w:type="dxa"/>
            </w:tcMar>
            <w:vAlign w:val="center"/>
          </w:tcPr>
          <w:p w14:paraId="313DA353">
            <w:pPr>
              <w:topLinePunct/>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对克州本级、吐鲁番市本级、克拉玛依市本级、博州本级社保经办机构2024年企业职工基本养老保险基金运行管理进行审计</w:t>
            </w:r>
          </w:p>
        </w:tc>
        <w:tc>
          <w:tcPr>
            <w:tcW w:w="1327" w:type="dxa"/>
            <w:tcMar>
              <w:top w:w="75" w:type="dxa"/>
              <w:left w:w="150" w:type="dxa"/>
              <w:bottom w:w="75" w:type="dxa"/>
              <w:right w:w="150" w:type="dxa"/>
            </w:tcMar>
            <w:vAlign w:val="center"/>
          </w:tcPr>
          <w:p w14:paraId="24AF68F1">
            <w:pPr>
              <w:topLinePunct/>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具体参数详见</w:t>
            </w:r>
            <w:r>
              <w:rPr>
                <w:rFonts w:hint="eastAsia" w:ascii="宋体" w:hAnsi="宋体" w:cs="宋体"/>
                <w:color w:val="auto"/>
                <w:kern w:val="0"/>
                <w:sz w:val="24"/>
                <w:szCs w:val="24"/>
                <w:lang w:val="en-US" w:eastAsia="zh-CN"/>
              </w:rPr>
              <w:t>磋商</w:t>
            </w:r>
            <w:r>
              <w:rPr>
                <w:rFonts w:hint="eastAsia" w:ascii="宋体" w:hAnsi="宋体" w:cs="宋体"/>
                <w:color w:val="auto"/>
                <w:kern w:val="0"/>
                <w:sz w:val="24"/>
                <w:szCs w:val="24"/>
              </w:rPr>
              <w:t>文件</w:t>
            </w:r>
          </w:p>
        </w:tc>
      </w:tr>
    </w:tbl>
    <w:p w14:paraId="23139367">
      <w:pPr>
        <w:topLinePunct/>
        <w:adjustRightInd w:val="0"/>
        <w:snapToGrid w:val="0"/>
        <w:spacing w:line="360" w:lineRule="auto"/>
        <w:ind w:firstLine="480" w:firstLineChars="200"/>
        <w:textAlignment w:val="baseline"/>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合同履行期限：1年（以签订合同为准）</w:t>
      </w:r>
      <w:r>
        <w:rPr>
          <w:rFonts w:hint="eastAsia" w:ascii="宋体" w:hAnsi="宋体" w:cs="宋体"/>
          <w:color w:val="auto"/>
          <w:kern w:val="0"/>
          <w:sz w:val="24"/>
          <w:szCs w:val="24"/>
          <w:lang w:eastAsia="zh-CN"/>
        </w:rPr>
        <w:t>。</w:t>
      </w:r>
    </w:p>
    <w:p w14:paraId="410A9F79">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本项目不接受联合体投标。</w:t>
      </w:r>
      <w:bookmarkStart w:id="16" w:name="_Toc35393630"/>
      <w:bookmarkStart w:id="17" w:name="_Toc28359090"/>
      <w:bookmarkStart w:id="18" w:name="_Toc35393799"/>
      <w:bookmarkStart w:id="19" w:name="_Toc28359013"/>
    </w:p>
    <w:bookmarkEnd w:id="16"/>
    <w:bookmarkEnd w:id="17"/>
    <w:bookmarkEnd w:id="18"/>
    <w:bookmarkEnd w:id="19"/>
    <w:p w14:paraId="4F94C29E">
      <w:pPr>
        <w:topLinePunct/>
        <w:adjustRightInd w:val="0"/>
        <w:snapToGrid w:val="0"/>
        <w:spacing w:line="360" w:lineRule="auto"/>
        <w:ind w:firstLine="482" w:firstLineChars="200"/>
        <w:textAlignment w:val="baseline"/>
        <w:rPr>
          <w:rFonts w:hint="eastAsia" w:ascii="宋体" w:hAnsi="宋体" w:cs="宋体"/>
          <w:b/>
          <w:bCs/>
          <w:color w:val="auto"/>
          <w:kern w:val="0"/>
          <w:sz w:val="24"/>
          <w:szCs w:val="24"/>
        </w:rPr>
      </w:pPr>
      <w:r>
        <w:rPr>
          <w:rFonts w:hint="eastAsia" w:ascii="宋体" w:hAnsi="宋体" w:cs="宋体"/>
          <w:b/>
          <w:bCs/>
          <w:color w:val="auto"/>
          <w:kern w:val="0"/>
          <w:sz w:val="24"/>
          <w:szCs w:val="24"/>
        </w:rPr>
        <w:t>二、申请人的资格要求：</w:t>
      </w:r>
    </w:p>
    <w:p w14:paraId="18FB0330">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1.满足《中华人民共和国政府采购法》第二十二条规定；</w:t>
      </w:r>
    </w:p>
    <w:p w14:paraId="70B60F78">
      <w:pPr>
        <w:pStyle w:val="23"/>
        <w:spacing w:before="0" w:beforeAutospacing="0" w:after="0" w:afterAutospacing="0" w:line="360" w:lineRule="auto"/>
        <w:ind w:firstLine="480" w:firstLineChars="200"/>
        <w:rPr>
          <w:rFonts w:hint="eastAsia" w:ascii="宋体" w:hAnsi="宋体" w:cs="宋体"/>
          <w:color w:val="auto"/>
        </w:rPr>
      </w:pPr>
      <w:r>
        <w:rPr>
          <w:rFonts w:hint="eastAsia" w:ascii="宋体" w:hAnsi="宋体" w:cs="宋体"/>
          <w:color w:val="auto"/>
        </w:rPr>
        <w:t>2.落实政府采购政策需满足的资格要求：</w:t>
      </w:r>
    </w:p>
    <w:p w14:paraId="137C4FEE">
      <w:pPr>
        <w:pStyle w:val="23"/>
        <w:spacing w:before="0" w:beforeAutospacing="0" w:after="0" w:afterAutospacing="0" w:line="360" w:lineRule="auto"/>
        <w:ind w:firstLine="480" w:firstLineChars="200"/>
        <w:rPr>
          <w:rFonts w:hint="eastAsia"/>
          <w:color w:val="auto"/>
          <w:lang w:bidi="ar"/>
        </w:rPr>
      </w:pPr>
      <w:r>
        <w:rPr>
          <w:rFonts w:hint="eastAsia"/>
          <w:color w:val="auto"/>
          <w:lang w:bidi="ar"/>
        </w:rPr>
        <w:t>2.1中小企业政策落实政府采购政策需满足的资格要求：</w:t>
      </w:r>
      <w:r>
        <w:rPr>
          <w:rFonts w:hint="eastAsia" w:ascii="宋体" w:hAnsi="宋体" w:cs="宋体"/>
          <w:color w:val="auto"/>
        </w:rPr>
        <w:t>本项目专门面向中小企业</w:t>
      </w:r>
    </w:p>
    <w:p w14:paraId="23130F24">
      <w:pPr>
        <w:pStyle w:val="23"/>
        <w:spacing w:before="0" w:beforeAutospacing="0" w:after="0" w:afterAutospacing="0" w:line="360" w:lineRule="auto"/>
        <w:ind w:firstLine="480" w:firstLineChars="200"/>
        <w:rPr>
          <w:rFonts w:hint="eastAsia"/>
          <w:color w:val="auto"/>
          <w:lang w:bidi="ar"/>
        </w:rPr>
      </w:pPr>
      <w:r>
        <w:rPr>
          <w:rFonts w:hint="eastAsia"/>
          <w:color w:val="auto"/>
          <w:lang w:bidi="ar"/>
        </w:rPr>
        <w:t>2.2其他落实政府采购政策</w:t>
      </w:r>
    </w:p>
    <w:p w14:paraId="2D389BF7">
      <w:pPr>
        <w:pStyle w:val="13"/>
        <w:snapToGrid w:val="0"/>
        <w:spacing w:line="360" w:lineRule="auto"/>
        <w:ind w:firstLine="480" w:firstLineChars="200"/>
        <w:outlineLvl w:val="2"/>
        <w:rPr>
          <w:rFonts w:hint="eastAsia" w:hAnsi="宋体" w:cs="宋体"/>
          <w:color w:val="auto"/>
          <w:kern w:val="0"/>
          <w:sz w:val="24"/>
          <w:szCs w:val="24"/>
        </w:rPr>
      </w:pPr>
      <w:r>
        <w:rPr>
          <w:rFonts w:hint="eastAsia" w:hAnsi="宋体" w:cs="宋体"/>
          <w:color w:val="auto"/>
          <w:kern w:val="0"/>
          <w:sz w:val="24"/>
          <w:szCs w:val="24"/>
        </w:rPr>
        <w:t>（1）财政部、国家发展改革委、生态环境部、市场监管总局《关于调整优化节能产品、环境标志产品政府采购执行机制的通知》（财库[2019]9号文）；</w:t>
      </w:r>
    </w:p>
    <w:p w14:paraId="6FC41BEF">
      <w:pPr>
        <w:pStyle w:val="13"/>
        <w:snapToGrid w:val="0"/>
        <w:spacing w:line="360" w:lineRule="auto"/>
        <w:ind w:firstLine="480" w:firstLineChars="200"/>
        <w:outlineLvl w:val="2"/>
        <w:rPr>
          <w:rFonts w:hint="eastAsia" w:hAnsi="宋体" w:cs="宋体"/>
          <w:color w:val="auto"/>
          <w:kern w:val="0"/>
          <w:sz w:val="24"/>
          <w:szCs w:val="24"/>
        </w:rPr>
      </w:pPr>
      <w:r>
        <w:rPr>
          <w:rFonts w:hint="eastAsia" w:hAnsi="宋体" w:cs="宋体"/>
          <w:color w:val="auto"/>
          <w:kern w:val="0"/>
          <w:sz w:val="24"/>
          <w:szCs w:val="24"/>
        </w:rPr>
        <w:t>（2）财政部、生态环境部《关于印发环境标志产品政府采购品目清单的通知》（财库[2019]18号文）；</w:t>
      </w:r>
    </w:p>
    <w:p w14:paraId="51708B6C">
      <w:pPr>
        <w:pStyle w:val="13"/>
        <w:snapToGrid w:val="0"/>
        <w:spacing w:line="360" w:lineRule="auto"/>
        <w:ind w:firstLine="480" w:firstLineChars="200"/>
        <w:outlineLvl w:val="2"/>
        <w:rPr>
          <w:rFonts w:hint="eastAsia" w:hAnsi="宋体" w:cs="宋体"/>
          <w:color w:val="auto"/>
          <w:kern w:val="0"/>
          <w:sz w:val="24"/>
          <w:szCs w:val="24"/>
        </w:rPr>
      </w:pPr>
      <w:r>
        <w:rPr>
          <w:rFonts w:hint="eastAsia" w:hAnsi="宋体" w:cs="宋体"/>
          <w:color w:val="auto"/>
          <w:kern w:val="0"/>
          <w:sz w:val="24"/>
          <w:szCs w:val="24"/>
        </w:rPr>
        <w:t>（3）财政部、发展改革委《关于印发节能产品政府采购品目清单的通知》（财库[2019]19号文）；</w:t>
      </w:r>
    </w:p>
    <w:p w14:paraId="65A181C7">
      <w:pPr>
        <w:pStyle w:val="13"/>
        <w:snapToGrid w:val="0"/>
        <w:spacing w:line="360" w:lineRule="auto"/>
        <w:ind w:firstLine="480" w:firstLineChars="200"/>
        <w:outlineLvl w:val="2"/>
        <w:rPr>
          <w:rFonts w:hint="eastAsia" w:hAnsi="宋体" w:cs="宋体"/>
          <w:color w:val="auto"/>
          <w:kern w:val="0"/>
          <w:sz w:val="24"/>
          <w:szCs w:val="24"/>
        </w:rPr>
      </w:pPr>
      <w:r>
        <w:rPr>
          <w:rFonts w:hint="eastAsia" w:hAnsi="宋体" w:cs="宋体"/>
          <w:color w:val="auto"/>
          <w:kern w:val="0"/>
          <w:sz w:val="24"/>
          <w:szCs w:val="24"/>
        </w:rPr>
        <w:t>（4）市场监管总局《市场监管总局关于发布参与实施政府采购节能产品、环境标志产品认证机构名录的公告》（2019年第16号）；</w:t>
      </w:r>
    </w:p>
    <w:p w14:paraId="7FFC9D6F">
      <w:pPr>
        <w:pStyle w:val="13"/>
        <w:snapToGrid w:val="0"/>
        <w:spacing w:line="360" w:lineRule="auto"/>
        <w:ind w:firstLine="480" w:firstLineChars="200"/>
        <w:outlineLvl w:val="2"/>
        <w:rPr>
          <w:rFonts w:hint="eastAsia" w:hAnsi="宋体" w:cs="宋体"/>
          <w:color w:val="auto"/>
          <w:kern w:val="0"/>
          <w:sz w:val="24"/>
          <w:szCs w:val="24"/>
        </w:rPr>
      </w:pPr>
      <w:r>
        <w:rPr>
          <w:rFonts w:hint="eastAsia" w:hAnsi="宋体" w:cs="宋体"/>
          <w:color w:val="auto"/>
          <w:kern w:val="0"/>
          <w:sz w:val="24"/>
          <w:szCs w:val="24"/>
        </w:rPr>
        <w:t>（5）财政部、工业和信息化部《关于印发《政府采购促进中小企业发展管理办法》的通知》（财库[2020]46号文）《关于进一步加大政府采购支持中小企业力度的通知》（财库[2022]19号文）执行；</w:t>
      </w:r>
    </w:p>
    <w:p w14:paraId="1930ABFB">
      <w:pPr>
        <w:pStyle w:val="13"/>
        <w:snapToGrid w:val="0"/>
        <w:spacing w:line="360" w:lineRule="auto"/>
        <w:ind w:firstLine="480" w:firstLineChars="200"/>
        <w:outlineLvl w:val="2"/>
        <w:rPr>
          <w:rFonts w:hint="eastAsia" w:hAnsi="宋体" w:cs="宋体"/>
          <w:color w:val="auto"/>
          <w:kern w:val="0"/>
          <w:sz w:val="24"/>
          <w:szCs w:val="24"/>
        </w:rPr>
      </w:pPr>
      <w:r>
        <w:rPr>
          <w:rFonts w:hint="eastAsia" w:hAnsi="宋体" w:cs="宋体"/>
          <w:color w:val="auto"/>
          <w:kern w:val="0"/>
          <w:sz w:val="24"/>
          <w:szCs w:val="24"/>
        </w:rPr>
        <w:t>（6）财政部、民政部、中国残疾人联合会《关于促进残疾人就业政府采购政策的通知》（财库[2017]141号）；</w:t>
      </w:r>
    </w:p>
    <w:p w14:paraId="7B426B03">
      <w:pPr>
        <w:pStyle w:val="13"/>
        <w:snapToGrid w:val="0"/>
        <w:spacing w:line="360" w:lineRule="auto"/>
        <w:ind w:firstLine="480" w:firstLineChars="200"/>
        <w:outlineLvl w:val="2"/>
        <w:rPr>
          <w:rFonts w:hint="eastAsia" w:hAnsi="宋体" w:cs="宋体"/>
          <w:color w:val="auto"/>
          <w:kern w:val="0"/>
          <w:sz w:val="24"/>
          <w:szCs w:val="24"/>
        </w:rPr>
      </w:pPr>
      <w:r>
        <w:rPr>
          <w:rFonts w:hint="eastAsia" w:hAnsi="宋体" w:cs="宋体"/>
          <w:color w:val="auto"/>
          <w:kern w:val="0"/>
          <w:sz w:val="24"/>
          <w:szCs w:val="24"/>
        </w:rPr>
        <w:t>（7）财政部、</w:t>
      </w:r>
      <w:r>
        <w:rPr>
          <w:rFonts w:hint="eastAsia" w:hAnsi="宋体" w:cs="宋体"/>
          <w:color w:val="auto"/>
          <w:kern w:val="0"/>
          <w:sz w:val="24"/>
          <w:szCs w:val="24"/>
          <w:lang w:val="en-US" w:eastAsia="zh-CN"/>
        </w:rPr>
        <w:t>SF</w:t>
      </w:r>
      <w:r>
        <w:rPr>
          <w:rFonts w:hint="eastAsia" w:hAnsi="宋体" w:cs="宋体"/>
          <w:color w:val="auto"/>
          <w:kern w:val="0"/>
          <w:sz w:val="24"/>
          <w:szCs w:val="24"/>
        </w:rPr>
        <w:t>部《关于政府采购支持</w:t>
      </w:r>
      <w:r>
        <w:rPr>
          <w:rFonts w:hint="eastAsia" w:hAnsi="宋体" w:cs="宋体"/>
          <w:color w:val="auto"/>
          <w:kern w:val="0"/>
          <w:sz w:val="24"/>
          <w:szCs w:val="24"/>
          <w:lang w:val="en-US" w:eastAsia="zh-CN"/>
        </w:rPr>
        <w:t>JY</w:t>
      </w:r>
      <w:r>
        <w:rPr>
          <w:rFonts w:hint="eastAsia" w:hAnsi="宋体" w:cs="宋体"/>
          <w:color w:val="auto"/>
          <w:kern w:val="0"/>
          <w:sz w:val="24"/>
          <w:szCs w:val="24"/>
        </w:rPr>
        <w:t>企业发展有关问题的通知》（财库[2014]68号文）；</w:t>
      </w:r>
    </w:p>
    <w:p w14:paraId="0546A055">
      <w:pPr>
        <w:topLinePunct/>
        <w:adjustRightInd w:val="0"/>
        <w:snapToGrid w:val="0"/>
        <w:spacing w:line="360" w:lineRule="auto"/>
        <w:ind w:firstLine="480" w:firstLineChars="200"/>
        <w:textAlignment w:val="baseline"/>
        <w:rPr>
          <w:rFonts w:hint="eastAsia" w:hAnsi="宋体" w:cs="宋体"/>
          <w:color w:val="auto"/>
          <w:kern w:val="0"/>
          <w:sz w:val="24"/>
          <w:szCs w:val="24"/>
        </w:rPr>
      </w:pPr>
      <w:r>
        <w:rPr>
          <w:rFonts w:hint="eastAsia" w:hAnsi="宋体" w:cs="宋体"/>
          <w:color w:val="auto"/>
          <w:kern w:val="0"/>
          <w:sz w:val="24"/>
          <w:szCs w:val="24"/>
        </w:rPr>
        <w:t>（8）财政部、生态环境部、国家邮政局《关于印发《商品包装政府采购需求标准（试行）》《快递包装政府采购需求标准（试行）》的通知》（财办库〔2020〕123号）。</w:t>
      </w:r>
    </w:p>
    <w:p w14:paraId="3E104016">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3.本项目的特定资格要求：</w:t>
      </w:r>
    </w:p>
    <w:p w14:paraId="10775859">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1）近三年内（本项目投标截止期前）未被“信用中国”（www.creditchina.gov.cn）、中国政府采购网（www.ccgp.gov.cn）列入失信被执行人、重大税收违法案件当事人名单、政府采购严重违法失信行为记录名单（开标现场查询）。</w:t>
      </w:r>
    </w:p>
    <w:p w14:paraId="4D850554">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（2）提供2024年度由第三方财务审计机构出具的财务审计报告或提供银行出具的近期资信证明；</w:t>
      </w:r>
    </w:p>
    <w:p w14:paraId="032A4DCC">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（3）提供税务机关出具近六个月（任意一个月）的完税证明（2025年后成立的公司按实际发生提供）；</w:t>
      </w:r>
    </w:p>
    <w:p w14:paraId="08F73C44">
      <w:pPr>
        <w:topLinePunct/>
        <w:adjustRightInd w:val="0"/>
        <w:snapToGrid w:val="0"/>
        <w:spacing w:line="360" w:lineRule="auto"/>
        <w:ind w:firstLine="480" w:firstLineChars="200"/>
        <w:textAlignment w:val="baseline"/>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4）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w:t>
      </w:r>
      <w:r>
        <w:rPr>
          <w:rFonts w:hint="eastAsia" w:ascii="宋体" w:hAnsi="宋体" w:cs="宋体"/>
          <w:color w:val="auto"/>
          <w:kern w:val="0"/>
          <w:sz w:val="24"/>
          <w:szCs w:val="24"/>
          <w:lang w:eastAsia="zh-CN"/>
        </w:rPr>
        <w:t>；</w:t>
      </w:r>
    </w:p>
    <w:p w14:paraId="0FCFB62E">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（5）提供本单位缴纳的近六个月（任意一月）社保缴纳证明（单位社保缴费凭证，2025年后成立的公司按实际发生提供）；</w:t>
      </w:r>
    </w:p>
    <w:p w14:paraId="2E8CB308">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BBE7AEC">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（7）供应商提供保证金或保函；</w:t>
      </w:r>
    </w:p>
    <w:p w14:paraId="7D4B37E6">
      <w:pPr>
        <w:topLinePunct/>
        <w:adjustRightInd w:val="0"/>
        <w:snapToGrid w:val="0"/>
        <w:spacing w:line="360" w:lineRule="auto"/>
        <w:ind w:firstLine="480" w:firstLineChars="200"/>
        <w:textAlignment w:val="baseline"/>
        <w:rPr>
          <w:rFonts w:hint="eastAsia" w:eastAsia="宋体"/>
          <w:color w:val="auto"/>
          <w:lang w:eastAsia="zh-CN"/>
        </w:rPr>
      </w:pPr>
      <w:r>
        <w:rPr>
          <w:rFonts w:hint="eastAsia" w:ascii="宋体" w:hAnsi="宋体" w:cs="宋体"/>
          <w:color w:val="auto"/>
          <w:kern w:val="0"/>
          <w:sz w:val="24"/>
          <w:szCs w:val="24"/>
        </w:rPr>
        <w:t>（8）供应商须提供有效的中小企业声明函</w:t>
      </w:r>
      <w:r>
        <w:rPr>
          <w:rFonts w:hint="eastAsia" w:ascii="宋体" w:hAnsi="宋体" w:cs="宋体"/>
          <w:color w:val="auto"/>
          <w:kern w:val="0"/>
          <w:sz w:val="24"/>
          <w:szCs w:val="24"/>
          <w:lang w:eastAsia="zh-CN"/>
        </w:rPr>
        <w:t>。</w:t>
      </w:r>
    </w:p>
    <w:p w14:paraId="49AC6532">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三、招标文件的发售时间、地址、售价：</w:t>
      </w:r>
    </w:p>
    <w:p w14:paraId="75B305B4">
      <w:pPr>
        <w:topLinePunct/>
        <w:adjustRightInd w:val="0"/>
        <w:snapToGrid w:val="0"/>
        <w:spacing w:line="360" w:lineRule="auto"/>
        <w:ind w:firstLine="480" w:firstLineChars="200"/>
        <w:textAlignment w:val="baseline"/>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1、发售时间：</w:t>
      </w:r>
      <w:r>
        <w:rPr>
          <w:rFonts w:hint="eastAsia" w:ascii="宋体" w:hAnsi="宋体" w:cs="宋体"/>
          <w:color w:val="auto"/>
          <w:kern w:val="0"/>
          <w:sz w:val="24"/>
          <w:szCs w:val="24"/>
          <w:lang w:eastAsia="zh-CN"/>
        </w:rPr>
        <w:t>2025年0</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lang w:eastAsia="zh-CN"/>
        </w:rPr>
        <w:t>月</w:t>
      </w:r>
      <w:r>
        <w:rPr>
          <w:rFonts w:hint="eastAsia" w:ascii="宋体" w:hAnsi="宋体" w:cs="宋体"/>
          <w:color w:val="auto"/>
          <w:kern w:val="0"/>
          <w:sz w:val="24"/>
          <w:szCs w:val="24"/>
          <w:lang w:val="en-US" w:eastAsia="zh-CN"/>
        </w:rPr>
        <w:t>27</w:t>
      </w:r>
      <w:r>
        <w:rPr>
          <w:rFonts w:hint="eastAsia" w:ascii="宋体" w:hAnsi="宋体" w:cs="宋体"/>
          <w:color w:val="auto"/>
          <w:kern w:val="0"/>
          <w:sz w:val="24"/>
          <w:szCs w:val="24"/>
          <w:lang w:eastAsia="zh-CN"/>
        </w:rPr>
        <w:t>日至2025年0</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lang w:eastAsia="zh-CN"/>
        </w:rPr>
        <w:t>月</w:t>
      </w:r>
      <w:r>
        <w:rPr>
          <w:rFonts w:hint="eastAsia" w:ascii="宋体" w:hAnsi="宋体" w:cs="宋体"/>
          <w:color w:val="auto"/>
          <w:kern w:val="0"/>
          <w:sz w:val="24"/>
          <w:szCs w:val="24"/>
          <w:lang w:val="en-US" w:eastAsia="zh-CN"/>
        </w:rPr>
        <w:t>06</w:t>
      </w:r>
      <w:r>
        <w:rPr>
          <w:rFonts w:hint="eastAsia" w:ascii="宋体" w:hAnsi="宋体" w:cs="宋体"/>
          <w:color w:val="auto"/>
          <w:kern w:val="0"/>
          <w:sz w:val="24"/>
          <w:szCs w:val="24"/>
          <w:lang w:eastAsia="zh-CN"/>
        </w:rPr>
        <w:t>日</w:t>
      </w:r>
    </w:p>
    <w:p w14:paraId="6FEEC2B9">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2、地点（网址）：政采云平台（https://www.zcygov.cn/）线上获取</w:t>
      </w:r>
    </w:p>
    <w:p w14:paraId="35B1289F">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3、方式：供应商登录政采云平台https://www.zcygov.cn/在线申请获取采购文件（进入“项目采购”应用，在获取采购文件菜单中选择项目，申请获取采购文件）</w:t>
      </w:r>
    </w:p>
    <w:p w14:paraId="68702783">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4、售价：0元</w:t>
      </w:r>
    </w:p>
    <w:p w14:paraId="31A8BEEE">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四、投标截止时间</w:t>
      </w:r>
      <w:r>
        <w:rPr>
          <w:rFonts w:hint="eastAsia" w:ascii="宋体" w:hAnsi="宋体" w:cs="宋体"/>
          <w:color w:val="auto"/>
          <w:kern w:val="0"/>
          <w:sz w:val="24"/>
          <w:szCs w:val="24"/>
          <w:lang w:eastAsia="zh-CN"/>
        </w:rPr>
        <w:t>2025年07月07日11：00</w:t>
      </w:r>
      <w:r>
        <w:rPr>
          <w:rFonts w:hint="eastAsia" w:ascii="宋体" w:hAnsi="宋体" w:cs="宋体"/>
          <w:color w:val="auto"/>
          <w:kern w:val="0"/>
          <w:sz w:val="24"/>
          <w:szCs w:val="24"/>
        </w:rPr>
        <w:t>（北京时间)</w:t>
      </w:r>
    </w:p>
    <w:p w14:paraId="31B19158">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五、投标地址（网址）：投标人应于</w:t>
      </w:r>
      <w:r>
        <w:rPr>
          <w:rFonts w:hint="eastAsia" w:ascii="宋体" w:hAnsi="宋体" w:cs="宋体"/>
          <w:color w:val="auto"/>
          <w:kern w:val="0"/>
          <w:sz w:val="24"/>
          <w:szCs w:val="24"/>
          <w:lang w:eastAsia="zh-CN"/>
        </w:rPr>
        <w:t>2025年07月07日11：00</w:t>
      </w:r>
      <w:r>
        <w:rPr>
          <w:rFonts w:hint="eastAsia" w:ascii="宋体" w:hAnsi="宋体" w:cs="宋体"/>
          <w:color w:val="auto"/>
          <w:kern w:val="0"/>
          <w:sz w:val="24"/>
          <w:szCs w:val="24"/>
        </w:rPr>
        <w:t>：00(北京时间）之前将电子投标文件上传到“政采云”平台。应按照本项目招标文件和政采云平台的要求编制、加密传输投标文件。</w:t>
      </w:r>
    </w:p>
    <w:p w14:paraId="0421B17E">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六、开标时间</w:t>
      </w:r>
      <w:r>
        <w:rPr>
          <w:rFonts w:hint="eastAsia" w:ascii="宋体" w:hAnsi="宋体" w:cs="宋体"/>
          <w:color w:val="auto"/>
          <w:kern w:val="0"/>
          <w:sz w:val="24"/>
          <w:szCs w:val="24"/>
          <w:lang w:eastAsia="zh-CN"/>
        </w:rPr>
        <w:t>2025年07月07日11：00</w:t>
      </w:r>
      <w:r>
        <w:rPr>
          <w:rFonts w:hint="eastAsia" w:ascii="宋体" w:hAnsi="宋体" w:cs="宋体"/>
          <w:color w:val="auto"/>
          <w:kern w:val="0"/>
          <w:sz w:val="24"/>
          <w:szCs w:val="24"/>
        </w:rPr>
        <w:t>（北京时间)</w:t>
      </w:r>
    </w:p>
    <w:p w14:paraId="1BA2DE0E">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七、开标地点：政采云平台不见面开标</w:t>
      </w:r>
    </w:p>
    <w:p w14:paraId="522D8A2A">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各投标企业通过政采云平台上传投标文件。应按照本项目招标文件和政采云平台的要求编制、加密传输投标文件。 </w:t>
      </w:r>
    </w:p>
    <w:p w14:paraId="381A473F">
      <w:pPr>
        <w:numPr>
          <w:ilvl w:val="0"/>
          <w:numId w:val="3"/>
        </w:num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投标保证金：</w:t>
      </w:r>
    </w:p>
    <w:tbl>
      <w:tblPr>
        <w:tblStyle w:val="26"/>
        <w:tblW w:w="10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27"/>
        <w:gridCol w:w="2230"/>
        <w:gridCol w:w="1475"/>
        <w:gridCol w:w="1556"/>
        <w:gridCol w:w="1151"/>
        <w:gridCol w:w="1201"/>
        <w:gridCol w:w="1937"/>
      </w:tblGrid>
      <w:tr w14:paraId="51F9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5" w:hRule="atLeast"/>
        </w:trPr>
        <w:tc>
          <w:tcPr>
            <w:tcW w:w="527" w:type="dxa"/>
            <w:tcMar>
              <w:top w:w="72" w:type="dxa"/>
              <w:left w:w="132" w:type="dxa"/>
              <w:bottom w:w="72" w:type="dxa"/>
              <w:right w:w="132" w:type="dxa"/>
            </w:tcMar>
            <w:vAlign w:val="center"/>
          </w:tcPr>
          <w:p w14:paraId="632C1B7E">
            <w:pPr>
              <w:pStyle w:val="23"/>
              <w:widowControl w:val="0"/>
              <w:topLinePunct/>
              <w:adjustRightInd w:val="0"/>
              <w:snapToGrid w:val="0"/>
              <w:spacing w:before="0" w:beforeAutospacing="0" w:after="0" w:afterAutospacing="0"/>
              <w:jc w:val="center"/>
              <w:rPr>
                <w:rFonts w:hint="eastAsia" w:ascii="宋体" w:hAnsi="宋体" w:eastAsia="宋体" w:cs="宋体"/>
                <w:color w:val="auto"/>
              </w:rPr>
            </w:pPr>
            <w:r>
              <w:rPr>
                <w:rFonts w:hint="eastAsia" w:ascii="宋体" w:hAnsi="宋体" w:eastAsia="宋体" w:cs="宋体"/>
                <w:color w:val="auto"/>
              </w:rPr>
              <w:t>序号</w:t>
            </w:r>
          </w:p>
        </w:tc>
        <w:tc>
          <w:tcPr>
            <w:tcW w:w="2230" w:type="dxa"/>
            <w:tcMar>
              <w:top w:w="72" w:type="dxa"/>
              <w:left w:w="132" w:type="dxa"/>
              <w:bottom w:w="72" w:type="dxa"/>
              <w:right w:w="132" w:type="dxa"/>
            </w:tcMar>
            <w:vAlign w:val="center"/>
          </w:tcPr>
          <w:p w14:paraId="2E27A849">
            <w:pPr>
              <w:pStyle w:val="23"/>
              <w:widowControl w:val="0"/>
              <w:topLinePunct/>
              <w:adjustRightInd w:val="0"/>
              <w:snapToGrid w:val="0"/>
              <w:spacing w:before="0" w:beforeAutospacing="0" w:after="0" w:afterAutospacing="0"/>
              <w:jc w:val="center"/>
              <w:rPr>
                <w:rFonts w:hint="eastAsia" w:ascii="宋体" w:hAnsi="宋体" w:eastAsia="宋体" w:cs="宋体"/>
                <w:color w:val="auto"/>
              </w:rPr>
            </w:pPr>
            <w:r>
              <w:rPr>
                <w:rFonts w:hint="eastAsia" w:ascii="宋体" w:hAnsi="宋体" w:eastAsia="宋体" w:cs="宋体"/>
                <w:color w:val="auto"/>
              </w:rPr>
              <w:t>标项名称</w:t>
            </w:r>
          </w:p>
        </w:tc>
        <w:tc>
          <w:tcPr>
            <w:tcW w:w="1475" w:type="dxa"/>
            <w:tcMar>
              <w:top w:w="72" w:type="dxa"/>
              <w:left w:w="132" w:type="dxa"/>
              <w:bottom w:w="72" w:type="dxa"/>
              <w:right w:w="132" w:type="dxa"/>
            </w:tcMar>
            <w:vAlign w:val="center"/>
          </w:tcPr>
          <w:p w14:paraId="426FC77E">
            <w:pPr>
              <w:pStyle w:val="23"/>
              <w:widowControl w:val="0"/>
              <w:topLinePunct/>
              <w:adjustRightInd w:val="0"/>
              <w:snapToGrid w:val="0"/>
              <w:spacing w:before="0" w:beforeAutospacing="0" w:after="0" w:afterAutospacing="0"/>
              <w:jc w:val="center"/>
              <w:rPr>
                <w:rFonts w:hint="eastAsia" w:ascii="宋体" w:hAnsi="宋体" w:eastAsia="宋体" w:cs="宋体"/>
                <w:color w:val="auto"/>
              </w:rPr>
            </w:pPr>
            <w:r>
              <w:rPr>
                <w:rFonts w:hint="eastAsia" w:ascii="宋体" w:hAnsi="宋体" w:eastAsia="宋体" w:cs="宋体"/>
                <w:color w:val="auto"/>
              </w:rPr>
              <w:t>投标保证金金额（元）</w:t>
            </w:r>
          </w:p>
        </w:tc>
        <w:tc>
          <w:tcPr>
            <w:tcW w:w="1556" w:type="dxa"/>
            <w:tcMar>
              <w:top w:w="72" w:type="dxa"/>
              <w:left w:w="132" w:type="dxa"/>
              <w:bottom w:w="72" w:type="dxa"/>
              <w:right w:w="132" w:type="dxa"/>
            </w:tcMar>
            <w:vAlign w:val="center"/>
          </w:tcPr>
          <w:p w14:paraId="554517D8">
            <w:pPr>
              <w:pStyle w:val="23"/>
              <w:widowControl w:val="0"/>
              <w:topLinePunct/>
              <w:adjustRightInd w:val="0"/>
              <w:snapToGrid w:val="0"/>
              <w:spacing w:before="0" w:beforeAutospacing="0" w:after="0" w:afterAutospacing="0"/>
              <w:jc w:val="center"/>
              <w:rPr>
                <w:rFonts w:hint="eastAsia" w:ascii="宋体" w:hAnsi="宋体" w:eastAsia="宋体" w:cs="宋体"/>
                <w:color w:val="auto"/>
              </w:rPr>
            </w:pPr>
            <w:r>
              <w:rPr>
                <w:rFonts w:hint="eastAsia" w:ascii="宋体" w:hAnsi="宋体" w:eastAsia="宋体" w:cs="宋体"/>
                <w:color w:val="auto"/>
              </w:rPr>
              <w:t>开户银行</w:t>
            </w:r>
          </w:p>
        </w:tc>
        <w:tc>
          <w:tcPr>
            <w:tcW w:w="1151" w:type="dxa"/>
            <w:tcMar>
              <w:top w:w="72" w:type="dxa"/>
              <w:left w:w="132" w:type="dxa"/>
              <w:bottom w:w="72" w:type="dxa"/>
              <w:right w:w="132" w:type="dxa"/>
            </w:tcMar>
            <w:vAlign w:val="center"/>
          </w:tcPr>
          <w:p w14:paraId="56B0A8F6">
            <w:pPr>
              <w:pStyle w:val="23"/>
              <w:widowControl w:val="0"/>
              <w:topLinePunct/>
              <w:adjustRightInd w:val="0"/>
              <w:snapToGrid w:val="0"/>
              <w:spacing w:before="0" w:beforeAutospacing="0" w:after="0" w:afterAutospacing="0"/>
              <w:jc w:val="center"/>
              <w:rPr>
                <w:rFonts w:hint="eastAsia" w:ascii="宋体" w:hAnsi="宋体" w:eastAsia="宋体" w:cs="宋体"/>
                <w:color w:val="auto"/>
              </w:rPr>
            </w:pPr>
            <w:r>
              <w:rPr>
                <w:rFonts w:hint="eastAsia" w:ascii="宋体" w:hAnsi="宋体" w:eastAsia="宋体" w:cs="宋体"/>
                <w:color w:val="auto"/>
              </w:rPr>
              <w:t>收款账号</w:t>
            </w:r>
          </w:p>
        </w:tc>
        <w:tc>
          <w:tcPr>
            <w:tcW w:w="1201" w:type="dxa"/>
            <w:tcMar>
              <w:top w:w="72" w:type="dxa"/>
              <w:left w:w="132" w:type="dxa"/>
              <w:bottom w:w="72" w:type="dxa"/>
              <w:right w:w="132" w:type="dxa"/>
            </w:tcMar>
            <w:vAlign w:val="center"/>
          </w:tcPr>
          <w:p w14:paraId="524EC9FF">
            <w:pPr>
              <w:pStyle w:val="23"/>
              <w:widowControl w:val="0"/>
              <w:topLinePunct/>
              <w:adjustRightInd w:val="0"/>
              <w:snapToGrid w:val="0"/>
              <w:spacing w:before="0" w:beforeAutospacing="0" w:after="0" w:afterAutospacing="0"/>
              <w:jc w:val="center"/>
              <w:rPr>
                <w:rFonts w:hint="eastAsia" w:ascii="宋体" w:hAnsi="宋体" w:eastAsia="宋体" w:cs="宋体"/>
                <w:color w:val="auto"/>
              </w:rPr>
            </w:pPr>
            <w:r>
              <w:rPr>
                <w:rFonts w:hint="eastAsia" w:ascii="宋体" w:hAnsi="宋体" w:eastAsia="宋体" w:cs="宋体"/>
                <w:color w:val="auto"/>
              </w:rPr>
              <w:t>交付方式</w:t>
            </w:r>
          </w:p>
        </w:tc>
        <w:tc>
          <w:tcPr>
            <w:tcW w:w="1937" w:type="dxa"/>
            <w:tcMar>
              <w:top w:w="72" w:type="dxa"/>
              <w:left w:w="132" w:type="dxa"/>
              <w:bottom w:w="72" w:type="dxa"/>
              <w:right w:w="132" w:type="dxa"/>
            </w:tcMar>
            <w:vAlign w:val="center"/>
          </w:tcPr>
          <w:p w14:paraId="33A8134E">
            <w:pPr>
              <w:pStyle w:val="23"/>
              <w:widowControl w:val="0"/>
              <w:topLinePunct/>
              <w:adjustRightInd w:val="0"/>
              <w:snapToGrid w:val="0"/>
              <w:spacing w:before="0" w:beforeAutospacing="0" w:after="0" w:afterAutospacing="0"/>
              <w:jc w:val="center"/>
              <w:rPr>
                <w:rFonts w:hint="eastAsia" w:ascii="宋体" w:hAnsi="宋体" w:eastAsia="宋体" w:cs="宋体"/>
                <w:color w:val="auto"/>
              </w:rPr>
            </w:pPr>
            <w:r>
              <w:rPr>
                <w:rFonts w:hint="eastAsia" w:ascii="宋体" w:hAnsi="宋体" w:eastAsia="宋体" w:cs="宋体"/>
                <w:color w:val="auto"/>
              </w:rPr>
              <w:t>户名</w:t>
            </w:r>
          </w:p>
        </w:tc>
      </w:tr>
      <w:tr w14:paraId="55C9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527" w:type="dxa"/>
            <w:tcMar>
              <w:top w:w="72" w:type="dxa"/>
              <w:left w:w="132" w:type="dxa"/>
              <w:bottom w:w="72" w:type="dxa"/>
              <w:right w:w="132" w:type="dxa"/>
            </w:tcMar>
            <w:vAlign w:val="center"/>
          </w:tcPr>
          <w:p w14:paraId="66B47CD5">
            <w:pPr>
              <w:pStyle w:val="23"/>
              <w:widowControl w:val="0"/>
              <w:topLinePunct/>
              <w:adjustRightInd w:val="0"/>
              <w:snapToGrid w:val="0"/>
              <w:spacing w:before="0" w:beforeAutospacing="0" w:after="0" w:afterAutospacing="0"/>
              <w:jc w:val="center"/>
              <w:rPr>
                <w:rFonts w:hint="eastAsia" w:ascii="宋体" w:hAnsi="宋体" w:eastAsia="宋体" w:cs="宋体"/>
                <w:color w:val="auto"/>
              </w:rPr>
            </w:pPr>
            <w:r>
              <w:rPr>
                <w:rFonts w:hint="eastAsia" w:ascii="宋体" w:hAnsi="宋体" w:eastAsia="宋体" w:cs="宋体"/>
                <w:color w:val="auto"/>
              </w:rPr>
              <w:t>1</w:t>
            </w:r>
          </w:p>
        </w:tc>
        <w:tc>
          <w:tcPr>
            <w:tcW w:w="2230" w:type="dxa"/>
            <w:tcMar>
              <w:top w:w="72" w:type="dxa"/>
              <w:left w:w="132" w:type="dxa"/>
              <w:bottom w:w="72" w:type="dxa"/>
              <w:right w:w="132" w:type="dxa"/>
            </w:tcMar>
            <w:vAlign w:val="center"/>
          </w:tcPr>
          <w:p w14:paraId="3525E11B">
            <w:pPr>
              <w:topLinePunct/>
              <w:adjustRightInd w:val="0"/>
              <w:snapToGrid w:val="0"/>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2024年地州企业职工基本养老保险基金专项审计项目（三次）</w:t>
            </w:r>
          </w:p>
        </w:tc>
        <w:tc>
          <w:tcPr>
            <w:tcW w:w="1475" w:type="dxa"/>
            <w:tcMar>
              <w:top w:w="72" w:type="dxa"/>
              <w:left w:w="132" w:type="dxa"/>
              <w:bottom w:w="72" w:type="dxa"/>
              <w:right w:w="132" w:type="dxa"/>
            </w:tcMar>
            <w:vAlign w:val="center"/>
          </w:tcPr>
          <w:p w14:paraId="0939879A">
            <w:pPr>
              <w:pStyle w:val="23"/>
              <w:widowControl w:val="0"/>
              <w:topLinePunct/>
              <w:adjustRightInd w:val="0"/>
              <w:snapToGrid w:val="0"/>
              <w:spacing w:before="0" w:beforeAutospacing="0" w:after="0" w:afterAutospacing="0"/>
              <w:jc w:val="center"/>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900</w:t>
            </w:r>
          </w:p>
        </w:tc>
        <w:tc>
          <w:tcPr>
            <w:tcW w:w="1556" w:type="dxa"/>
            <w:tcMar>
              <w:top w:w="72" w:type="dxa"/>
              <w:left w:w="132" w:type="dxa"/>
              <w:bottom w:w="72" w:type="dxa"/>
              <w:right w:w="132" w:type="dxa"/>
            </w:tcMar>
            <w:vAlign w:val="center"/>
          </w:tcPr>
          <w:p w14:paraId="7F13DAA9">
            <w:pPr>
              <w:topLinePunct/>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中国农业银行乌鲁木齐昆仑路支行</w:t>
            </w:r>
          </w:p>
        </w:tc>
        <w:tc>
          <w:tcPr>
            <w:tcW w:w="1151" w:type="dxa"/>
            <w:tcMar>
              <w:top w:w="72" w:type="dxa"/>
              <w:left w:w="132" w:type="dxa"/>
              <w:bottom w:w="72" w:type="dxa"/>
              <w:right w:w="132" w:type="dxa"/>
            </w:tcMar>
            <w:vAlign w:val="center"/>
          </w:tcPr>
          <w:p w14:paraId="37B87CAE">
            <w:pPr>
              <w:topLinePunct/>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30006 4010 400 10690</w:t>
            </w:r>
          </w:p>
        </w:tc>
        <w:tc>
          <w:tcPr>
            <w:tcW w:w="1201" w:type="dxa"/>
            <w:tcMar>
              <w:top w:w="72" w:type="dxa"/>
              <w:left w:w="132" w:type="dxa"/>
              <w:bottom w:w="72" w:type="dxa"/>
              <w:right w:w="132" w:type="dxa"/>
            </w:tcMar>
            <w:vAlign w:val="center"/>
          </w:tcPr>
          <w:p w14:paraId="3B93FFA5">
            <w:pPr>
              <w:topLinePunct/>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网银、电汇、保函</w:t>
            </w:r>
          </w:p>
        </w:tc>
        <w:tc>
          <w:tcPr>
            <w:tcW w:w="1937" w:type="dxa"/>
            <w:tcMar>
              <w:top w:w="72" w:type="dxa"/>
              <w:left w:w="132" w:type="dxa"/>
              <w:bottom w:w="72" w:type="dxa"/>
              <w:right w:w="132" w:type="dxa"/>
            </w:tcMar>
            <w:vAlign w:val="center"/>
          </w:tcPr>
          <w:p w14:paraId="37C32E04">
            <w:pPr>
              <w:topLinePunct/>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新疆君凯杰工程项目管理有限公司</w:t>
            </w:r>
          </w:p>
        </w:tc>
      </w:tr>
    </w:tbl>
    <w:p w14:paraId="1E95D2B3">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九、公告期限</w:t>
      </w:r>
    </w:p>
    <w:p w14:paraId="74C0E5C8">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自本公告发布之日起5个工作日。</w:t>
      </w:r>
    </w:p>
    <w:p w14:paraId="273C11CF">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十、其他补充事宜：</w:t>
      </w:r>
    </w:p>
    <w:p w14:paraId="4683F842">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1、本项目实行网上投标，采用电子投标文件。若供应商参与投标，自行承担投标一切费用。</w:t>
      </w:r>
    </w:p>
    <w:p w14:paraId="4FD7CF72">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253E2F98">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DB49243">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4、有意向参与新疆区域电子开评标的供应商，可访问新疆数字证书认证中心官方网站（https://www.xjca.com.cn/）或下载“新疆政务通”APP自行进行申领。如需咨询，请联系新疆CA服务热线0991-2819290</w:t>
      </w:r>
    </w:p>
    <w:p w14:paraId="735C0F72">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5、投标保证金额及缴纳账号：</w:t>
      </w:r>
    </w:p>
    <w:p w14:paraId="2DC972F7">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投标保证金金额：</w:t>
      </w:r>
      <w:r>
        <w:rPr>
          <w:rFonts w:hint="eastAsia" w:ascii="宋体" w:hAnsi="宋体" w:cs="宋体"/>
          <w:color w:val="auto"/>
          <w:kern w:val="0"/>
          <w:sz w:val="24"/>
          <w:szCs w:val="24"/>
          <w:lang w:eastAsia="zh-CN"/>
        </w:rPr>
        <w:t>2900</w:t>
      </w:r>
      <w:r>
        <w:rPr>
          <w:rFonts w:hint="eastAsia" w:ascii="宋体" w:hAnsi="宋体" w:cs="宋体"/>
          <w:color w:val="auto"/>
          <w:kern w:val="0"/>
          <w:sz w:val="24"/>
          <w:szCs w:val="24"/>
        </w:rPr>
        <w:t>元（</w:t>
      </w:r>
      <w:r>
        <w:rPr>
          <w:rFonts w:hint="eastAsia" w:ascii="宋体" w:hAnsi="宋体" w:cs="宋体"/>
          <w:color w:val="auto"/>
          <w:kern w:val="0"/>
          <w:sz w:val="24"/>
          <w:szCs w:val="24"/>
          <w:lang w:eastAsia="zh-CN"/>
        </w:rPr>
        <w:t>贰仟玖佰元</w:t>
      </w:r>
      <w:r>
        <w:rPr>
          <w:rFonts w:hint="eastAsia" w:ascii="宋体" w:hAnsi="宋体" w:cs="宋体"/>
          <w:color w:val="auto"/>
          <w:kern w:val="0"/>
          <w:sz w:val="24"/>
          <w:szCs w:val="24"/>
          <w:lang w:val="en-US" w:eastAsia="zh-CN"/>
        </w:rPr>
        <w:t>整</w:t>
      </w:r>
      <w:r>
        <w:rPr>
          <w:rFonts w:hint="eastAsia" w:ascii="宋体" w:hAnsi="宋体" w:cs="宋体"/>
          <w:color w:val="auto"/>
          <w:kern w:val="0"/>
          <w:sz w:val="24"/>
          <w:szCs w:val="24"/>
        </w:rPr>
        <w:t>）</w:t>
      </w:r>
    </w:p>
    <w:p w14:paraId="244C2C99">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投标保证金账号：新疆君凯杰工程项目管理有限公司</w:t>
      </w:r>
    </w:p>
    <w:p w14:paraId="1957AC45">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开户银行：中国农业银行乌鲁木齐昆仑路支行</w:t>
      </w:r>
    </w:p>
    <w:p w14:paraId="53789FDE">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 xml:space="preserve">账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 xml:space="preserve">    号：30006401040010690</w:t>
      </w:r>
    </w:p>
    <w:p w14:paraId="5599E874">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开户行行号：103881000646</w:t>
      </w:r>
    </w:p>
    <w:p w14:paraId="0C779E0F">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注：必须由投标单位的基本账户转至指定账户</w:t>
      </w:r>
    </w:p>
    <w:p w14:paraId="41C6741F">
      <w:pPr>
        <w:topLinePunct/>
        <w:adjustRightInd w:val="0"/>
        <w:snapToGrid w:val="0"/>
        <w:spacing w:line="360" w:lineRule="auto"/>
        <w:ind w:firstLine="480" w:firstLineChars="20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保函投保金额：</w:t>
      </w:r>
      <w:r>
        <w:rPr>
          <w:rFonts w:hint="eastAsia" w:ascii="宋体" w:hAnsi="宋体" w:cs="宋体"/>
          <w:color w:val="auto"/>
          <w:kern w:val="0"/>
          <w:sz w:val="24"/>
          <w:szCs w:val="24"/>
          <w:highlight w:val="none"/>
          <w:lang w:eastAsia="zh-CN"/>
        </w:rPr>
        <w:t>2900</w:t>
      </w:r>
      <w:r>
        <w:rPr>
          <w:rFonts w:hint="eastAsia" w:ascii="宋体" w:hAnsi="宋体" w:cs="宋体"/>
          <w:color w:val="auto"/>
          <w:kern w:val="0"/>
          <w:sz w:val="24"/>
          <w:szCs w:val="24"/>
          <w:highlight w:val="none"/>
        </w:rPr>
        <w:t>元</w:t>
      </w:r>
    </w:p>
    <w:p w14:paraId="4BC8601C">
      <w:pPr>
        <w:topLinePunct/>
        <w:adjustRightInd w:val="0"/>
        <w:snapToGrid w:val="0"/>
        <w:spacing w:line="360" w:lineRule="auto"/>
        <w:ind w:firstLine="480" w:firstLineChars="20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保函承保期限：2025年7月7日－---2025年10月02日（90日历天）</w:t>
      </w:r>
    </w:p>
    <w:p w14:paraId="63F758D9">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lang w:bidi="ar"/>
        </w:rPr>
        <w:t xml:space="preserve"> </w:t>
      </w:r>
      <w:r>
        <w:rPr>
          <w:rFonts w:hint="eastAsia" w:ascii="宋体" w:hAnsi="宋体" w:cs="宋体"/>
          <w:color w:val="auto"/>
          <w:kern w:val="0"/>
          <w:sz w:val="24"/>
          <w:szCs w:val="24"/>
        </w:rPr>
        <w:t>十、联系方式</w:t>
      </w:r>
    </w:p>
    <w:p w14:paraId="23186DE7">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1.采购人信息</w:t>
      </w:r>
    </w:p>
    <w:p w14:paraId="4A645927">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 xml:space="preserve">名    称：新疆维吾尔自治区社会保险中心 </w:t>
      </w:r>
    </w:p>
    <w:p w14:paraId="6B85D006">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联</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系</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人：陈先生</w:t>
      </w:r>
    </w:p>
    <w:p w14:paraId="078A6BE5">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联系方式：</w:t>
      </w:r>
      <w:bookmarkStart w:id="20" w:name="_Toc28359097"/>
      <w:bookmarkStart w:id="21" w:name="_Toc35393638"/>
      <w:bookmarkStart w:id="22" w:name="_Toc28359020"/>
      <w:bookmarkStart w:id="23" w:name="_Toc35393807"/>
      <w:r>
        <w:rPr>
          <w:rFonts w:hint="eastAsia" w:ascii="宋体" w:hAnsi="宋体" w:cs="宋体"/>
          <w:color w:val="auto"/>
          <w:sz w:val="24"/>
          <w:szCs w:val="24"/>
        </w:rPr>
        <w:t>0991-3689927</w:t>
      </w:r>
    </w:p>
    <w:p w14:paraId="6459F174">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2.采购代理机构信息</w:t>
      </w:r>
      <w:bookmarkEnd w:id="20"/>
      <w:bookmarkEnd w:id="21"/>
      <w:bookmarkEnd w:id="22"/>
      <w:bookmarkEnd w:id="23"/>
    </w:p>
    <w:p w14:paraId="6990D0FF">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名    称：新疆君凯杰工程项目管理有限公司</w:t>
      </w:r>
    </w:p>
    <w:p w14:paraId="73AEA904">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地　　址：新疆乌鲁木齐市会展大道1119号晚报传媒大厦A栋901室</w:t>
      </w:r>
    </w:p>
    <w:p w14:paraId="0E96EB41">
      <w:pPr>
        <w:topLinePunct/>
        <w:adjustRightInd w:val="0"/>
        <w:snapToGrid w:val="0"/>
        <w:spacing w:line="360" w:lineRule="auto"/>
        <w:ind w:firstLine="480" w:firstLineChars="200"/>
        <w:textAlignment w:val="baseline"/>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lang w:eastAsia="zh-CN"/>
        </w:rPr>
        <w:t>18095921107</w:t>
      </w:r>
    </w:p>
    <w:p w14:paraId="4ECBC633">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3.项目联系方式</w:t>
      </w:r>
    </w:p>
    <w:p w14:paraId="7A7F6518">
      <w:pPr>
        <w:topLinePunct/>
        <w:adjustRightInd w:val="0"/>
        <w:snapToGrid w:val="0"/>
        <w:spacing w:line="360" w:lineRule="auto"/>
        <w:ind w:firstLine="480" w:firstLineChars="200"/>
        <w:textAlignment w:val="baseline"/>
        <w:rPr>
          <w:rFonts w:hint="eastAsia" w:ascii="宋体" w:hAnsi="宋体" w:cs="宋体"/>
          <w:color w:val="auto"/>
          <w:kern w:val="0"/>
          <w:sz w:val="24"/>
          <w:szCs w:val="24"/>
        </w:rPr>
      </w:pPr>
      <w:r>
        <w:rPr>
          <w:rFonts w:hint="eastAsia" w:ascii="宋体" w:hAnsi="宋体" w:cs="宋体"/>
          <w:color w:val="auto"/>
          <w:kern w:val="0"/>
          <w:sz w:val="24"/>
          <w:szCs w:val="24"/>
        </w:rPr>
        <w:t>项目联系人：</w:t>
      </w:r>
      <w:bookmarkStart w:id="227" w:name="_GoBack"/>
      <w:r>
        <w:rPr>
          <w:rFonts w:hint="eastAsia" w:ascii="宋体" w:hAnsi="宋体" w:cs="宋体"/>
          <w:color w:val="auto"/>
          <w:kern w:val="0"/>
          <w:sz w:val="24"/>
          <w:szCs w:val="24"/>
        </w:rPr>
        <w:t>黄石嘉龙</w:t>
      </w:r>
      <w:bookmarkEnd w:id="227"/>
    </w:p>
    <w:p w14:paraId="0456505E">
      <w:pPr>
        <w:topLinePunct/>
        <w:adjustRightInd w:val="0"/>
        <w:snapToGrid w:val="0"/>
        <w:spacing w:line="360" w:lineRule="auto"/>
        <w:ind w:firstLine="480" w:firstLineChars="200"/>
        <w:textAlignment w:val="baseline"/>
        <w:rPr>
          <w:rFonts w:hint="eastAsia" w:ascii="宋体" w:hAnsi="宋体" w:cs="宋体"/>
          <w:color w:val="auto"/>
          <w:kern w:val="0"/>
          <w:sz w:val="24"/>
          <w:szCs w:val="24"/>
          <w:lang w:eastAsia="zh-CN"/>
        </w:rPr>
      </w:pPr>
      <w:r>
        <w:rPr>
          <w:rFonts w:hint="eastAsia" w:ascii="宋体" w:hAnsi="宋体" w:cs="宋体"/>
          <w:color w:val="auto"/>
          <w:kern w:val="0"/>
          <w:sz w:val="24"/>
          <w:szCs w:val="24"/>
        </w:rPr>
        <w:t>电 话：</w:t>
      </w:r>
      <w:r>
        <w:rPr>
          <w:rFonts w:hint="eastAsia" w:ascii="宋体" w:hAnsi="宋体" w:cs="宋体"/>
          <w:color w:val="auto"/>
          <w:kern w:val="0"/>
          <w:sz w:val="24"/>
          <w:szCs w:val="24"/>
          <w:lang w:eastAsia="zh-CN"/>
        </w:rPr>
        <w:t>18095921107</w:t>
      </w:r>
    </w:p>
    <w:bookmarkEnd w:id="11"/>
    <w:p w14:paraId="5D0A6889">
      <w:pPr>
        <w:pStyle w:val="33"/>
        <w:spacing w:line="360" w:lineRule="auto"/>
        <w:ind w:firstLine="0"/>
        <w:jc w:val="left"/>
        <w:rPr>
          <w:rStyle w:val="39"/>
          <w:rFonts w:hint="eastAsia" w:hAnsi="宋体" w:cs="宋体"/>
          <w:b/>
          <w:bCs/>
          <w:color w:val="auto"/>
          <w:szCs w:val="24"/>
        </w:rPr>
      </w:pPr>
      <w:r>
        <w:rPr>
          <w:rStyle w:val="39"/>
          <w:rFonts w:hint="eastAsia" w:hAnsi="宋体" w:cs="宋体"/>
          <w:b/>
          <w:bCs/>
          <w:color w:val="auto"/>
          <w:szCs w:val="24"/>
        </w:rPr>
        <w:t>特别提醒：</w:t>
      </w:r>
    </w:p>
    <w:p w14:paraId="3B2CAED6">
      <w:pPr>
        <w:numPr>
          <w:ilvl w:val="0"/>
          <w:numId w:val="4"/>
        </w:numPr>
        <w:topLinePunct/>
        <w:adjustRightInd w:val="0"/>
        <w:snapToGrid w:val="0"/>
        <w:spacing w:line="360" w:lineRule="auto"/>
        <w:ind w:firstLine="482" w:firstLineChars="200"/>
        <w:textAlignment w:val="baseline"/>
        <w:rPr>
          <w:rStyle w:val="39"/>
          <w:rFonts w:hint="eastAsia" w:ascii="宋体" w:hAnsi="宋体" w:cs="宋体"/>
          <w:b/>
          <w:color w:val="auto"/>
          <w:sz w:val="24"/>
          <w:szCs w:val="24"/>
        </w:rPr>
      </w:pPr>
      <w:r>
        <w:rPr>
          <w:rStyle w:val="39"/>
          <w:rFonts w:hint="eastAsia" w:ascii="宋体" w:hAnsi="宋体" w:cs="宋体"/>
          <w:b/>
          <w:color w:val="auto"/>
          <w:sz w:val="24"/>
          <w:szCs w:val="24"/>
        </w:rPr>
        <w:t>由投标人基本账户汇出（投标保证金需一次性足额汇出，分笔汇出银行系统将不予统计），且不得以分公司的名义转账，投标保证金需在</w:t>
      </w:r>
      <w:r>
        <w:rPr>
          <w:rStyle w:val="39"/>
          <w:rFonts w:hint="eastAsia" w:ascii="宋体" w:hAnsi="宋体" w:cs="宋体"/>
          <w:b/>
          <w:color w:val="auto"/>
          <w:sz w:val="24"/>
          <w:szCs w:val="24"/>
          <w:lang w:eastAsia="zh-CN"/>
        </w:rPr>
        <w:t>2025年07月07日11：00</w:t>
      </w:r>
      <w:r>
        <w:rPr>
          <w:rStyle w:val="39"/>
          <w:rFonts w:hint="eastAsia" w:ascii="宋体" w:hAnsi="宋体" w:cs="宋体"/>
          <w:b/>
          <w:color w:val="auto"/>
          <w:sz w:val="24"/>
          <w:szCs w:val="24"/>
        </w:rPr>
        <w:t>（北京时间）前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14:paraId="36DE4453">
      <w:pPr>
        <w:numPr>
          <w:ilvl w:val="0"/>
          <w:numId w:val="4"/>
        </w:numPr>
        <w:topLinePunct/>
        <w:adjustRightInd w:val="0"/>
        <w:snapToGrid w:val="0"/>
        <w:spacing w:line="360" w:lineRule="auto"/>
        <w:ind w:firstLine="482" w:firstLineChars="200"/>
        <w:textAlignment w:val="baseline"/>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保函投保金额：</w:t>
      </w:r>
      <w:r>
        <w:rPr>
          <w:rFonts w:hint="eastAsia" w:ascii="宋体" w:hAnsi="宋体" w:cs="宋体"/>
          <w:b/>
          <w:bCs/>
          <w:color w:val="auto"/>
          <w:kern w:val="0"/>
          <w:sz w:val="24"/>
          <w:szCs w:val="24"/>
          <w:highlight w:val="none"/>
          <w:lang w:eastAsia="zh-CN"/>
        </w:rPr>
        <w:t>2900</w:t>
      </w:r>
      <w:r>
        <w:rPr>
          <w:rFonts w:hint="eastAsia" w:ascii="宋体" w:hAnsi="宋体" w:cs="宋体"/>
          <w:b/>
          <w:bCs/>
          <w:color w:val="auto"/>
          <w:kern w:val="0"/>
          <w:sz w:val="24"/>
          <w:szCs w:val="24"/>
          <w:highlight w:val="none"/>
        </w:rPr>
        <w:t>元</w:t>
      </w:r>
    </w:p>
    <w:p w14:paraId="6E756260">
      <w:pPr>
        <w:topLinePunct/>
        <w:adjustRightInd w:val="0"/>
        <w:snapToGrid w:val="0"/>
        <w:spacing w:line="360" w:lineRule="auto"/>
        <w:ind w:firstLine="482" w:firstLineChars="200"/>
        <w:textAlignment w:val="baseline"/>
        <w:rPr>
          <w:rFonts w:hint="eastAsia" w:ascii="宋体" w:hAnsi="宋体" w:eastAsia="宋体" w:cs="宋体"/>
          <w:color w:val="auto"/>
          <w:kern w:val="0"/>
          <w:sz w:val="24"/>
          <w:szCs w:val="24"/>
          <w:highlight w:val="none"/>
          <w:lang w:eastAsia="zh-CN"/>
        </w:rPr>
      </w:pPr>
      <w:r>
        <w:rPr>
          <w:rFonts w:hint="eastAsia" w:ascii="宋体" w:hAnsi="宋体" w:cs="宋体"/>
          <w:b/>
          <w:bCs/>
          <w:color w:val="auto"/>
          <w:kern w:val="0"/>
          <w:sz w:val="24"/>
          <w:szCs w:val="24"/>
          <w:highlight w:val="none"/>
        </w:rPr>
        <w:t>保函承保期限：2025年</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rPr>
        <w:t>月</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rPr>
        <w:t>日－---2025年</w:t>
      </w:r>
      <w:r>
        <w:rPr>
          <w:rFonts w:hint="eastAsia" w:ascii="宋体" w:hAnsi="宋体" w:cs="宋体"/>
          <w:b/>
          <w:bCs/>
          <w:color w:val="auto"/>
          <w:kern w:val="0"/>
          <w:sz w:val="24"/>
          <w:szCs w:val="24"/>
          <w:highlight w:val="none"/>
          <w:lang w:val="en-US" w:eastAsia="zh-CN"/>
        </w:rPr>
        <w:t>10</w:t>
      </w:r>
      <w:r>
        <w:rPr>
          <w:rFonts w:hint="eastAsia" w:ascii="宋体" w:hAnsi="宋体" w:cs="宋体"/>
          <w:b/>
          <w:bCs/>
          <w:color w:val="auto"/>
          <w:kern w:val="0"/>
          <w:sz w:val="24"/>
          <w:szCs w:val="24"/>
          <w:highlight w:val="none"/>
        </w:rPr>
        <w:t>月</w:t>
      </w:r>
      <w:r>
        <w:rPr>
          <w:rFonts w:hint="eastAsia" w:ascii="宋体" w:hAnsi="宋体" w:cs="宋体"/>
          <w:b/>
          <w:bCs/>
          <w:color w:val="auto"/>
          <w:kern w:val="0"/>
          <w:sz w:val="24"/>
          <w:szCs w:val="24"/>
          <w:highlight w:val="none"/>
          <w:lang w:val="en-US" w:eastAsia="zh-CN"/>
        </w:rPr>
        <w:t>02</w:t>
      </w:r>
      <w:r>
        <w:rPr>
          <w:rFonts w:hint="eastAsia" w:ascii="宋体" w:hAnsi="宋体" w:cs="宋体"/>
          <w:b/>
          <w:bCs/>
          <w:color w:val="auto"/>
          <w:kern w:val="0"/>
          <w:sz w:val="24"/>
          <w:szCs w:val="24"/>
          <w:highlight w:val="none"/>
        </w:rPr>
        <w:t>日</w:t>
      </w:r>
      <w:r>
        <w:rPr>
          <w:rFonts w:hint="eastAsia" w:ascii="宋体" w:hAnsi="宋体" w:cs="宋体"/>
          <w:b/>
          <w:bCs/>
          <w:color w:val="auto"/>
          <w:kern w:val="0"/>
          <w:sz w:val="24"/>
          <w:szCs w:val="24"/>
          <w:highlight w:val="none"/>
          <w:lang w:eastAsia="zh-CN"/>
        </w:rPr>
        <w:t>（90日历天）</w:t>
      </w:r>
    </w:p>
    <w:p w14:paraId="31E3EB36">
      <w:pPr>
        <w:spacing w:line="360" w:lineRule="auto"/>
        <w:jc w:val="left"/>
        <w:rPr>
          <w:rStyle w:val="39"/>
          <w:rFonts w:hint="eastAsia" w:ascii="宋体" w:hAnsi="宋体" w:cs="宋体"/>
          <w:b/>
          <w:color w:val="auto"/>
          <w:sz w:val="24"/>
          <w:szCs w:val="24"/>
        </w:rPr>
      </w:pPr>
    </w:p>
    <w:p w14:paraId="42EB05D0">
      <w:pPr>
        <w:spacing w:line="360" w:lineRule="auto"/>
        <w:jc w:val="left"/>
        <w:rPr>
          <w:rStyle w:val="39"/>
          <w:rFonts w:hint="eastAsia" w:ascii="宋体" w:hAnsi="宋体" w:cs="宋体"/>
          <w:b/>
          <w:color w:val="auto"/>
          <w:sz w:val="24"/>
          <w:szCs w:val="24"/>
        </w:rPr>
      </w:pPr>
    </w:p>
    <w:p w14:paraId="4D4AD08E">
      <w:pPr>
        <w:rPr>
          <w:rFonts w:hint="eastAsia" w:ascii="宋体" w:hAnsi="宋体" w:cs="宋体"/>
          <w:b/>
          <w:color w:val="auto"/>
          <w:sz w:val="32"/>
          <w:szCs w:val="32"/>
        </w:rPr>
      </w:pPr>
      <w:r>
        <w:rPr>
          <w:rFonts w:hint="eastAsia" w:ascii="宋体" w:hAnsi="宋体" w:cs="宋体"/>
          <w:b/>
          <w:color w:val="auto"/>
          <w:sz w:val="32"/>
          <w:szCs w:val="32"/>
        </w:rPr>
        <w:br w:type="page"/>
      </w:r>
    </w:p>
    <w:p w14:paraId="4A2FC92D">
      <w:pPr>
        <w:jc w:val="center"/>
        <w:rPr>
          <w:rFonts w:hint="eastAsia" w:ascii="宋体" w:hAnsi="宋体" w:cs="宋体"/>
          <w:b/>
          <w:bCs/>
          <w:color w:val="auto"/>
          <w:sz w:val="28"/>
          <w:szCs w:val="28"/>
        </w:rPr>
      </w:pPr>
      <w:r>
        <w:rPr>
          <w:rFonts w:hint="eastAsia" w:ascii="宋体" w:hAnsi="宋体" w:cs="宋体"/>
          <w:b/>
          <w:bCs/>
          <w:color w:val="auto"/>
          <w:sz w:val="28"/>
          <w:szCs w:val="28"/>
        </w:rPr>
        <w:t>第二部分  供应商须知</w:t>
      </w:r>
      <w:bookmarkEnd w:id="0"/>
      <w:bookmarkEnd w:id="1"/>
      <w:bookmarkEnd w:id="2"/>
      <w:bookmarkEnd w:id="3"/>
      <w:bookmarkEnd w:id="4"/>
    </w:p>
    <w:p w14:paraId="2645AB46">
      <w:pPr>
        <w:pStyle w:val="3"/>
        <w:spacing w:after="100" w:afterAutospacing="1" w:line="400" w:lineRule="atLeast"/>
        <w:rPr>
          <w:rFonts w:hint="eastAsia" w:ascii="宋体" w:hAnsi="宋体" w:cs="宋体"/>
          <w:color w:val="auto"/>
          <w:szCs w:val="28"/>
        </w:rPr>
      </w:pPr>
      <w:bookmarkStart w:id="24" w:name="_Toc349637919"/>
      <w:bookmarkStart w:id="25" w:name="_Toc349573120"/>
      <w:bookmarkStart w:id="26" w:name="_Toc298240404"/>
      <w:bookmarkStart w:id="27" w:name="_Toc267301281"/>
      <w:bookmarkStart w:id="28" w:name="_Toc527642951"/>
      <w:r>
        <w:rPr>
          <w:rFonts w:hint="eastAsia" w:ascii="宋体" w:hAnsi="宋体" w:cs="宋体"/>
          <w:color w:val="auto"/>
          <w:szCs w:val="28"/>
        </w:rPr>
        <w:t xml:space="preserve">    </w:t>
      </w:r>
      <w:bookmarkStart w:id="29" w:name="_Toc12598"/>
      <w:r>
        <w:rPr>
          <w:rFonts w:hint="eastAsia" w:ascii="宋体" w:hAnsi="宋体" w:cs="宋体"/>
          <w:color w:val="auto"/>
          <w:szCs w:val="28"/>
        </w:rPr>
        <w:t>供应商须知附表</w:t>
      </w:r>
      <w:bookmarkEnd w:id="24"/>
      <w:bookmarkEnd w:id="25"/>
      <w:bookmarkEnd w:id="26"/>
      <w:bookmarkEnd w:id="27"/>
      <w:bookmarkEnd w:id="28"/>
      <w:bookmarkEnd w:id="29"/>
    </w:p>
    <w:tbl>
      <w:tblPr>
        <w:tblStyle w:val="27"/>
        <w:tblW w:w="9732"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980"/>
        <w:gridCol w:w="6477"/>
      </w:tblGrid>
      <w:tr w14:paraId="7D86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59C873CB">
            <w:pPr>
              <w:adjustRightInd w:val="0"/>
              <w:snapToGrid w:val="0"/>
              <w:jc w:val="center"/>
              <w:rPr>
                <w:rFonts w:hint="eastAsia" w:ascii="宋体" w:hAnsi="宋体" w:cs="宋体"/>
                <w:color w:val="auto"/>
                <w:sz w:val="24"/>
                <w:szCs w:val="24"/>
              </w:rPr>
            </w:pPr>
            <w:r>
              <w:rPr>
                <w:rFonts w:hint="eastAsia" w:ascii="宋体" w:hAnsi="宋体" w:cs="宋体"/>
                <w:b/>
                <w:color w:val="auto"/>
                <w:sz w:val="24"/>
                <w:szCs w:val="24"/>
              </w:rPr>
              <w:t>条款号</w:t>
            </w:r>
          </w:p>
        </w:tc>
        <w:tc>
          <w:tcPr>
            <w:tcW w:w="1980" w:type="dxa"/>
            <w:vAlign w:val="center"/>
          </w:tcPr>
          <w:p w14:paraId="7A0F2B01">
            <w:pPr>
              <w:adjustRightInd w:val="0"/>
              <w:snapToGrid w:val="0"/>
              <w:jc w:val="center"/>
              <w:rPr>
                <w:rFonts w:hint="eastAsia" w:ascii="宋体" w:hAnsi="宋体" w:cs="宋体"/>
                <w:color w:val="auto"/>
                <w:sz w:val="24"/>
                <w:szCs w:val="24"/>
              </w:rPr>
            </w:pPr>
            <w:r>
              <w:rPr>
                <w:rFonts w:hint="eastAsia" w:ascii="宋体" w:hAnsi="宋体" w:cs="宋体"/>
                <w:b/>
                <w:color w:val="auto"/>
                <w:sz w:val="24"/>
                <w:szCs w:val="24"/>
              </w:rPr>
              <w:t>条款名称</w:t>
            </w:r>
          </w:p>
        </w:tc>
        <w:tc>
          <w:tcPr>
            <w:tcW w:w="6477" w:type="dxa"/>
            <w:vAlign w:val="center"/>
          </w:tcPr>
          <w:p w14:paraId="32F1B3A9">
            <w:pPr>
              <w:adjustRightInd w:val="0"/>
              <w:snapToGrid w:val="0"/>
              <w:jc w:val="center"/>
              <w:rPr>
                <w:rFonts w:hint="eastAsia" w:ascii="宋体" w:hAnsi="宋体" w:cs="宋体"/>
                <w:color w:val="auto"/>
                <w:sz w:val="24"/>
                <w:szCs w:val="24"/>
              </w:rPr>
            </w:pPr>
            <w:r>
              <w:rPr>
                <w:rFonts w:hint="eastAsia" w:ascii="宋体" w:hAnsi="宋体" w:cs="宋体"/>
                <w:b/>
                <w:color w:val="auto"/>
                <w:sz w:val="24"/>
                <w:szCs w:val="24"/>
              </w:rPr>
              <w:t>编列内容规定</w:t>
            </w:r>
          </w:p>
        </w:tc>
      </w:tr>
      <w:tr w14:paraId="72E8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1CF6DCDB">
            <w:pPr>
              <w:overflowPunct w:val="0"/>
              <w:jc w:val="center"/>
              <w:rPr>
                <w:rFonts w:hint="eastAsia" w:ascii="宋体" w:hAnsi="宋体" w:cs="宋体"/>
                <w:color w:val="auto"/>
                <w:sz w:val="24"/>
                <w:szCs w:val="24"/>
              </w:rPr>
            </w:pPr>
            <w:r>
              <w:rPr>
                <w:rFonts w:hint="eastAsia" w:ascii="宋体" w:hAnsi="宋体" w:cs="宋体"/>
                <w:color w:val="auto"/>
                <w:sz w:val="24"/>
                <w:szCs w:val="24"/>
              </w:rPr>
              <w:t>1</w:t>
            </w:r>
          </w:p>
        </w:tc>
        <w:tc>
          <w:tcPr>
            <w:tcW w:w="1980" w:type="dxa"/>
            <w:vAlign w:val="center"/>
          </w:tcPr>
          <w:p w14:paraId="45837F1F">
            <w:pPr>
              <w:overflowPunct w:val="0"/>
              <w:jc w:val="center"/>
              <w:rPr>
                <w:rFonts w:hint="eastAsia" w:ascii="宋体" w:hAnsi="宋体" w:cs="宋体"/>
                <w:color w:val="auto"/>
                <w:sz w:val="24"/>
                <w:szCs w:val="24"/>
              </w:rPr>
            </w:pPr>
            <w:r>
              <w:rPr>
                <w:rFonts w:hint="eastAsia" w:ascii="宋体" w:hAnsi="宋体" w:cs="宋体"/>
                <w:color w:val="auto"/>
                <w:sz w:val="24"/>
                <w:szCs w:val="24"/>
              </w:rPr>
              <w:t>项目编号</w:t>
            </w:r>
          </w:p>
        </w:tc>
        <w:tc>
          <w:tcPr>
            <w:tcW w:w="6477" w:type="dxa"/>
            <w:vAlign w:val="center"/>
          </w:tcPr>
          <w:p w14:paraId="60B09FA0">
            <w:pPr>
              <w:rPr>
                <w:rFonts w:hint="eastAsia" w:ascii="宋体" w:hAnsi="宋体" w:eastAsia="宋体" w:cs="宋体"/>
                <w:color w:val="auto"/>
                <w:sz w:val="24"/>
                <w:szCs w:val="24"/>
                <w:lang w:eastAsia="zh-CN"/>
              </w:rPr>
            </w:pPr>
            <w:r>
              <w:rPr>
                <w:rFonts w:hint="eastAsia" w:ascii="宋体" w:hAnsi="宋体" w:cs="宋体"/>
                <w:bCs/>
                <w:color w:val="auto"/>
                <w:sz w:val="24"/>
                <w:szCs w:val="24"/>
                <w:lang w:eastAsia="zh-CN"/>
              </w:rPr>
              <w:t>2025(JKJ)137-02</w:t>
            </w:r>
          </w:p>
        </w:tc>
      </w:tr>
      <w:tr w14:paraId="0A6A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64835EE5">
            <w:pPr>
              <w:overflowPunct w:val="0"/>
              <w:jc w:val="center"/>
              <w:rPr>
                <w:rFonts w:hint="eastAsia" w:ascii="宋体" w:hAnsi="宋体" w:cs="宋体"/>
                <w:color w:val="auto"/>
                <w:sz w:val="24"/>
                <w:szCs w:val="24"/>
              </w:rPr>
            </w:pPr>
            <w:r>
              <w:rPr>
                <w:rFonts w:hint="eastAsia" w:ascii="宋体" w:hAnsi="宋体" w:cs="宋体"/>
                <w:color w:val="auto"/>
                <w:sz w:val="24"/>
                <w:szCs w:val="24"/>
              </w:rPr>
              <w:t>2</w:t>
            </w:r>
          </w:p>
        </w:tc>
        <w:tc>
          <w:tcPr>
            <w:tcW w:w="1980" w:type="dxa"/>
            <w:vAlign w:val="center"/>
          </w:tcPr>
          <w:p w14:paraId="1EDC5F6B">
            <w:pPr>
              <w:overflowPunct w:val="0"/>
              <w:jc w:val="center"/>
              <w:rPr>
                <w:rFonts w:hint="eastAsia" w:ascii="宋体" w:hAnsi="宋体" w:cs="宋体"/>
                <w:bCs/>
                <w:color w:val="auto"/>
                <w:kern w:val="0"/>
                <w:sz w:val="24"/>
                <w:szCs w:val="24"/>
                <w:lang w:bidi="ar"/>
              </w:rPr>
            </w:pPr>
            <w:r>
              <w:rPr>
                <w:rFonts w:hint="eastAsia" w:ascii="宋体" w:hAnsi="宋体" w:cs="宋体"/>
                <w:color w:val="auto"/>
                <w:sz w:val="24"/>
                <w:szCs w:val="24"/>
              </w:rPr>
              <w:t>项目名称</w:t>
            </w:r>
          </w:p>
        </w:tc>
        <w:tc>
          <w:tcPr>
            <w:tcW w:w="6477" w:type="dxa"/>
          </w:tcPr>
          <w:p w14:paraId="074558C0">
            <w:pPr>
              <w:rPr>
                <w:rFonts w:hint="eastAsia" w:ascii="宋体" w:hAnsi="宋体" w:eastAsia="宋体" w:cs="宋体"/>
                <w:bCs/>
                <w:color w:val="auto"/>
                <w:kern w:val="0"/>
                <w:sz w:val="24"/>
                <w:szCs w:val="24"/>
                <w:lang w:eastAsia="zh-CN" w:bidi="ar"/>
              </w:rPr>
            </w:pPr>
            <w:r>
              <w:rPr>
                <w:rFonts w:hint="eastAsia" w:ascii="宋体" w:hAnsi="宋体" w:cs="宋体"/>
                <w:color w:val="auto"/>
                <w:sz w:val="24"/>
                <w:szCs w:val="24"/>
                <w:lang w:eastAsia="zh-CN"/>
              </w:rPr>
              <w:t>2024年地州企业职工基本养老保险基金专项审计项目（三次）</w:t>
            </w:r>
          </w:p>
        </w:tc>
      </w:tr>
      <w:tr w14:paraId="246C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329D37B0">
            <w:pPr>
              <w:overflowPunct w:val="0"/>
              <w:jc w:val="center"/>
              <w:rPr>
                <w:rFonts w:hint="eastAsia" w:ascii="宋体" w:hAnsi="宋体" w:cs="宋体"/>
                <w:color w:val="auto"/>
                <w:sz w:val="24"/>
                <w:szCs w:val="24"/>
              </w:rPr>
            </w:pPr>
            <w:r>
              <w:rPr>
                <w:rFonts w:hint="eastAsia" w:ascii="宋体" w:hAnsi="宋体" w:cs="宋体"/>
                <w:color w:val="auto"/>
                <w:sz w:val="24"/>
                <w:szCs w:val="24"/>
              </w:rPr>
              <w:t>3</w:t>
            </w:r>
          </w:p>
        </w:tc>
        <w:tc>
          <w:tcPr>
            <w:tcW w:w="1980" w:type="dxa"/>
            <w:vAlign w:val="center"/>
          </w:tcPr>
          <w:p w14:paraId="546E3513">
            <w:pPr>
              <w:overflowPunct w:val="0"/>
              <w:jc w:val="center"/>
              <w:rPr>
                <w:rFonts w:hint="eastAsia" w:ascii="宋体" w:hAnsi="宋体" w:cs="宋体"/>
                <w:color w:val="auto"/>
                <w:sz w:val="24"/>
                <w:szCs w:val="24"/>
              </w:rPr>
            </w:pPr>
            <w:r>
              <w:rPr>
                <w:rFonts w:hint="eastAsia" w:ascii="宋体" w:hAnsi="宋体" w:cs="宋体"/>
                <w:color w:val="auto"/>
                <w:sz w:val="24"/>
                <w:szCs w:val="24"/>
              </w:rPr>
              <w:t>采购人</w:t>
            </w:r>
          </w:p>
        </w:tc>
        <w:tc>
          <w:tcPr>
            <w:tcW w:w="6477" w:type="dxa"/>
          </w:tcPr>
          <w:p w14:paraId="22F70773">
            <w:pPr>
              <w:overflowPunct w:val="0"/>
              <w:rPr>
                <w:rFonts w:hint="eastAsia" w:ascii="宋体" w:hAnsi="宋体" w:cs="宋体"/>
                <w:color w:val="auto"/>
                <w:sz w:val="24"/>
                <w:szCs w:val="24"/>
              </w:rPr>
            </w:pPr>
            <w:r>
              <w:rPr>
                <w:rFonts w:hint="eastAsia" w:ascii="宋体" w:hAnsi="宋体" w:cs="宋体"/>
                <w:color w:val="auto"/>
                <w:sz w:val="24"/>
                <w:szCs w:val="24"/>
              </w:rPr>
              <w:t xml:space="preserve">采购单位：新疆维吾尔自治区社会保险中心 </w:t>
            </w:r>
          </w:p>
          <w:p w14:paraId="79E58FAE">
            <w:pPr>
              <w:overflowPunct w:val="0"/>
              <w:rPr>
                <w:rFonts w:hint="eastAsia" w:ascii="宋体" w:hAnsi="宋体" w:cs="宋体"/>
                <w:color w:val="auto"/>
                <w:sz w:val="24"/>
                <w:szCs w:val="24"/>
              </w:rPr>
            </w:pPr>
            <w:r>
              <w:rPr>
                <w:rFonts w:hint="eastAsia" w:ascii="宋体" w:hAnsi="宋体" w:cs="宋体"/>
                <w:color w:val="auto"/>
                <w:sz w:val="24"/>
                <w:szCs w:val="24"/>
              </w:rPr>
              <w:t>联 系 人：陈先生</w:t>
            </w:r>
          </w:p>
          <w:p w14:paraId="76C5FC4B">
            <w:pPr>
              <w:rPr>
                <w:rFonts w:hint="eastAsia" w:ascii="宋体" w:hAnsi="宋体" w:cs="宋体"/>
                <w:color w:val="auto"/>
                <w:sz w:val="24"/>
                <w:szCs w:val="24"/>
              </w:rPr>
            </w:pPr>
            <w:r>
              <w:rPr>
                <w:rFonts w:hint="eastAsia" w:ascii="宋体" w:hAnsi="宋体" w:cs="宋体"/>
                <w:color w:val="auto"/>
                <w:sz w:val="24"/>
                <w:szCs w:val="24"/>
              </w:rPr>
              <w:t>联系电话：0991</w:t>
            </w:r>
            <w:r>
              <w:rPr>
                <w:rFonts w:hint="eastAsia" w:ascii="宋体" w:hAnsi="宋体" w:cs="宋体"/>
                <w:color w:val="auto"/>
                <w:sz w:val="24"/>
                <w:szCs w:val="24"/>
                <w:lang w:val="en-US" w:eastAsia="zh-CN"/>
              </w:rPr>
              <w:t>-</w:t>
            </w:r>
            <w:r>
              <w:rPr>
                <w:rFonts w:hint="eastAsia" w:ascii="宋体" w:hAnsi="宋体" w:cs="宋体"/>
                <w:color w:val="auto"/>
                <w:sz w:val="24"/>
                <w:szCs w:val="24"/>
              </w:rPr>
              <w:t>3689927</w:t>
            </w:r>
          </w:p>
        </w:tc>
      </w:tr>
      <w:tr w14:paraId="1CE4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7E0000EF">
            <w:pPr>
              <w:overflowPunct w:val="0"/>
              <w:jc w:val="center"/>
              <w:rPr>
                <w:rFonts w:hint="eastAsia" w:ascii="宋体" w:hAnsi="宋体" w:cs="宋体"/>
                <w:color w:val="auto"/>
                <w:sz w:val="24"/>
                <w:szCs w:val="24"/>
              </w:rPr>
            </w:pPr>
            <w:r>
              <w:rPr>
                <w:rFonts w:hint="eastAsia" w:ascii="宋体" w:hAnsi="宋体" w:cs="宋体"/>
                <w:color w:val="auto"/>
                <w:sz w:val="24"/>
                <w:szCs w:val="24"/>
              </w:rPr>
              <w:t>4</w:t>
            </w:r>
          </w:p>
        </w:tc>
        <w:tc>
          <w:tcPr>
            <w:tcW w:w="1980" w:type="dxa"/>
            <w:vAlign w:val="center"/>
          </w:tcPr>
          <w:p w14:paraId="6130C02A">
            <w:pPr>
              <w:overflowPunct w:val="0"/>
              <w:jc w:val="center"/>
              <w:rPr>
                <w:rFonts w:hint="eastAsia" w:ascii="宋体" w:hAnsi="宋体" w:cs="宋体"/>
                <w:color w:val="auto"/>
                <w:sz w:val="24"/>
                <w:szCs w:val="24"/>
              </w:rPr>
            </w:pPr>
            <w:r>
              <w:rPr>
                <w:rFonts w:hint="eastAsia" w:ascii="宋体" w:hAnsi="宋体" w:cs="宋体"/>
                <w:color w:val="auto"/>
                <w:sz w:val="24"/>
                <w:szCs w:val="24"/>
              </w:rPr>
              <w:t>采购代理机构</w:t>
            </w:r>
          </w:p>
        </w:tc>
        <w:tc>
          <w:tcPr>
            <w:tcW w:w="6477" w:type="dxa"/>
            <w:vAlign w:val="center"/>
          </w:tcPr>
          <w:p w14:paraId="26490877">
            <w:pPr>
              <w:overflowPunct w:val="0"/>
              <w:rPr>
                <w:rFonts w:hint="eastAsia" w:ascii="宋体" w:hAnsi="宋体" w:cs="宋体"/>
                <w:color w:val="auto"/>
                <w:sz w:val="24"/>
                <w:szCs w:val="24"/>
              </w:rPr>
            </w:pPr>
            <w:r>
              <w:rPr>
                <w:rFonts w:hint="eastAsia" w:ascii="宋体" w:hAnsi="宋体" w:cs="宋体"/>
                <w:color w:val="auto"/>
                <w:sz w:val="24"/>
                <w:szCs w:val="24"/>
              </w:rPr>
              <w:t>代理机构：新疆君凯杰工程项目管理有限公司</w:t>
            </w:r>
          </w:p>
          <w:p w14:paraId="5AD684B6">
            <w:pPr>
              <w:overflowPunct w:val="0"/>
              <w:rPr>
                <w:rFonts w:hint="eastAsia" w:ascii="宋体" w:hAnsi="宋体" w:cs="宋体"/>
                <w:color w:val="auto"/>
                <w:sz w:val="24"/>
                <w:szCs w:val="24"/>
              </w:rPr>
            </w:pPr>
            <w:r>
              <w:rPr>
                <w:rFonts w:hint="eastAsia" w:ascii="宋体" w:hAnsi="宋体" w:cs="宋体"/>
                <w:color w:val="auto"/>
                <w:sz w:val="24"/>
                <w:szCs w:val="24"/>
              </w:rPr>
              <w:t>联 系 人：黄石嘉龙</w:t>
            </w:r>
          </w:p>
          <w:p w14:paraId="72AE1EE5">
            <w:pPr>
              <w:overflowPunct w:val="0"/>
              <w:rPr>
                <w:rFonts w:hint="eastAsia" w:ascii="宋体" w:hAnsi="宋体" w:eastAsia="宋体" w:cs="宋体"/>
                <w:color w:val="auto"/>
                <w:sz w:val="24"/>
                <w:szCs w:val="24"/>
                <w:lang w:eastAsia="zh-CN"/>
              </w:rPr>
            </w:pPr>
            <w:r>
              <w:rPr>
                <w:rFonts w:hint="eastAsia" w:ascii="宋体" w:hAnsi="宋体" w:cs="宋体"/>
                <w:color w:val="auto"/>
                <w:sz w:val="24"/>
                <w:szCs w:val="24"/>
              </w:rPr>
              <w:t>联系电话：</w:t>
            </w:r>
            <w:r>
              <w:rPr>
                <w:rFonts w:hint="eastAsia" w:ascii="宋体" w:hAnsi="宋体" w:cs="宋体"/>
                <w:color w:val="auto"/>
                <w:sz w:val="24"/>
                <w:szCs w:val="24"/>
                <w:lang w:eastAsia="zh-CN"/>
              </w:rPr>
              <w:t>18095921107</w:t>
            </w:r>
          </w:p>
        </w:tc>
      </w:tr>
      <w:tr w14:paraId="6F0A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76317D45">
            <w:pPr>
              <w:overflowPunct w:val="0"/>
              <w:jc w:val="center"/>
              <w:rPr>
                <w:rFonts w:hint="eastAsia" w:ascii="宋体" w:hAnsi="宋体" w:cs="宋体"/>
                <w:color w:val="auto"/>
                <w:sz w:val="24"/>
                <w:szCs w:val="24"/>
              </w:rPr>
            </w:pPr>
            <w:r>
              <w:rPr>
                <w:rFonts w:hint="eastAsia" w:ascii="宋体" w:hAnsi="宋体" w:cs="宋体"/>
                <w:color w:val="auto"/>
                <w:sz w:val="24"/>
                <w:szCs w:val="24"/>
              </w:rPr>
              <w:t>5</w:t>
            </w:r>
          </w:p>
        </w:tc>
        <w:tc>
          <w:tcPr>
            <w:tcW w:w="1980" w:type="dxa"/>
            <w:vAlign w:val="center"/>
          </w:tcPr>
          <w:p w14:paraId="639FC4FD">
            <w:pPr>
              <w:overflowPunct w:val="0"/>
              <w:jc w:val="center"/>
              <w:rPr>
                <w:rFonts w:hint="eastAsia" w:ascii="宋体" w:hAnsi="宋体" w:cs="宋体"/>
                <w:color w:val="auto"/>
                <w:sz w:val="24"/>
                <w:szCs w:val="24"/>
              </w:rPr>
            </w:pPr>
            <w:r>
              <w:rPr>
                <w:rFonts w:hint="eastAsia" w:ascii="宋体" w:hAnsi="宋体" w:cs="宋体"/>
                <w:color w:val="auto"/>
                <w:sz w:val="24"/>
                <w:szCs w:val="24"/>
              </w:rPr>
              <w:t>服务内容</w:t>
            </w:r>
          </w:p>
        </w:tc>
        <w:tc>
          <w:tcPr>
            <w:tcW w:w="6477" w:type="dxa"/>
            <w:vAlign w:val="center"/>
          </w:tcPr>
          <w:p w14:paraId="035500BF">
            <w:pPr>
              <w:overflowPunct w:val="0"/>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lang w:eastAsia="zh-CN"/>
              </w:rPr>
              <w:t>对克州本级、吐鲁番市本级、克拉玛依市本级、博州本级社保经办机构2024年企业职工基本养老保险基金运行管理进行审计</w:t>
            </w:r>
            <w:r>
              <w:rPr>
                <w:rFonts w:hint="eastAsia" w:ascii="宋体" w:hAnsi="宋体" w:cs="宋体"/>
                <w:color w:val="auto"/>
                <w:sz w:val="24"/>
                <w:szCs w:val="24"/>
                <w:highlight w:val="none"/>
              </w:rPr>
              <w:t>（具体服务内容详见竞争性磋商文件第三章）</w:t>
            </w:r>
            <w:r>
              <w:rPr>
                <w:rFonts w:hint="eastAsia" w:ascii="宋体" w:hAnsi="宋体" w:cs="宋体"/>
                <w:color w:val="auto"/>
                <w:sz w:val="24"/>
                <w:szCs w:val="24"/>
                <w:highlight w:val="none"/>
                <w:lang w:eastAsia="zh-CN"/>
              </w:rPr>
              <w:t>。</w:t>
            </w:r>
          </w:p>
        </w:tc>
      </w:tr>
      <w:tr w14:paraId="2BD9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77B57581">
            <w:pPr>
              <w:overflowPunct w:val="0"/>
              <w:jc w:val="center"/>
              <w:rPr>
                <w:rFonts w:hint="eastAsia" w:ascii="宋体" w:hAnsi="宋体" w:cs="宋体"/>
                <w:color w:val="auto"/>
                <w:sz w:val="24"/>
                <w:szCs w:val="24"/>
              </w:rPr>
            </w:pPr>
            <w:r>
              <w:rPr>
                <w:rFonts w:hint="eastAsia" w:ascii="宋体" w:hAnsi="宋体" w:cs="宋体"/>
                <w:color w:val="auto"/>
                <w:sz w:val="24"/>
                <w:szCs w:val="24"/>
              </w:rPr>
              <w:t>6</w:t>
            </w:r>
          </w:p>
        </w:tc>
        <w:tc>
          <w:tcPr>
            <w:tcW w:w="1980" w:type="dxa"/>
            <w:vAlign w:val="center"/>
          </w:tcPr>
          <w:p w14:paraId="0769C1B0">
            <w:pPr>
              <w:overflowPunct w:val="0"/>
              <w:jc w:val="center"/>
              <w:rPr>
                <w:rFonts w:hint="eastAsia" w:ascii="宋体" w:hAnsi="宋体" w:cs="宋体"/>
                <w:color w:val="auto"/>
                <w:sz w:val="24"/>
                <w:szCs w:val="24"/>
              </w:rPr>
            </w:pPr>
            <w:r>
              <w:rPr>
                <w:rFonts w:hint="eastAsia" w:ascii="宋体" w:hAnsi="宋体" w:cs="宋体"/>
                <w:color w:val="auto"/>
                <w:sz w:val="24"/>
                <w:szCs w:val="24"/>
              </w:rPr>
              <w:t>服务地点</w:t>
            </w:r>
          </w:p>
        </w:tc>
        <w:tc>
          <w:tcPr>
            <w:tcW w:w="6477" w:type="dxa"/>
            <w:vAlign w:val="center"/>
          </w:tcPr>
          <w:p w14:paraId="7F383F18">
            <w:pPr>
              <w:overflowPunct w:val="0"/>
              <w:jc w:val="left"/>
              <w:rPr>
                <w:rFonts w:hint="eastAsia" w:ascii="宋体" w:hAnsi="宋体" w:cs="宋体"/>
                <w:color w:val="auto"/>
                <w:sz w:val="24"/>
                <w:szCs w:val="24"/>
              </w:rPr>
            </w:pPr>
            <w:r>
              <w:rPr>
                <w:rFonts w:hint="eastAsia" w:ascii="宋体" w:hAnsi="宋体" w:cs="宋体"/>
                <w:color w:val="auto"/>
                <w:sz w:val="24"/>
                <w:szCs w:val="24"/>
              </w:rPr>
              <w:t>新疆维吾尔自治区社会保险中心（以采购单位指定地点为准）</w:t>
            </w:r>
          </w:p>
        </w:tc>
      </w:tr>
      <w:tr w14:paraId="2EDE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vAlign w:val="center"/>
          </w:tcPr>
          <w:p w14:paraId="53AFE4D2">
            <w:pPr>
              <w:overflowPunct w:val="0"/>
              <w:jc w:val="center"/>
              <w:rPr>
                <w:rFonts w:hint="eastAsia" w:ascii="宋体" w:hAnsi="宋体" w:cs="宋体"/>
                <w:color w:val="auto"/>
                <w:sz w:val="24"/>
                <w:szCs w:val="24"/>
              </w:rPr>
            </w:pPr>
            <w:r>
              <w:rPr>
                <w:rFonts w:hint="eastAsia" w:ascii="宋体" w:hAnsi="宋体" w:cs="宋体"/>
                <w:color w:val="auto"/>
                <w:sz w:val="24"/>
                <w:szCs w:val="24"/>
              </w:rPr>
              <w:t>7</w:t>
            </w:r>
          </w:p>
        </w:tc>
        <w:tc>
          <w:tcPr>
            <w:tcW w:w="1980" w:type="dxa"/>
            <w:vAlign w:val="center"/>
          </w:tcPr>
          <w:p w14:paraId="1DEA2528">
            <w:pPr>
              <w:overflowPunct w:val="0"/>
              <w:jc w:val="center"/>
              <w:rPr>
                <w:rFonts w:hint="eastAsia" w:ascii="宋体" w:hAnsi="宋体" w:cs="宋体"/>
                <w:color w:val="auto"/>
                <w:sz w:val="24"/>
                <w:szCs w:val="24"/>
              </w:rPr>
            </w:pPr>
            <w:r>
              <w:rPr>
                <w:rFonts w:hint="eastAsia" w:ascii="宋体" w:hAnsi="宋体" w:cs="宋体"/>
                <w:color w:val="auto"/>
                <w:sz w:val="24"/>
                <w:szCs w:val="24"/>
              </w:rPr>
              <w:t>合同履约期限</w:t>
            </w:r>
          </w:p>
        </w:tc>
        <w:tc>
          <w:tcPr>
            <w:tcW w:w="6477" w:type="dxa"/>
            <w:vAlign w:val="center"/>
          </w:tcPr>
          <w:p w14:paraId="3AA03358">
            <w:pPr>
              <w:overflowPunct w:val="0"/>
              <w:jc w:val="left"/>
              <w:rPr>
                <w:rFonts w:hint="eastAsia" w:ascii="宋体" w:hAnsi="宋体" w:cs="宋体"/>
                <w:color w:val="auto"/>
                <w:sz w:val="24"/>
                <w:szCs w:val="24"/>
              </w:rPr>
            </w:pPr>
            <w:r>
              <w:rPr>
                <w:rFonts w:hint="eastAsia" w:ascii="宋体" w:hAnsi="宋体" w:cs="宋体"/>
                <w:color w:val="auto"/>
                <w:sz w:val="24"/>
                <w:szCs w:val="24"/>
              </w:rPr>
              <w:t>1年（以签订合同为准）</w:t>
            </w:r>
          </w:p>
        </w:tc>
      </w:tr>
      <w:tr w14:paraId="31C2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27DCAF9C">
            <w:pPr>
              <w:overflowPunct w:val="0"/>
              <w:jc w:val="center"/>
              <w:rPr>
                <w:rFonts w:hint="eastAsia" w:ascii="宋体" w:hAnsi="宋体" w:cs="宋体"/>
                <w:color w:val="auto"/>
                <w:sz w:val="24"/>
                <w:szCs w:val="24"/>
              </w:rPr>
            </w:pPr>
            <w:r>
              <w:rPr>
                <w:rFonts w:hint="eastAsia" w:ascii="宋体" w:hAnsi="宋体" w:cs="宋体"/>
                <w:color w:val="auto"/>
                <w:sz w:val="24"/>
                <w:szCs w:val="24"/>
              </w:rPr>
              <w:t>8</w:t>
            </w:r>
          </w:p>
        </w:tc>
        <w:tc>
          <w:tcPr>
            <w:tcW w:w="1980" w:type="dxa"/>
            <w:vAlign w:val="center"/>
          </w:tcPr>
          <w:p w14:paraId="5849C6D7">
            <w:pPr>
              <w:overflowPunct w:val="0"/>
              <w:jc w:val="center"/>
              <w:rPr>
                <w:rFonts w:hint="eastAsia" w:ascii="宋体" w:hAnsi="宋体" w:cs="宋体"/>
                <w:color w:val="auto"/>
                <w:sz w:val="24"/>
                <w:szCs w:val="24"/>
              </w:rPr>
            </w:pPr>
            <w:r>
              <w:rPr>
                <w:rFonts w:hint="eastAsia" w:ascii="宋体" w:hAnsi="宋体" w:cs="宋体"/>
                <w:color w:val="auto"/>
                <w:sz w:val="24"/>
                <w:szCs w:val="24"/>
              </w:rPr>
              <w:t>采购方式</w:t>
            </w:r>
          </w:p>
        </w:tc>
        <w:tc>
          <w:tcPr>
            <w:tcW w:w="6477" w:type="dxa"/>
            <w:vAlign w:val="center"/>
          </w:tcPr>
          <w:p w14:paraId="215E17C6">
            <w:pPr>
              <w:overflowPunct w:val="0"/>
              <w:jc w:val="left"/>
              <w:rPr>
                <w:rFonts w:hint="eastAsia" w:ascii="宋体" w:hAnsi="宋体" w:cs="宋体"/>
                <w:color w:val="auto"/>
                <w:sz w:val="24"/>
                <w:szCs w:val="24"/>
              </w:rPr>
            </w:pPr>
            <w:r>
              <w:rPr>
                <w:rFonts w:hint="eastAsia" w:ascii="宋体" w:hAnsi="宋体" w:cs="宋体"/>
                <w:color w:val="auto"/>
                <w:sz w:val="24"/>
                <w:szCs w:val="24"/>
              </w:rPr>
              <w:t>竞争性磋商</w:t>
            </w:r>
          </w:p>
        </w:tc>
      </w:tr>
      <w:tr w14:paraId="1F48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75" w:type="dxa"/>
            <w:vAlign w:val="center"/>
          </w:tcPr>
          <w:p w14:paraId="199DB51D">
            <w:pPr>
              <w:overflowPunct w:val="0"/>
              <w:jc w:val="center"/>
              <w:rPr>
                <w:rFonts w:hint="eastAsia" w:ascii="宋体" w:hAnsi="宋体" w:cs="宋体"/>
                <w:color w:val="auto"/>
                <w:sz w:val="24"/>
                <w:szCs w:val="24"/>
              </w:rPr>
            </w:pPr>
            <w:r>
              <w:rPr>
                <w:rFonts w:hint="eastAsia" w:ascii="宋体" w:hAnsi="宋体" w:cs="宋体"/>
                <w:color w:val="auto"/>
                <w:sz w:val="24"/>
                <w:szCs w:val="24"/>
              </w:rPr>
              <w:t>9</w:t>
            </w:r>
          </w:p>
        </w:tc>
        <w:tc>
          <w:tcPr>
            <w:tcW w:w="1980" w:type="dxa"/>
            <w:vAlign w:val="center"/>
          </w:tcPr>
          <w:p w14:paraId="5239EBCE">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供应商资格条件</w:t>
            </w:r>
          </w:p>
        </w:tc>
        <w:tc>
          <w:tcPr>
            <w:tcW w:w="6477" w:type="dxa"/>
            <w:vAlign w:val="center"/>
          </w:tcPr>
          <w:p w14:paraId="1318289D">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1.满足《中华人民共和国政府采购法》第二十二条规定；</w:t>
            </w:r>
          </w:p>
          <w:p w14:paraId="20DABC4B">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2.落实政府采购政策需满足的资格要求：</w:t>
            </w:r>
          </w:p>
          <w:p w14:paraId="02765800">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2.1中小企业政策落实政府采购政策需满足的资格要求：本项目专门面向中小企业</w:t>
            </w:r>
          </w:p>
          <w:p w14:paraId="111AA7CF">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2.2其他落实政府采购政策</w:t>
            </w:r>
          </w:p>
          <w:p w14:paraId="46A45F55">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（1）财政部、国家发展改革委、生态环境部、市场监管总局《关于调整优化节能产品、环境标志产品政府采购执行机制的通知》（财库[2019]9号文）；</w:t>
            </w:r>
          </w:p>
          <w:p w14:paraId="2AEA1406">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（2）财政部、生态环境部《关于印发环境标志产品政府采购品目清单的通知》（财库[2019]18号文）；</w:t>
            </w:r>
          </w:p>
          <w:p w14:paraId="710F0357">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（3）财政部、发展改革委《关于印发节能产品政府采购品目清单的通知》（财库[2019]19号文）；</w:t>
            </w:r>
          </w:p>
          <w:p w14:paraId="680026A6">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（4）市场监管总局《市场监管总局关于发布参与实施政府采购节能产品、环境标志产品认证机构名录的公告》（2019年第16号）；</w:t>
            </w:r>
          </w:p>
          <w:p w14:paraId="68D7ACDB">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（5）财政部、工业和信息化部《关于印发《政府采购促进中小企业发展管理办法》的通知》（财库[2020]46号文）《关于进一步加大政府采购支持中小企业力度的通知》（财库[2022]19号文）执行；</w:t>
            </w:r>
          </w:p>
          <w:p w14:paraId="350F45BF">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（6）财政部、民政部、中国残疾人联合会《关于促进残疾人就业政府采购政策的通知》（财库[2017]141号）；</w:t>
            </w:r>
          </w:p>
          <w:p w14:paraId="25F3715A">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（7）财政部、</w:t>
            </w:r>
            <w:r>
              <w:rPr>
                <w:rFonts w:hint="eastAsia" w:ascii="宋体" w:hAnsi="宋体" w:cs="宋体"/>
                <w:bCs/>
                <w:color w:val="auto"/>
                <w:sz w:val="24"/>
                <w:szCs w:val="24"/>
                <w:lang w:val="en-US" w:eastAsia="zh-CN" w:bidi="ar"/>
              </w:rPr>
              <w:t>SF</w:t>
            </w:r>
            <w:r>
              <w:rPr>
                <w:rFonts w:hint="eastAsia" w:ascii="宋体" w:hAnsi="宋体" w:cs="宋体"/>
                <w:bCs/>
                <w:color w:val="auto"/>
                <w:sz w:val="24"/>
                <w:szCs w:val="24"/>
                <w:lang w:bidi="ar"/>
              </w:rPr>
              <w:t>部《关于政府采购支持</w:t>
            </w:r>
            <w:r>
              <w:rPr>
                <w:rFonts w:hint="eastAsia" w:ascii="宋体" w:hAnsi="宋体" w:cs="宋体"/>
                <w:bCs/>
                <w:color w:val="auto"/>
                <w:sz w:val="24"/>
                <w:szCs w:val="24"/>
                <w:lang w:val="en-US" w:eastAsia="zh-CN" w:bidi="ar"/>
              </w:rPr>
              <w:t>JY</w:t>
            </w:r>
            <w:r>
              <w:rPr>
                <w:rFonts w:hint="eastAsia" w:ascii="宋体" w:hAnsi="宋体" w:cs="宋体"/>
                <w:bCs/>
                <w:color w:val="auto"/>
                <w:sz w:val="24"/>
                <w:szCs w:val="24"/>
                <w:lang w:bidi="ar"/>
              </w:rPr>
              <w:t>企业发展有关问题的通知》（财库[2014]68号文）；</w:t>
            </w:r>
          </w:p>
          <w:p w14:paraId="07504FAF">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（8）财政部、生态环境部、国家邮政局《关于印发《商品包装政府采购需求标准（试行）》《快递包装政府采购需求标准（试行）》的通知》（财办库〔2020〕123号）。</w:t>
            </w:r>
          </w:p>
          <w:p w14:paraId="2F0D92B7">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3.本项目的特定资格要求：</w:t>
            </w:r>
          </w:p>
          <w:p w14:paraId="36C23B6A">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1）近三年内（本项目投标截止期前）未被“信用中国”（www.creditchina.gov.cn）、中国政府采购网（www.ccgp.gov.cn）列入失信被执行人、重大税收违法案件当事人名单、政府采购严重违法失信行为记录名单（开标现场查询）。</w:t>
            </w:r>
          </w:p>
          <w:p w14:paraId="546E2F8B">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（2）</w:t>
            </w:r>
            <w:r>
              <w:rPr>
                <w:rFonts w:hint="eastAsia" w:ascii="宋体" w:hAnsi="宋体" w:cs="宋体"/>
                <w:bCs/>
                <w:color w:val="auto"/>
                <w:sz w:val="24"/>
                <w:szCs w:val="24"/>
                <w:lang w:eastAsia="zh-CN" w:bidi="ar"/>
              </w:rPr>
              <w:t>提供2024年度由第三方财务审计机构出具的财务审计报告或提供银行出具的近期资信证明</w:t>
            </w:r>
            <w:r>
              <w:rPr>
                <w:rFonts w:hint="eastAsia" w:ascii="宋体" w:hAnsi="宋体" w:cs="宋体"/>
                <w:bCs/>
                <w:color w:val="auto"/>
                <w:sz w:val="24"/>
                <w:szCs w:val="24"/>
                <w:lang w:bidi="ar"/>
              </w:rPr>
              <w:t>；</w:t>
            </w:r>
          </w:p>
          <w:p w14:paraId="2222BFC4">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（3）提供税务机关出具近六个月（任意一个月）的完税证明（2025年后成立的公司按实际发生提供）；</w:t>
            </w:r>
          </w:p>
          <w:p w14:paraId="2A2374A2">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4）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w:t>
            </w:r>
          </w:p>
          <w:p w14:paraId="2D3E27B2">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（5）提供本单位缴纳的近六个月（任意一月）社保缴纳证明（单位社保缴费凭证，2025年后成立的公司按实际发生提供）；</w:t>
            </w:r>
          </w:p>
          <w:p w14:paraId="44859E06">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50C1529">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（7）供应商提供保证金或保函；</w:t>
            </w:r>
          </w:p>
          <w:p w14:paraId="4B949C96">
            <w:pPr>
              <w:pStyle w:val="37"/>
              <w:spacing w:after="0" w:line="240" w:lineRule="auto"/>
              <w:ind w:left="0" w:leftChars="0" w:firstLine="0" w:firstLineChars="0"/>
              <w:rPr>
                <w:rFonts w:hint="eastAsia" w:ascii="宋体" w:hAnsi="宋体" w:cs="宋体"/>
                <w:bCs/>
                <w:color w:val="auto"/>
                <w:sz w:val="24"/>
                <w:szCs w:val="24"/>
                <w:lang w:bidi="ar"/>
              </w:rPr>
            </w:pPr>
            <w:r>
              <w:rPr>
                <w:rFonts w:hint="eastAsia" w:ascii="宋体" w:hAnsi="宋体" w:cs="宋体"/>
                <w:bCs/>
                <w:color w:val="auto"/>
                <w:sz w:val="24"/>
                <w:szCs w:val="24"/>
                <w:lang w:bidi="ar"/>
              </w:rPr>
              <w:t>（8）供应商须提供有效的中小企业声明函；</w:t>
            </w:r>
          </w:p>
        </w:tc>
      </w:tr>
      <w:tr w14:paraId="4D21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292A6414">
            <w:pPr>
              <w:adjustRightInd w:val="0"/>
              <w:snapToGrid w:val="0"/>
              <w:jc w:val="center"/>
              <w:rPr>
                <w:rFonts w:hint="default"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highlight w:val="none"/>
                <w:shd w:val="clear"/>
                <w:lang w:val="en-US" w:eastAsia="zh-CN" w:bidi="ar"/>
              </w:rPr>
              <w:t>10</w:t>
            </w:r>
          </w:p>
        </w:tc>
        <w:tc>
          <w:tcPr>
            <w:tcW w:w="1980" w:type="dxa"/>
            <w:vAlign w:val="center"/>
          </w:tcPr>
          <w:p w14:paraId="5A4E11C1">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保证金缴纳方式及金额</w:t>
            </w:r>
          </w:p>
        </w:tc>
        <w:tc>
          <w:tcPr>
            <w:tcW w:w="6477" w:type="dxa"/>
            <w:vAlign w:val="center"/>
          </w:tcPr>
          <w:p w14:paraId="000C05B0">
            <w:pPr>
              <w:rPr>
                <w:rFonts w:hint="eastAsia" w:ascii="宋体" w:hAnsi="宋体" w:cs="宋体"/>
                <w:color w:val="auto"/>
                <w:kern w:val="0"/>
                <w:sz w:val="24"/>
                <w:szCs w:val="24"/>
              </w:rPr>
            </w:pPr>
            <w:r>
              <w:rPr>
                <w:rFonts w:hint="eastAsia" w:ascii="宋体" w:hAnsi="宋体" w:cs="宋体"/>
                <w:color w:val="auto"/>
                <w:kern w:val="0"/>
                <w:sz w:val="24"/>
                <w:szCs w:val="24"/>
              </w:rPr>
              <w:t>投标保证金的缴纳形式：转账、汇款、保函</w:t>
            </w:r>
          </w:p>
          <w:p w14:paraId="6842EBFB">
            <w:pPr>
              <w:rPr>
                <w:rFonts w:hint="eastAsia" w:ascii="宋体" w:hAnsi="宋体" w:cs="宋体"/>
                <w:color w:val="auto"/>
                <w:kern w:val="0"/>
                <w:sz w:val="24"/>
                <w:szCs w:val="24"/>
              </w:rPr>
            </w:pPr>
            <w:r>
              <w:rPr>
                <w:rFonts w:hint="eastAsia" w:ascii="宋体" w:hAnsi="宋体" w:cs="宋体"/>
                <w:color w:val="auto"/>
                <w:kern w:val="0"/>
                <w:sz w:val="24"/>
                <w:szCs w:val="24"/>
              </w:rPr>
              <w:t>投标保证金的金额：</w:t>
            </w:r>
            <w:r>
              <w:rPr>
                <w:rFonts w:hint="eastAsia" w:ascii="宋体" w:hAnsi="宋体" w:cs="宋体"/>
                <w:color w:val="auto"/>
                <w:kern w:val="0"/>
                <w:sz w:val="24"/>
                <w:szCs w:val="24"/>
                <w:lang w:eastAsia="zh-CN"/>
              </w:rPr>
              <w:t>2900</w:t>
            </w:r>
            <w:r>
              <w:rPr>
                <w:rFonts w:hint="eastAsia" w:ascii="宋体" w:hAnsi="宋体" w:cs="宋体"/>
                <w:color w:val="auto"/>
                <w:kern w:val="0"/>
                <w:sz w:val="24"/>
                <w:szCs w:val="24"/>
              </w:rPr>
              <w:t>.00元（</w:t>
            </w:r>
            <w:r>
              <w:rPr>
                <w:rFonts w:hint="eastAsia" w:ascii="宋体" w:hAnsi="宋体" w:cs="宋体"/>
                <w:color w:val="auto"/>
                <w:kern w:val="0"/>
                <w:sz w:val="24"/>
                <w:szCs w:val="24"/>
                <w:lang w:eastAsia="zh-CN"/>
              </w:rPr>
              <w:t>贰仟玖佰元</w:t>
            </w:r>
            <w:r>
              <w:rPr>
                <w:rFonts w:hint="eastAsia" w:ascii="宋体" w:hAnsi="宋体" w:cs="宋体"/>
                <w:color w:val="auto"/>
                <w:kern w:val="0"/>
                <w:sz w:val="24"/>
                <w:szCs w:val="24"/>
              </w:rPr>
              <w:t>）</w:t>
            </w:r>
          </w:p>
          <w:p w14:paraId="6A63DB1E">
            <w:pPr>
              <w:rPr>
                <w:rFonts w:hint="eastAsia" w:ascii="宋体" w:hAnsi="宋体" w:cs="宋体"/>
                <w:color w:val="auto"/>
                <w:kern w:val="0"/>
                <w:sz w:val="24"/>
                <w:szCs w:val="24"/>
              </w:rPr>
            </w:pPr>
            <w:r>
              <w:rPr>
                <w:rFonts w:hint="eastAsia" w:ascii="宋体" w:hAnsi="宋体" w:cs="宋体"/>
                <w:color w:val="auto"/>
                <w:kern w:val="0"/>
                <w:sz w:val="24"/>
                <w:szCs w:val="24"/>
              </w:rPr>
              <w:t>递交方式：电汇、转账等（由投标人基本账户汇出，否则无效）</w:t>
            </w:r>
          </w:p>
          <w:p w14:paraId="13D9FAB3">
            <w:pPr>
              <w:overflowPunct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投标保证金账号：新疆君凯杰工程项目管理有限公司</w:t>
            </w:r>
          </w:p>
          <w:p w14:paraId="2C734E9D">
            <w:pPr>
              <w:overflowPunct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开户银行：中国农业银行乌鲁木齐昆仑路支行</w:t>
            </w:r>
          </w:p>
          <w:p w14:paraId="5E9BAF9B">
            <w:pPr>
              <w:overflowPunct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 xml:space="preserve">账    </w:t>
            </w:r>
            <w:r>
              <w:rPr>
                <w:rFonts w:hint="eastAsia" w:ascii="宋体" w:hAnsi="宋体" w:cs="宋体"/>
                <w:bCs/>
                <w:color w:val="auto"/>
                <w:kern w:val="0"/>
                <w:sz w:val="24"/>
                <w:szCs w:val="24"/>
                <w:lang w:val="en-US" w:eastAsia="zh-CN" w:bidi="ar"/>
              </w:rPr>
              <w:t xml:space="preserve"> </w:t>
            </w:r>
            <w:r>
              <w:rPr>
                <w:rFonts w:hint="eastAsia" w:ascii="宋体" w:hAnsi="宋体" w:cs="宋体"/>
                <w:bCs/>
                <w:color w:val="auto"/>
                <w:kern w:val="0"/>
                <w:sz w:val="24"/>
                <w:szCs w:val="24"/>
                <w:lang w:bidi="ar"/>
              </w:rPr>
              <w:t xml:space="preserve"> 号：30006401040010690</w:t>
            </w:r>
          </w:p>
          <w:p w14:paraId="15ACAD98">
            <w:pPr>
              <w:overflowPunct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开户行行号：103881000646</w:t>
            </w:r>
          </w:p>
          <w:p w14:paraId="1C8C635B">
            <w:pPr>
              <w:rPr>
                <w:rFonts w:hint="eastAsia" w:ascii="宋体" w:hAnsi="宋体" w:cs="宋体"/>
                <w:color w:val="auto"/>
                <w:sz w:val="24"/>
              </w:rPr>
            </w:pPr>
            <w:r>
              <w:rPr>
                <w:rFonts w:hint="eastAsia" w:ascii="宋体" w:hAnsi="宋体" w:cs="宋体"/>
                <w:color w:val="auto"/>
                <w:sz w:val="24"/>
              </w:rPr>
              <w:t>注：1.采用银行转账或电汇的方式的，由报名单位基本账户于</w:t>
            </w:r>
            <w:r>
              <w:rPr>
                <w:rFonts w:hint="eastAsia" w:ascii="宋体" w:hAnsi="宋体" w:cs="宋体"/>
                <w:color w:val="auto"/>
                <w:sz w:val="24"/>
                <w:highlight w:val="none"/>
                <w:lang w:eastAsia="zh-CN"/>
              </w:rPr>
              <w:t>2025年6月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日1</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点</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0分</w:t>
            </w:r>
            <w:r>
              <w:rPr>
                <w:rFonts w:hint="eastAsia" w:ascii="宋体" w:hAnsi="宋体" w:cs="宋体"/>
                <w:color w:val="auto"/>
                <w:sz w:val="24"/>
                <w:highlight w:val="none"/>
              </w:rPr>
              <w:t>（</w:t>
            </w:r>
            <w:r>
              <w:rPr>
                <w:rFonts w:hint="eastAsia" w:ascii="宋体" w:hAnsi="宋体" w:cs="宋体"/>
                <w:color w:val="auto"/>
                <w:sz w:val="24"/>
              </w:rPr>
              <w:t>北京时间）前汇至新疆君凯杰工程项目管理有限公司专用账户，不得以现金和其他形式缴纳，不得以分公司、办事处或其他机构的名义缴纳，报名单位在缴纳保证金时，需在进账凭证上明确资金用途、项目名称，以便查对核实。投标保证金缴纳截止时间为递交投标文件截止时间。</w:t>
            </w:r>
          </w:p>
          <w:p w14:paraId="50CC6A4E">
            <w:pPr>
              <w:rPr>
                <w:rFonts w:hint="eastAsia" w:ascii="宋体" w:hAnsi="宋体" w:cs="宋体"/>
                <w:color w:val="auto"/>
                <w:sz w:val="24"/>
              </w:rPr>
            </w:pPr>
            <w:r>
              <w:rPr>
                <w:rFonts w:hint="eastAsia" w:ascii="宋体" w:hAnsi="宋体" w:cs="宋体"/>
                <w:color w:val="auto"/>
                <w:sz w:val="24"/>
              </w:rPr>
              <w:t>2.电子保函使用方法：1、登录新疆维吾尔自治区政府采购网，首页点击“电子保函”直接进入新疆政府采购电子保函申请页，点击【立即申请】2、依次完善页面显示的投保人信息（供应商信息），确认您要投保的项目信息，在投保项目选择页面选择您需要投保的项目（可根据项目名称或项目保函进行搜索），选择投保项目后填写被保险人信息及投保内容。</w:t>
            </w:r>
          </w:p>
          <w:p w14:paraId="4D1720C8">
            <w:pPr>
              <w:pStyle w:val="6"/>
              <w:ind w:left="0" w:leftChars="0"/>
              <w:rPr>
                <w:rFonts w:hint="eastAsia" w:ascii="宋体" w:hAnsi="宋体" w:cs="宋体"/>
                <w:b/>
                <w:bCs/>
                <w:color w:val="auto"/>
                <w:sz w:val="24"/>
              </w:rPr>
            </w:pPr>
            <w:r>
              <w:rPr>
                <w:rFonts w:hint="eastAsia" w:ascii="宋体" w:hAnsi="宋体" w:cs="宋体"/>
                <w:b/>
                <w:bCs/>
                <w:color w:val="auto"/>
                <w:sz w:val="24"/>
              </w:rPr>
              <w:t>保函投保金额：</w:t>
            </w:r>
            <w:r>
              <w:rPr>
                <w:rFonts w:hint="eastAsia" w:ascii="宋体" w:hAnsi="宋体" w:cs="宋体"/>
                <w:b/>
                <w:bCs/>
                <w:color w:val="auto"/>
                <w:sz w:val="24"/>
                <w:lang w:eastAsia="zh-CN"/>
              </w:rPr>
              <w:t>2900</w:t>
            </w:r>
            <w:r>
              <w:rPr>
                <w:rFonts w:hint="eastAsia" w:ascii="宋体" w:hAnsi="宋体" w:cs="宋体"/>
                <w:b/>
                <w:bCs/>
                <w:color w:val="auto"/>
                <w:sz w:val="24"/>
              </w:rPr>
              <w:t>元</w:t>
            </w:r>
          </w:p>
          <w:p w14:paraId="0B516875">
            <w:pPr>
              <w:overflowPunct w:val="0"/>
              <w:rPr>
                <w:rFonts w:hint="eastAsia" w:ascii="宋体" w:hAnsi="宋体" w:eastAsia="宋体" w:cs="宋体"/>
                <w:bCs/>
                <w:color w:val="auto"/>
                <w:kern w:val="0"/>
                <w:sz w:val="24"/>
                <w:szCs w:val="24"/>
                <w:lang w:eastAsia="zh-CN" w:bidi="ar"/>
              </w:rPr>
            </w:pPr>
            <w:r>
              <w:rPr>
                <w:rFonts w:hint="eastAsia" w:ascii="宋体" w:hAnsi="宋体" w:cs="宋体"/>
                <w:b/>
                <w:bCs/>
                <w:color w:val="auto"/>
                <w:sz w:val="24"/>
              </w:rPr>
              <w:t>保函承保期限：</w:t>
            </w:r>
            <w:r>
              <w:rPr>
                <w:rFonts w:hint="eastAsia" w:ascii="宋体" w:hAnsi="宋体" w:cs="宋体"/>
                <w:b/>
                <w:bCs/>
                <w:color w:val="auto"/>
                <w:kern w:val="0"/>
                <w:sz w:val="24"/>
                <w:szCs w:val="24"/>
                <w:highlight w:val="none"/>
              </w:rPr>
              <w:t>2025年</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rPr>
              <w:t>月</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rPr>
              <w:t>日－---2025年</w:t>
            </w:r>
            <w:r>
              <w:rPr>
                <w:rFonts w:hint="eastAsia" w:ascii="宋体" w:hAnsi="宋体" w:cs="宋体"/>
                <w:b/>
                <w:bCs/>
                <w:color w:val="auto"/>
                <w:kern w:val="0"/>
                <w:sz w:val="24"/>
                <w:szCs w:val="24"/>
                <w:highlight w:val="none"/>
                <w:lang w:val="en-US" w:eastAsia="zh-CN"/>
              </w:rPr>
              <w:t>10</w:t>
            </w:r>
            <w:r>
              <w:rPr>
                <w:rFonts w:hint="eastAsia" w:ascii="宋体" w:hAnsi="宋体" w:cs="宋体"/>
                <w:b/>
                <w:bCs/>
                <w:color w:val="auto"/>
                <w:kern w:val="0"/>
                <w:sz w:val="24"/>
                <w:szCs w:val="24"/>
                <w:highlight w:val="none"/>
              </w:rPr>
              <w:t>月</w:t>
            </w:r>
            <w:r>
              <w:rPr>
                <w:rFonts w:hint="eastAsia" w:ascii="宋体" w:hAnsi="宋体" w:cs="宋体"/>
                <w:b/>
                <w:bCs/>
                <w:color w:val="auto"/>
                <w:kern w:val="0"/>
                <w:sz w:val="24"/>
                <w:szCs w:val="24"/>
                <w:highlight w:val="none"/>
                <w:lang w:val="en-US" w:eastAsia="zh-CN"/>
              </w:rPr>
              <w:t>02</w:t>
            </w:r>
            <w:r>
              <w:rPr>
                <w:rFonts w:hint="eastAsia" w:ascii="宋体" w:hAnsi="宋体" w:cs="宋体"/>
                <w:b/>
                <w:bCs/>
                <w:color w:val="auto"/>
                <w:kern w:val="0"/>
                <w:sz w:val="24"/>
                <w:szCs w:val="24"/>
                <w:highlight w:val="none"/>
              </w:rPr>
              <w:t>日</w:t>
            </w:r>
            <w:r>
              <w:rPr>
                <w:rFonts w:hint="eastAsia" w:ascii="宋体" w:hAnsi="宋体" w:cs="宋体"/>
                <w:b/>
                <w:bCs/>
                <w:color w:val="auto"/>
                <w:kern w:val="0"/>
                <w:sz w:val="24"/>
                <w:szCs w:val="24"/>
                <w:highlight w:val="none"/>
                <w:lang w:eastAsia="zh-CN"/>
              </w:rPr>
              <w:t>（90日历天）</w:t>
            </w:r>
          </w:p>
        </w:tc>
      </w:tr>
      <w:tr w14:paraId="5D86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0934C83E">
            <w:pPr>
              <w:adjustRightInd w:val="0"/>
              <w:snapToGrid w:val="0"/>
              <w:jc w:val="center"/>
              <w:rPr>
                <w:rFonts w:hint="default"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val="en-US" w:eastAsia="zh-CN" w:bidi="ar"/>
              </w:rPr>
              <w:t>11</w:t>
            </w:r>
          </w:p>
        </w:tc>
        <w:tc>
          <w:tcPr>
            <w:tcW w:w="1980" w:type="dxa"/>
            <w:vAlign w:val="center"/>
          </w:tcPr>
          <w:p w14:paraId="48F2B4E9">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信用情况</w:t>
            </w:r>
          </w:p>
        </w:tc>
        <w:tc>
          <w:tcPr>
            <w:tcW w:w="6477" w:type="dxa"/>
            <w:vAlign w:val="center"/>
          </w:tcPr>
          <w:p w14:paraId="221325F0">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1、信用记录查询时间及方式：</w:t>
            </w:r>
          </w:p>
          <w:p w14:paraId="53A3331D">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（1）查询时间：自招标公告发布日期起至开标日期止，超出此时间范围将被视为无效投标。</w:t>
            </w:r>
          </w:p>
          <w:p w14:paraId="36ECD1F4">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2）查询方式：投标人自行通过“信用中国”及“中国政府采购网”查询，并按招标文件要求提供网页材料。被列入失信被执行人、政府采购严重违法失信行为记录名单,其他不符合《中华人民共和国政府采购法》第二十二条规定条件的供应商，其投标文件将被视为无效投标。未提供证明材料的视为不响应招标文件。</w:t>
            </w:r>
          </w:p>
          <w:p w14:paraId="626DFED6">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（3）供应商参加政府采购活动时，应当就自己的诚信情况在响应性文件中进行承诺。</w:t>
            </w:r>
          </w:p>
          <w:p w14:paraId="3365A563">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eastAsia="zh-CN" w:bidi="ar"/>
              </w:rPr>
              <w:t>（</w:t>
            </w:r>
            <w:r>
              <w:rPr>
                <w:rFonts w:hint="eastAsia" w:ascii="宋体" w:hAnsi="宋体" w:cs="宋体"/>
                <w:bCs/>
                <w:color w:val="auto"/>
                <w:kern w:val="0"/>
                <w:sz w:val="24"/>
                <w:szCs w:val="24"/>
                <w:lang w:val="en-US" w:eastAsia="zh-CN" w:bidi="ar"/>
              </w:rPr>
              <w:t>4</w:t>
            </w:r>
            <w:r>
              <w:rPr>
                <w:rFonts w:hint="eastAsia" w:ascii="宋体" w:hAnsi="宋体" w:cs="宋体"/>
                <w:bCs/>
                <w:color w:val="auto"/>
                <w:kern w:val="0"/>
                <w:sz w:val="24"/>
                <w:szCs w:val="24"/>
                <w:lang w:eastAsia="zh-CN" w:bidi="ar"/>
              </w:rPr>
              <w:t>）</w:t>
            </w:r>
            <w:r>
              <w:rPr>
                <w:rFonts w:hint="eastAsia" w:ascii="宋体" w:hAnsi="宋体" w:cs="宋体"/>
                <w:bCs/>
                <w:color w:val="auto"/>
                <w:kern w:val="0"/>
                <w:sz w:val="24"/>
                <w:szCs w:val="24"/>
                <w:lang w:bidi="ar"/>
              </w:rPr>
              <w:t>本项目不接受失信企业投标。</w:t>
            </w:r>
          </w:p>
        </w:tc>
      </w:tr>
      <w:tr w14:paraId="027B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1041371B">
            <w:pPr>
              <w:adjustRightInd w:val="0"/>
              <w:snapToGrid w:val="0"/>
              <w:jc w:val="center"/>
              <w:rPr>
                <w:rFonts w:hint="default"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val="en-US" w:eastAsia="zh-CN" w:bidi="ar"/>
              </w:rPr>
              <w:t>12</w:t>
            </w:r>
          </w:p>
        </w:tc>
        <w:tc>
          <w:tcPr>
            <w:tcW w:w="1980" w:type="dxa"/>
            <w:vAlign w:val="center"/>
          </w:tcPr>
          <w:p w14:paraId="30EBCC32">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标前准备</w:t>
            </w:r>
          </w:p>
        </w:tc>
        <w:tc>
          <w:tcPr>
            <w:tcW w:w="6477" w:type="dxa"/>
            <w:vAlign w:val="center"/>
          </w:tcPr>
          <w:p w14:paraId="61055548">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 xml:space="preserve">1、本项目实行网上投标，采用电子投标文件。若供应商参与投标，自行承担投标一切费用。 </w:t>
            </w:r>
          </w:p>
          <w:p w14:paraId="24A59110">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 xml:space="preserve">2、各供应商应在开标前应确保成为新疆维吾尔自治区政府采购网正式注册入库供应商，并完成CA数字证书申领。因未注册入库、未办理CA数字证书等原因造成无法投标或投标失败等后果由供应商自行承担。 </w:t>
            </w:r>
          </w:p>
          <w:p w14:paraId="7EBAC77C">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5E83D47C">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tc>
      </w:tr>
      <w:tr w14:paraId="0B9E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275" w:type="dxa"/>
            <w:vAlign w:val="center"/>
          </w:tcPr>
          <w:p w14:paraId="5685AE08">
            <w:pPr>
              <w:adjustRightInd w:val="0"/>
              <w:snapToGrid w:val="0"/>
              <w:jc w:val="center"/>
              <w:rPr>
                <w:rFonts w:hint="default"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val="en-US" w:eastAsia="zh-CN" w:bidi="ar"/>
              </w:rPr>
              <w:t>13</w:t>
            </w:r>
          </w:p>
        </w:tc>
        <w:tc>
          <w:tcPr>
            <w:tcW w:w="1980" w:type="dxa"/>
            <w:vAlign w:val="center"/>
          </w:tcPr>
          <w:p w14:paraId="617240CC">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资金来源</w:t>
            </w:r>
          </w:p>
        </w:tc>
        <w:tc>
          <w:tcPr>
            <w:tcW w:w="6477" w:type="dxa"/>
            <w:vAlign w:val="center"/>
          </w:tcPr>
          <w:p w14:paraId="772CC56C">
            <w:pPr>
              <w:adjustRightInd w:val="0"/>
              <w:snapToGrid w:val="0"/>
              <w:jc w:val="left"/>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财政资金</w:t>
            </w:r>
          </w:p>
        </w:tc>
      </w:tr>
      <w:tr w14:paraId="4091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61AB98A4">
            <w:pPr>
              <w:adjustRightInd w:val="0"/>
              <w:snapToGrid w:val="0"/>
              <w:jc w:val="center"/>
              <w:rPr>
                <w:rFonts w:hint="default"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val="en-US" w:eastAsia="zh-CN" w:bidi="ar"/>
              </w:rPr>
              <w:t>14</w:t>
            </w:r>
          </w:p>
        </w:tc>
        <w:tc>
          <w:tcPr>
            <w:tcW w:w="1980" w:type="dxa"/>
            <w:vAlign w:val="center"/>
          </w:tcPr>
          <w:p w14:paraId="0F0BB408">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投标有效期</w:t>
            </w:r>
          </w:p>
        </w:tc>
        <w:tc>
          <w:tcPr>
            <w:tcW w:w="6477" w:type="dxa"/>
            <w:vAlign w:val="center"/>
          </w:tcPr>
          <w:p w14:paraId="4F065253">
            <w:pPr>
              <w:adjustRightInd w:val="0"/>
              <w:snapToGrid w:val="0"/>
              <w:jc w:val="left"/>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90天（日历日）</w:t>
            </w:r>
          </w:p>
        </w:tc>
      </w:tr>
      <w:tr w14:paraId="3361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18F5263B">
            <w:pPr>
              <w:adjustRightInd w:val="0"/>
              <w:snapToGrid w:val="0"/>
              <w:jc w:val="center"/>
              <w:rPr>
                <w:rFonts w:hint="eastAsia" w:ascii="宋体" w:hAnsi="宋体" w:eastAsia="宋体" w:cs="宋体"/>
                <w:bCs/>
                <w:color w:val="auto"/>
                <w:kern w:val="0"/>
                <w:sz w:val="24"/>
                <w:szCs w:val="24"/>
                <w:lang w:eastAsia="zh-CN" w:bidi="ar"/>
              </w:rPr>
            </w:pPr>
            <w:r>
              <w:rPr>
                <w:rFonts w:hint="eastAsia" w:ascii="宋体" w:hAnsi="宋体" w:cs="宋体"/>
                <w:bCs/>
                <w:color w:val="auto"/>
                <w:kern w:val="0"/>
                <w:sz w:val="24"/>
                <w:szCs w:val="24"/>
                <w:lang w:bidi="ar"/>
              </w:rPr>
              <w:t>1</w:t>
            </w:r>
            <w:r>
              <w:rPr>
                <w:rFonts w:hint="eastAsia" w:ascii="宋体" w:hAnsi="宋体" w:cs="宋体"/>
                <w:bCs/>
                <w:color w:val="auto"/>
                <w:kern w:val="0"/>
                <w:sz w:val="24"/>
                <w:szCs w:val="24"/>
                <w:lang w:val="en-US" w:eastAsia="zh-CN" w:bidi="ar"/>
              </w:rPr>
              <w:t>5</w:t>
            </w:r>
          </w:p>
        </w:tc>
        <w:tc>
          <w:tcPr>
            <w:tcW w:w="1980" w:type="dxa"/>
            <w:vAlign w:val="center"/>
          </w:tcPr>
          <w:p w14:paraId="0FC87503">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招标文件发放</w:t>
            </w:r>
          </w:p>
        </w:tc>
        <w:tc>
          <w:tcPr>
            <w:tcW w:w="6477" w:type="dxa"/>
            <w:vAlign w:val="center"/>
          </w:tcPr>
          <w:p w14:paraId="4B23ECEC">
            <w:pPr>
              <w:adjustRightInd w:val="0"/>
              <w:snapToGrid w:val="0"/>
              <w:jc w:val="left"/>
              <w:rPr>
                <w:rFonts w:hint="eastAsia" w:ascii="宋体" w:hAnsi="宋体" w:eastAsia="宋体" w:cs="宋体"/>
                <w:bCs/>
                <w:color w:val="auto"/>
                <w:kern w:val="0"/>
                <w:sz w:val="24"/>
                <w:szCs w:val="24"/>
                <w:lang w:eastAsia="zh-CN" w:bidi="ar"/>
              </w:rPr>
            </w:pPr>
            <w:r>
              <w:rPr>
                <w:rFonts w:hint="eastAsia" w:ascii="宋体" w:hAnsi="宋体" w:cs="宋体"/>
                <w:bCs/>
                <w:color w:val="auto"/>
                <w:kern w:val="0"/>
                <w:sz w:val="24"/>
                <w:szCs w:val="24"/>
                <w:lang w:bidi="ar"/>
              </w:rPr>
              <w:t>时间：</w:t>
            </w:r>
            <w:r>
              <w:rPr>
                <w:rFonts w:hint="eastAsia" w:ascii="宋体" w:hAnsi="宋体" w:cs="宋体"/>
                <w:color w:val="auto"/>
                <w:kern w:val="0"/>
                <w:sz w:val="24"/>
                <w:szCs w:val="24"/>
                <w:lang w:eastAsia="zh-CN"/>
              </w:rPr>
              <w:t>2025年0</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lang w:eastAsia="zh-CN"/>
              </w:rPr>
              <w:t>月</w:t>
            </w:r>
            <w:r>
              <w:rPr>
                <w:rFonts w:hint="eastAsia" w:ascii="宋体" w:hAnsi="宋体" w:cs="宋体"/>
                <w:color w:val="auto"/>
                <w:kern w:val="0"/>
                <w:sz w:val="24"/>
                <w:szCs w:val="24"/>
                <w:lang w:val="en-US" w:eastAsia="zh-CN"/>
              </w:rPr>
              <w:t>27</w:t>
            </w:r>
            <w:r>
              <w:rPr>
                <w:rFonts w:hint="eastAsia" w:ascii="宋体" w:hAnsi="宋体" w:cs="宋体"/>
                <w:color w:val="auto"/>
                <w:kern w:val="0"/>
                <w:sz w:val="24"/>
                <w:szCs w:val="24"/>
                <w:lang w:eastAsia="zh-CN"/>
              </w:rPr>
              <w:t>日至2025年0</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lang w:eastAsia="zh-CN"/>
              </w:rPr>
              <w:t>月</w:t>
            </w:r>
            <w:r>
              <w:rPr>
                <w:rFonts w:hint="eastAsia" w:ascii="宋体" w:hAnsi="宋体" w:cs="宋体"/>
                <w:color w:val="auto"/>
                <w:kern w:val="0"/>
                <w:sz w:val="24"/>
                <w:szCs w:val="24"/>
                <w:lang w:val="en-US" w:eastAsia="zh-CN"/>
              </w:rPr>
              <w:t>06</w:t>
            </w:r>
            <w:r>
              <w:rPr>
                <w:rFonts w:hint="eastAsia" w:ascii="宋体" w:hAnsi="宋体" w:cs="宋体"/>
                <w:color w:val="auto"/>
                <w:kern w:val="0"/>
                <w:sz w:val="24"/>
                <w:szCs w:val="24"/>
                <w:lang w:eastAsia="zh-CN"/>
              </w:rPr>
              <w:t>日</w:t>
            </w:r>
          </w:p>
          <w:p w14:paraId="0FC27DD1">
            <w:pPr>
              <w:adjustRightInd w:val="0"/>
              <w:snapToGrid w:val="0"/>
              <w:jc w:val="left"/>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地点：供应商登录政采云平台https://www.zcygov.cn/在线申请获取采购文件（进入“项目采购”应用，在获取采购文件菜单中选择项目，申请获取采购文件）</w:t>
            </w:r>
          </w:p>
        </w:tc>
      </w:tr>
      <w:tr w14:paraId="3245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3DE61F4B">
            <w:pPr>
              <w:adjustRightInd w:val="0"/>
              <w:snapToGrid w:val="0"/>
              <w:jc w:val="center"/>
              <w:rPr>
                <w:rFonts w:hint="eastAsia" w:ascii="宋体" w:hAnsi="宋体" w:eastAsia="宋体" w:cs="宋体"/>
                <w:bCs/>
                <w:color w:val="auto"/>
                <w:kern w:val="0"/>
                <w:sz w:val="24"/>
                <w:szCs w:val="24"/>
                <w:lang w:eastAsia="zh-CN" w:bidi="ar"/>
              </w:rPr>
            </w:pPr>
            <w:r>
              <w:rPr>
                <w:rFonts w:hint="eastAsia" w:ascii="宋体" w:hAnsi="宋体" w:cs="宋体"/>
                <w:bCs/>
                <w:color w:val="auto"/>
                <w:kern w:val="0"/>
                <w:sz w:val="24"/>
                <w:szCs w:val="24"/>
                <w:lang w:bidi="ar"/>
              </w:rPr>
              <w:t>1</w:t>
            </w:r>
            <w:r>
              <w:rPr>
                <w:rFonts w:hint="eastAsia" w:ascii="宋体" w:hAnsi="宋体" w:cs="宋体"/>
                <w:bCs/>
                <w:color w:val="auto"/>
                <w:kern w:val="0"/>
                <w:sz w:val="24"/>
                <w:szCs w:val="24"/>
                <w:lang w:val="en-US" w:eastAsia="zh-CN" w:bidi="ar"/>
              </w:rPr>
              <w:t>6</w:t>
            </w:r>
          </w:p>
        </w:tc>
        <w:tc>
          <w:tcPr>
            <w:tcW w:w="1980" w:type="dxa"/>
            <w:vAlign w:val="center"/>
          </w:tcPr>
          <w:p w14:paraId="404B62A1">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投标截止时间</w:t>
            </w:r>
          </w:p>
        </w:tc>
        <w:tc>
          <w:tcPr>
            <w:tcW w:w="6477" w:type="dxa"/>
            <w:vAlign w:val="center"/>
          </w:tcPr>
          <w:p w14:paraId="271380EC">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eastAsia="zh-CN" w:bidi="ar"/>
              </w:rPr>
              <w:t>2025年07月07日11：00</w:t>
            </w:r>
            <w:r>
              <w:rPr>
                <w:rFonts w:hint="eastAsia" w:ascii="宋体" w:hAnsi="宋体" w:cs="宋体"/>
                <w:bCs/>
                <w:color w:val="auto"/>
                <w:kern w:val="0"/>
                <w:sz w:val="24"/>
                <w:szCs w:val="24"/>
                <w:lang w:bidi="ar"/>
              </w:rPr>
              <w:t>（北京时间）</w:t>
            </w:r>
          </w:p>
        </w:tc>
      </w:tr>
      <w:tr w14:paraId="5EE6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3624E525">
            <w:pPr>
              <w:adjustRightInd w:val="0"/>
              <w:snapToGrid w:val="0"/>
              <w:jc w:val="center"/>
              <w:rPr>
                <w:rFonts w:hint="eastAsia" w:ascii="宋体" w:hAnsi="宋体" w:eastAsia="宋体" w:cs="宋体"/>
                <w:bCs/>
                <w:color w:val="auto"/>
                <w:kern w:val="0"/>
                <w:sz w:val="24"/>
                <w:szCs w:val="24"/>
                <w:lang w:eastAsia="zh-CN" w:bidi="ar"/>
              </w:rPr>
            </w:pPr>
            <w:r>
              <w:rPr>
                <w:rFonts w:hint="eastAsia" w:ascii="宋体" w:hAnsi="宋体" w:cs="宋体"/>
                <w:bCs/>
                <w:color w:val="auto"/>
                <w:kern w:val="0"/>
                <w:sz w:val="24"/>
                <w:szCs w:val="24"/>
                <w:lang w:bidi="ar"/>
              </w:rPr>
              <w:t>1</w:t>
            </w:r>
            <w:r>
              <w:rPr>
                <w:rFonts w:hint="eastAsia" w:ascii="宋体" w:hAnsi="宋体" w:cs="宋体"/>
                <w:bCs/>
                <w:color w:val="auto"/>
                <w:kern w:val="0"/>
                <w:sz w:val="24"/>
                <w:szCs w:val="24"/>
                <w:lang w:val="en-US" w:eastAsia="zh-CN" w:bidi="ar"/>
              </w:rPr>
              <w:t>7</w:t>
            </w:r>
          </w:p>
        </w:tc>
        <w:tc>
          <w:tcPr>
            <w:tcW w:w="1980" w:type="dxa"/>
            <w:vAlign w:val="center"/>
          </w:tcPr>
          <w:p w14:paraId="40779CB9">
            <w:pPr>
              <w:adjustRightInd w:val="0"/>
              <w:snapToGrid w:val="0"/>
              <w:jc w:val="left"/>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递交投标文件的地点及方式</w:t>
            </w:r>
          </w:p>
        </w:tc>
        <w:tc>
          <w:tcPr>
            <w:tcW w:w="6477" w:type="dxa"/>
            <w:vAlign w:val="center"/>
          </w:tcPr>
          <w:p w14:paraId="47C44EB5">
            <w:pPr>
              <w:adjustRightInd w:val="0"/>
              <w:snapToGrid w:val="0"/>
              <w:jc w:val="left"/>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投标人应于</w:t>
            </w:r>
            <w:r>
              <w:rPr>
                <w:rFonts w:hint="eastAsia" w:ascii="宋体" w:hAnsi="宋体" w:cs="宋体"/>
                <w:bCs/>
                <w:color w:val="auto"/>
                <w:kern w:val="0"/>
                <w:sz w:val="24"/>
                <w:szCs w:val="24"/>
                <w:lang w:eastAsia="zh-CN" w:bidi="ar"/>
              </w:rPr>
              <w:t>2025年07月07日11：00</w:t>
            </w:r>
            <w:r>
              <w:rPr>
                <w:rFonts w:hint="eastAsia" w:ascii="宋体" w:hAnsi="宋体" w:cs="宋体"/>
                <w:bCs/>
                <w:color w:val="auto"/>
                <w:kern w:val="0"/>
                <w:sz w:val="24"/>
                <w:szCs w:val="24"/>
                <w:lang w:bidi="ar"/>
              </w:rPr>
              <w:t>之前将电子投标文件上传到“政采云”平台。应按照本项目招标文件和政采云的要求编制、加密传输投标文件。供应商在使用系统进行投标的过程中遇到涉及平台使用的任何问题，可致电政采云平台技术支持热线咨询，联系方式：400-881-7190。</w:t>
            </w:r>
          </w:p>
          <w:p w14:paraId="510C4600">
            <w:pPr>
              <w:adjustRightInd w:val="0"/>
              <w:snapToGrid w:val="0"/>
              <w:jc w:val="left"/>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注：本项目采用“不见面”方式开标，如招标文件或招标公告中存在与“不见面”开标方式矛盾或不一致的规定或要求，均自动失效。</w:t>
            </w:r>
          </w:p>
        </w:tc>
      </w:tr>
      <w:tr w14:paraId="064A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75" w:type="dxa"/>
            <w:vAlign w:val="center"/>
          </w:tcPr>
          <w:p w14:paraId="46755136">
            <w:pPr>
              <w:adjustRightInd w:val="0"/>
              <w:snapToGrid w:val="0"/>
              <w:jc w:val="center"/>
              <w:rPr>
                <w:rFonts w:hint="eastAsia" w:ascii="宋体" w:hAnsi="宋体" w:eastAsia="宋体" w:cs="宋体"/>
                <w:bCs/>
                <w:color w:val="auto"/>
                <w:kern w:val="0"/>
                <w:sz w:val="24"/>
                <w:szCs w:val="24"/>
                <w:lang w:eastAsia="zh-CN" w:bidi="ar"/>
              </w:rPr>
            </w:pPr>
            <w:r>
              <w:rPr>
                <w:rFonts w:hint="eastAsia" w:ascii="宋体" w:hAnsi="宋体" w:cs="宋体"/>
                <w:bCs/>
                <w:color w:val="auto"/>
                <w:kern w:val="0"/>
                <w:sz w:val="24"/>
                <w:szCs w:val="24"/>
                <w:lang w:bidi="ar"/>
              </w:rPr>
              <w:t>1</w:t>
            </w:r>
            <w:r>
              <w:rPr>
                <w:rFonts w:hint="eastAsia" w:ascii="宋体" w:hAnsi="宋体" w:cs="宋体"/>
                <w:bCs/>
                <w:color w:val="auto"/>
                <w:kern w:val="0"/>
                <w:sz w:val="24"/>
                <w:szCs w:val="24"/>
                <w:lang w:val="en-US" w:eastAsia="zh-CN" w:bidi="ar"/>
              </w:rPr>
              <w:t>8</w:t>
            </w:r>
          </w:p>
        </w:tc>
        <w:tc>
          <w:tcPr>
            <w:tcW w:w="1980" w:type="dxa"/>
            <w:vAlign w:val="center"/>
          </w:tcPr>
          <w:p w14:paraId="1DB96F9E">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投标文件解密时间</w:t>
            </w:r>
          </w:p>
        </w:tc>
        <w:tc>
          <w:tcPr>
            <w:tcW w:w="6477" w:type="dxa"/>
            <w:vAlign w:val="center"/>
          </w:tcPr>
          <w:p w14:paraId="6DFBC28F">
            <w:pPr>
              <w:adjustRightInd w:val="0"/>
              <w:snapToGrid w:val="0"/>
              <w:jc w:val="left"/>
              <w:rPr>
                <w:rFonts w:hint="eastAsia" w:ascii="宋体" w:hAnsi="宋体" w:cs="宋体"/>
                <w:b/>
                <w:color w:val="auto"/>
                <w:kern w:val="0"/>
                <w:sz w:val="24"/>
                <w:szCs w:val="24"/>
                <w:lang w:bidi="ar"/>
              </w:rPr>
            </w:pPr>
            <w:r>
              <w:rPr>
                <w:rFonts w:hint="eastAsia" w:ascii="宋体" w:hAnsi="宋体" w:cs="宋体"/>
                <w:b/>
                <w:color w:val="auto"/>
                <w:kern w:val="0"/>
                <w:sz w:val="24"/>
                <w:szCs w:val="24"/>
                <w:lang w:bidi="ar"/>
              </w:rPr>
              <w:t>1、投标截止时间后，供应商应及时登录“政采云”平台，用“项目采购-开标评标”功能对投标文件进行解密。规定的解密时限为：</w:t>
            </w:r>
            <w:r>
              <w:rPr>
                <w:rFonts w:hint="eastAsia" w:ascii="宋体" w:hAnsi="宋体" w:cs="宋体"/>
                <w:b/>
                <w:color w:val="auto"/>
                <w:kern w:val="0"/>
                <w:sz w:val="24"/>
                <w:szCs w:val="24"/>
                <w:lang w:eastAsia="zh-CN" w:bidi="ar"/>
              </w:rPr>
              <w:t>2025年07月07日11：00-11：30前</w:t>
            </w:r>
            <w:r>
              <w:rPr>
                <w:rFonts w:hint="eastAsia" w:ascii="宋体" w:hAnsi="宋体" w:cs="宋体"/>
                <w:b/>
                <w:color w:val="auto"/>
                <w:kern w:val="0"/>
                <w:sz w:val="24"/>
                <w:szCs w:val="24"/>
                <w:lang w:bidi="ar"/>
              </w:rPr>
              <w:t>（30分钟内），若供应商在规定时间内（</w:t>
            </w:r>
            <w:r>
              <w:rPr>
                <w:rFonts w:hint="eastAsia" w:ascii="宋体" w:hAnsi="宋体" w:cs="宋体"/>
                <w:b/>
                <w:color w:val="auto"/>
                <w:kern w:val="0"/>
                <w:sz w:val="24"/>
                <w:szCs w:val="24"/>
                <w:lang w:eastAsia="zh-CN" w:bidi="ar"/>
              </w:rPr>
              <w:t>2025年07月07日11：00-11：30前</w:t>
            </w:r>
            <w:r>
              <w:rPr>
                <w:rFonts w:hint="eastAsia" w:ascii="宋体" w:hAnsi="宋体" w:cs="宋体"/>
                <w:b/>
                <w:color w:val="auto"/>
                <w:kern w:val="0"/>
                <w:sz w:val="24"/>
                <w:szCs w:val="24"/>
                <w:lang w:bidi="ar"/>
              </w:rPr>
              <w:t>）未能解密的，视为供应商对其投标文件的撤回。</w:t>
            </w:r>
          </w:p>
          <w:p w14:paraId="6E63D0B2">
            <w:pPr>
              <w:adjustRightInd w:val="0"/>
              <w:snapToGrid w:val="0"/>
              <w:rPr>
                <w:rFonts w:hint="eastAsia" w:ascii="宋体" w:hAnsi="宋体" w:cs="宋体"/>
                <w:bCs/>
                <w:color w:val="auto"/>
                <w:kern w:val="0"/>
                <w:sz w:val="24"/>
                <w:szCs w:val="24"/>
                <w:lang w:bidi="ar"/>
              </w:rPr>
            </w:pPr>
            <w:r>
              <w:rPr>
                <w:rFonts w:hint="eastAsia" w:ascii="宋体" w:hAnsi="宋体" w:cs="宋体"/>
                <w:b/>
                <w:color w:val="auto"/>
                <w:sz w:val="24"/>
                <w:szCs w:val="24"/>
              </w:rPr>
              <w:t>2、因系统（非投标供应商行为）的原因，造成投标供应商未能在规定的解密时限内解密的，请及时与招标代理机构或与新疆政府采购网投标客户端进行联系。</w:t>
            </w:r>
          </w:p>
        </w:tc>
      </w:tr>
      <w:tr w14:paraId="2B5E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68B1E688">
            <w:pPr>
              <w:adjustRightInd w:val="0"/>
              <w:snapToGrid w:val="0"/>
              <w:jc w:val="center"/>
              <w:rPr>
                <w:rFonts w:hint="eastAsia" w:ascii="宋体" w:hAnsi="宋体" w:eastAsia="宋体" w:cs="宋体"/>
                <w:bCs/>
                <w:color w:val="auto"/>
                <w:kern w:val="0"/>
                <w:sz w:val="24"/>
                <w:szCs w:val="24"/>
                <w:lang w:eastAsia="zh-CN" w:bidi="ar"/>
              </w:rPr>
            </w:pPr>
            <w:r>
              <w:rPr>
                <w:rFonts w:hint="eastAsia" w:ascii="宋体" w:hAnsi="宋体" w:cs="宋体"/>
                <w:bCs/>
                <w:color w:val="auto"/>
                <w:kern w:val="0"/>
                <w:sz w:val="24"/>
                <w:szCs w:val="24"/>
                <w:lang w:bidi="ar"/>
              </w:rPr>
              <w:t>1</w:t>
            </w:r>
            <w:r>
              <w:rPr>
                <w:rFonts w:hint="eastAsia" w:ascii="宋体" w:hAnsi="宋体" w:cs="宋体"/>
                <w:bCs/>
                <w:color w:val="auto"/>
                <w:kern w:val="0"/>
                <w:sz w:val="24"/>
                <w:szCs w:val="24"/>
                <w:lang w:val="en-US" w:eastAsia="zh-CN" w:bidi="ar"/>
              </w:rPr>
              <w:t>9</w:t>
            </w:r>
          </w:p>
        </w:tc>
        <w:tc>
          <w:tcPr>
            <w:tcW w:w="1980" w:type="dxa"/>
            <w:vAlign w:val="center"/>
          </w:tcPr>
          <w:p w14:paraId="0BE5E08D">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备选投标方案和报价</w:t>
            </w:r>
          </w:p>
        </w:tc>
        <w:tc>
          <w:tcPr>
            <w:tcW w:w="6477" w:type="dxa"/>
            <w:vAlign w:val="center"/>
          </w:tcPr>
          <w:p w14:paraId="0CE43F57">
            <w:pPr>
              <w:adjustRightInd w:val="0"/>
              <w:snapToGrid w:val="0"/>
              <w:rPr>
                <w:rFonts w:hint="eastAsia" w:ascii="宋体" w:hAnsi="宋体" w:cs="宋体"/>
                <w:b/>
                <w:color w:val="auto"/>
                <w:sz w:val="24"/>
                <w:szCs w:val="24"/>
              </w:rPr>
            </w:pPr>
            <w:r>
              <w:rPr>
                <w:rFonts w:hint="eastAsia" w:ascii="宋体" w:hAnsi="宋体" w:cs="宋体"/>
                <w:bCs/>
                <w:color w:val="auto"/>
                <w:sz w:val="24"/>
                <w:szCs w:val="24"/>
              </w:rPr>
              <w:t>报价应包括采购货物、运输、装卸、验收、开具发票和相关售后等服务；不接受备选投标方案和多个报价。</w:t>
            </w:r>
          </w:p>
        </w:tc>
      </w:tr>
      <w:tr w14:paraId="02B6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Align w:val="center"/>
          </w:tcPr>
          <w:p w14:paraId="6B85D0E3">
            <w:pPr>
              <w:adjustRightInd w:val="0"/>
              <w:snapToGrid w:val="0"/>
              <w:jc w:val="center"/>
              <w:rPr>
                <w:rFonts w:hint="default"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val="en-US" w:eastAsia="zh-CN" w:bidi="ar"/>
              </w:rPr>
              <w:t>20</w:t>
            </w:r>
          </w:p>
        </w:tc>
        <w:tc>
          <w:tcPr>
            <w:tcW w:w="1980" w:type="dxa"/>
            <w:vAlign w:val="center"/>
          </w:tcPr>
          <w:p w14:paraId="07AB97E5">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采购预算金额（最高限价）</w:t>
            </w:r>
          </w:p>
        </w:tc>
        <w:tc>
          <w:tcPr>
            <w:tcW w:w="6477" w:type="dxa"/>
            <w:vAlign w:val="center"/>
          </w:tcPr>
          <w:p w14:paraId="5CEED061">
            <w:pPr>
              <w:adjustRightInd w:val="0"/>
              <w:snapToGrid w:val="0"/>
              <w:rPr>
                <w:rFonts w:hint="eastAsia" w:ascii="宋体" w:hAnsi="宋体" w:eastAsia="宋体" w:cs="宋体"/>
                <w:b/>
                <w:color w:val="auto"/>
                <w:sz w:val="24"/>
                <w:szCs w:val="24"/>
                <w:lang w:eastAsia="zh-CN"/>
              </w:rPr>
            </w:pPr>
            <w:r>
              <w:rPr>
                <w:rFonts w:hint="eastAsia" w:ascii="宋体" w:hAnsi="宋体" w:cs="宋体"/>
                <w:b/>
                <w:color w:val="auto"/>
                <w:sz w:val="24"/>
                <w:szCs w:val="24"/>
              </w:rPr>
              <w:t>预算金额：</w:t>
            </w:r>
            <w:r>
              <w:rPr>
                <w:rFonts w:hint="eastAsia" w:ascii="宋体" w:hAnsi="宋体" w:cs="宋体"/>
                <w:b/>
                <w:color w:val="auto"/>
                <w:sz w:val="24"/>
                <w:szCs w:val="24"/>
                <w:lang w:eastAsia="zh-CN"/>
              </w:rPr>
              <w:t>29万元</w:t>
            </w:r>
          </w:p>
          <w:p w14:paraId="50BD0F2D">
            <w:pPr>
              <w:adjustRightInd w:val="0"/>
              <w:snapToGrid w:val="0"/>
              <w:rPr>
                <w:rFonts w:hint="eastAsia" w:ascii="宋体" w:hAnsi="宋体" w:eastAsia="宋体" w:cs="宋体"/>
                <w:b/>
                <w:color w:val="auto"/>
                <w:sz w:val="24"/>
                <w:szCs w:val="24"/>
                <w:lang w:eastAsia="zh-CN"/>
              </w:rPr>
            </w:pPr>
            <w:r>
              <w:rPr>
                <w:rFonts w:hint="eastAsia" w:ascii="宋体" w:hAnsi="宋体" w:cs="宋体"/>
                <w:b/>
                <w:color w:val="auto"/>
                <w:sz w:val="24"/>
                <w:szCs w:val="24"/>
              </w:rPr>
              <w:t>最高限价：</w:t>
            </w:r>
            <w:r>
              <w:rPr>
                <w:rFonts w:hint="eastAsia" w:ascii="宋体" w:hAnsi="宋体" w:cs="宋体"/>
                <w:b/>
                <w:color w:val="auto"/>
                <w:sz w:val="24"/>
                <w:szCs w:val="24"/>
                <w:lang w:eastAsia="zh-CN"/>
              </w:rPr>
              <w:t>29万元</w:t>
            </w:r>
          </w:p>
          <w:p w14:paraId="7FFC0770">
            <w:pPr>
              <w:adjustRightInd w:val="0"/>
              <w:snapToGrid w:val="0"/>
              <w:rPr>
                <w:rFonts w:hint="eastAsia" w:ascii="宋体" w:hAnsi="宋体" w:cs="宋体"/>
                <w:b/>
                <w:color w:val="auto"/>
                <w:sz w:val="24"/>
                <w:szCs w:val="24"/>
              </w:rPr>
            </w:pPr>
            <w:r>
              <w:rPr>
                <w:rFonts w:hint="eastAsia" w:ascii="宋体" w:hAnsi="宋体" w:cs="宋体"/>
                <w:b/>
                <w:color w:val="auto"/>
                <w:sz w:val="24"/>
                <w:szCs w:val="24"/>
              </w:rPr>
              <w:t>注：报价应包含：人员工资、法定的社会保险、法定税费、管理费、节假日福利、加班费、服装费、工具折旧费、日常耗材费、利润等（含为完成采购文件规定的服务工作所涉及到的一切相关费用），包括完成该项目采购需求范围内服务等全部内容所需的费用。</w:t>
            </w:r>
          </w:p>
        </w:tc>
      </w:tr>
      <w:tr w14:paraId="1C02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vAlign w:val="center"/>
          </w:tcPr>
          <w:p w14:paraId="260B1708">
            <w:pPr>
              <w:adjustRightInd w:val="0"/>
              <w:snapToGrid w:val="0"/>
              <w:jc w:val="center"/>
              <w:rPr>
                <w:rFonts w:hint="default"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val="en-US" w:eastAsia="zh-CN" w:bidi="ar"/>
              </w:rPr>
              <w:t>21</w:t>
            </w:r>
          </w:p>
        </w:tc>
        <w:tc>
          <w:tcPr>
            <w:tcW w:w="1980" w:type="dxa"/>
            <w:vAlign w:val="center"/>
          </w:tcPr>
          <w:p w14:paraId="127F4968">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投标报价</w:t>
            </w:r>
          </w:p>
        </w:tc>
        <w:tc>
          <w:tcPr>
            <w:tcW w:w="6477" w:type="dxa"/>
            <w:vAlign w:val="center"/>
          </w:tcPr>
          <w:p w14:paraId="382FC770">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针对响应文件的商务、技术和价格等内容进行磋商并提交二次报价，最终报价以二次报价为准（二次报价不得高于一次报价，否则以否决投标处理）。 </w:t>
            </w:r>
          </w:p>
        </w:tc>
      </w:tr>
      <w:tr w14:paraId="3398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75" w:type="dxa"/>
            <w:vAlign w:val="center"/>
          </w:tcPr>
          <w:p w14:paraId="38DA94A5">
            <w:pPr>
              <w:adjustRightInd w:val="0"/>
              <w:snapToGrid w:val="0"/>
              <w:jc w:val="center"/>
              <w:rPr>
                <w:rFonts w:hint="default"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val="en-US" w:eastAsia="zh-CN" w:bidi="ar"/>
              </w:rPr>
              <w:t>22</w:t>
            </w:r>
          </w:p>
        </w:tc>
        <w:tc>
          <w:tcPr>
            <w:tcW w:w="1980" w:type="dxa"/>
            <w:vAlign w:val="center"/>
          </w:tcPr>
          <w:p w14:paraId="34855070">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评标办法</w:t>
            </w:r>
          </w:p>
        </w:tc>
        <w:tc>
          <w:tcPr>
            <w:tcW w:w="6477" w:type="dxa"/>
            <w:vAlign w:val="center"/>
          </w:tcPr>
          <w:p w14:paraId="796BB200">
            <w:pPr>
              <w:adjustRightInd w:val="0"/>
              <w:snapToGrid w:val="0"/>
              <w:jc w:val="left"/>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综合评分法</w:t>
            </w:r>
          </w:p>
        </w:tc>
      </w:tr>
      <w:tr w14:paraId="0473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75" w:type="dxa"/>
            <w:vAlign w:val="center"/>
          </w:tcPr>
          <w:p w14:paraId="7FFD7EB5">
            <w:pPr>
              <w:adjustRightInd w:val="0"/>
              <w:snapToGrid w:val="0"/>
              <w:jc w:val="center"/>
              <w:rPr>
                <w:rFonts w:hint="default"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val="en-US" w:eastAsia="zh-CN" w:bidi="ar"/>
              </w:rPr>
              <w:t>23</w:t>
            </w:r>
          </w:p>
        </w:tc>
        <w:tc>
          <w:tcPr>
            <w:tcW w:w="1980" w:type="dxa"/>
            <w:vAlign w:val="center"/>
          </w:tcPr>
          <w:p w14:paraId="3AF2DEB0">
            <w:pPr>
              <w:jc w:val="center"/>
              <w:rPr>
                <w:rFonts w:hint="eastAsia" w:ascii="宋体" w:hAnsi="宋体" w:cs="宋体"/>
                <w:bCs/>
                <w:color w:val="auto"/>
                <w:kern w:val="0"/>
                <w:sz w:val="24"/>
                <w:szCs w:val="24"/>
                <w:lang w:bidi="ar"/>
              </w:rPr>
            </w:pPr>
            <w:r>
              <w:rPr>
                <w:rFonts w:hint="eastAsia" w:ascii="宋体" w:hAnsi="宋体" w:cs="宋体"/>
                <w:color w:val="auto"/>
                <w:sz w:val="24"/>
                <w:szCs w:val="24"/>
              </w:rPr>
              <w:t>评标委员会</w:t>
            </w:r>
          </w:p>
        </w:tc>
        <w:tc>
          <w:tcPr>
            <w:tcW w:w="6477" w:type="dxa"/>
            <w:vAlign w:val="center"/>
          </w:tcPr>
          <w:p w14:paraId="1255E660">
            <w:pPr>
              <w:jc w:val="left"/>
              <w:rPr>
                <w:rFonts w:hint="eastAsia" w:ascii="宋体" w:hAnsi="宋体" w:cs="宋体"/>
                <w:color w:val="auto"/>
                <w:sz w:val="24"/>
                <w:szCs w:val="24"/>
              </w:rPr>
            </w:pPr>
            <w:r>
              <w:rPr>
                <w:rFonts w:hint="eastAsia" w:ascii="宋体" w:hAnsi="宋体" w:cs="宋体"/>
                <w:color w:val="auto"/>
                <w:sz w:val="24"/>
                <w:szCs w:val="24"/>
              </w:rPr>
              <w:t>评标委员会构成：3人或3人以上单数组成，评标专家确定方式：由招标代理在开标前48小时在政采云专家库中随机抽取此次评标专家。</w:t>
            </w:r>
          </w:p>
        </w:tc>
      </w:tr>
      <w:tr w14:paraId="6A9B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75" w:type="dxa"/>
            <w:vAlign w:val="center"/>
          </w:tcPr>
          <w:p w14:paraId="6224917F">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24</w:t>
            </w:r>
          </w:p>
        </w:tc>
        <w:tc>
          <w:tcPr>
            <w:tcW w:w="1980" w:type="dxa"/>
            <w:vAlign w:val="center"/>
          </w:tcPr>
          <w:p w14:paraId="2FEEA455">
            <w:pPr>
              <w:jc w:val="center"/>
              <w:rPr>
                <w:rFonts w:hint="eastAsia" w:ascii="宋体" w:hAnsi="宋体" w:cs="宋体"/>
                <w:color w:val="auto"/>
                <w:sz w:val="24"/>
                <w:szCs w:val="24"/>
              </w:rPr>
            </w:pPr>
            <w:r>
              <w:rPr>
                <w:rFonts w:hint="eastAsia" w:ascii="宋体" w:hAnsi="宋体" w:cs="宋体"/>
                <w:color w:val="auto"/>
                <w:sz w:val="24"/>
                <w:szCs w:val="24"/>
              </w:rPr>
              <w:t>是否接受联合体投标</w:t>
            </w:r>
          </w:p>
        </w:tc>
        <w:tc>
          <w:tcPr>
            <w:tcW w:w="6477" w:type="dxa"/>
            <w:vAlign w:val="center"/>
          </w:tcPr>
          <w:p w14:paraId="712319A2">
            <w:pPr>
              <w:jc w:val="left"/>
              <w:rPr>
                <w:rFonts w:hint="eastAsia" w:ascii="宋体" w:hAnsi="宋体" w:cs="宋体"/>
                <w:color w:val="auto"/>
                <w:sz w:val="24"/>
                <w:szCs w:val="24"/>
              </w:rPr>
            </w:pPr>
            <w:r>
              <w:rPr>
                <w:rFonts w:hint="eastAsia" w:ascii="宋体" w:hAnsi="宋体" w:cs="宋体"/>
                <w:color w:val="auto"/>
                <w:sz w:val="24"/>
                <w:szCs w:val="24"/>
              </w:rPr>
              <w:t>不接受</w:t>
            </w:r>
          </w:p>
        </w:tc>
      </w:tr>
      <w:tr w14:paraId="3ADE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75" w:type="dxa"/>
            <w:vAlign w:val="center"/>
          </w:tcPr>
          <w:p w14:paraId="618CA06B">
            <w:pPr>
              <w:adjustRightInd w:val="0"/>
              <w:snapToGrid w:val="0"/>
              <w:jc w:val="center"/>
              <w:rPr>
                <w:rFonts w:hint="eastAsia" w:ascii="宋体" w:hAnsi="宋体" w:eastAsia="宋体" w:cs="宋体"/>
                <w:bCs/>
                <w:color w:val="auto"/>
                <w:kern w:val="0"/>
                <w:sz w:val="24"/>
                <w:szCs w:val="24"/>
                <w:lang w:eastAsia="zh-CN" w:bidi="ar"/>
              </w:rPr>
            </w:pPr>
            <w:r>
              <w:rPr>
                <w:rFonts w:hint="eastAsia" w:ascii="宋体" w:hAnsi="宋体" w:cs="宋体"/>
                <w:bCs/>
                <w:color w:val="auto"/>
                <w:kern w:val="0"/>
                <w:sz w:val="24"/>
                <w:szCs w:val="24"/>
                <w:lang w:bidi="ar"/>
              </w:rPr>
              <w:t>2</w:t>
            </w:r>
            <w:r>
              <w:rPr>
                <w:rFonts w:hint="eastAsia" w:ascii="宋体" w:hAnsi="宋体" w:cs="宋体"/>
                <w:bCs/>
                <w:color w:val="auto"/>
                <w:kern w:val="0"/>
                <w:sz w:val="24"/>
                <w:szCs w:val="24"/>
                <w:lang w:val="en-US" w:eastAsia="zh-CN" w:bidi="ar"/>
              </w:rPr>
              <w:t>5</w:t>
            </w:r>
          </w:p>
        </w:tc>
        <w:tc>
          <w:tcPr>
            <w:tcW w:w="1980" w:type="dxa"/>
            <w:vAlign w:val="center"/>
          </w:tcPr>
          <w:p w14:paraId="6AF322B4">
            <w:pPr>
              <w:jc w:val="center"/>
              <w:rPr>
                <w:rFonts w:hint="eastAsia" w:ascii="宋体" w:hAnsi="宋体" w:cs="宋体"/>
                <w:color w:val="auto"/>
                <w:sz w:val="24"/>
                <w:szCs w:val="24"/>
              </w:rPr>
            </w:pPr>
            <w:r>
              <w:rPr>
                <w:rFonts w:hint="eastAsia" w:ascii="宋体" w:hAnsi="宋体" w:cs="宋体"/>
                <w:color w:val="auto"/>
                <w:sz w:val="24"/>
                <w:szCs w:val="24"/>
              </w:rPr>
              <w:t>踏勘现场</w:t>
            </w:r>
          </w:p>
        </w:tc>
        <w:tc>
          <w:tcPr>
            <w:tcW w:w="6477" w:type="dxa"/>
            <w:vAlign w:val="center"/>
          </w:tcPr>
          <w:p w14:paraId="0C873A92">
            <w:pPr>
              <w:jc w:val="left"/>
              <w:rPr>
                <w:rFonts w:hint="eastAsia" w:ascii="宋体" w:hAnsi="宋体" w:cs="宋体"/>
                <w:color w:val="auto"/>
                <w:sz w:val="24"/>
                <w:szCs w:val="24"/>
              </w:rPr>
            </w:pPr>
            <w:r>
              <w:rPr>
                <w:rFonts w:hint="eastAsia" w:ascii="宋体" w:hAnsi="宋体" w:cs="宋体"/>
                <w:color w:val="auto"/>
                <w:sz w:val="24"/>
                <w:szCs w:val="24"/>
              </w:rPr>
              <w:t>不组织</w:t>
            </w:r>
          </w:p>
        </w:tc>
      </w:tr>
      <w:tr w14:paraId="528D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75" w:type="dxa"/>
            <w:vAlign w:val="center"/>
          </w:tcPr>
          <w:p w14:paraId="0B591F9C">
            <w:pPr>
              <w:adjustRightInd w:val="0"/>
              <w:snapToGrid w:val="0"/>
              <w:jc w:val="center"/>
              <w:rPr>
                <w:rFonts w:hint="eastAsia" w:ascii="宋体" w:hAnsi="宋体" w:eastAsia="宋体" w:cs="宋体"/>
                <w:bCs/>
                <w:color w:val="auto"/>
                <w:kern w:val="0"/>
                <w:sz w:val="24"/>
                <w:szCs w:val="24"/>
                <w:lang w:eastAsia="zh-CN" w:bidi="ar"/>
              </w:rPr>
            </w:pPr>
            <w:r>
              <w:rPr>
                <w:rFonts w:hint="eastAsia" w:ascii="宋体" w:hAnsi="宋体" w:cs="宋体"/>
                <w:bCs/>
                <w:color w:val="auto"/>
                <w:kern w:val="0"/>
                <w:sz w:val="24"/>
                <w:szCs w:val="24"/>
                <w:lang w:bidi="ar"/>
              </w:rPr>
              <w:t>2</w:t>
            </w:r>
            <w:r>
              <w:rPr>
                <w:rFonts w:hint="eastAsia" w:ascii="宋体" w:hAnsi="宋体" w:cs="宋体"/>
                <w:bCs/>
                <w:color w:val="auto"/>
                <w:kern w:val="0"/>
                <w:sz w:val="24"/>
                <w:szCs w:val="24"/>
                <w:lang w:val="en-US" w:eastAsia="zh-CN" w:bidi="ar"/>
              </w:rPr>
              <w:t>6</w:t>
            </w:r>
          </w:p>
        </w:tc>
        <w:tc>
          <w:tcPr>
            <w:tcW w:w="1980" w:type="dxa"/>
            <w:vAlign w:val="center"/>
          </w:tcPr>
          <w:p w14:paraId="751E63BC">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履约保证金</w:t>
            </w:r>
          </w:p>
        </w:tc>
        <w:tc>
          <w:tcPr>
            <w:tcW w:w="6477" w:type="dxa"/>
            <w:vAlign w:val="center"/>
          </w:tcPr>
          <w:p w14:paraId="29E508C0">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无需缴纳</w:t>
            </w:r>
          </w:p>
        </w:tc>
      </w:tr>
      <w:tr w14:paraId="4E68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75" w:type="dxa"/>
            <w:vAlign w:val="center"/>
          </w:tcPr>
          <w:p w14:paraId="1A470127">
            <w:pPr>
              <w:adjustRightInd w:val="0"/>
              <w:snapToGrid w:val="0"/>
              <w:jc w:val="center"/>
              <w:rPr>
                <w:rFonts w:hint="eastAsia" w:ascii="宋体" w:hAnsi="宋体" w:eastAsia="宋体" w:cs="宋体"/>
                <w:bCs/>
                <w:color w:val="auto"/>
                <w:kern w:val="0"/>
                <w:sz w:val="24"/>
                <w:szCs w:val="24"/>
                <w:lang w:eastAsia="zh-CN" w:bidi="ar"/>
              </w:rPr>
            </w:pPr>
            <w:r>
              <w:rPr>
                <w:rFonts w:hint="eastAsia" w:ascii="宋体" w:hAnsi="宋体" w:cs="宋体"/>
                <w:bCs/>
                <w:color w:val="auto"/>
                <w:kern w:val="0"/>
                <w:sz w:val="24"/>
                <w:szCs w:val="24"/>
                <w:lang w:bidi="ar"/>
              </w:rPr>
              <w:t>2</w:t>
            </w:r>
            <w:r>
              <w:rPr>
                <w:rFonts w:hint="eastAsia" w:ascii="宋体" w:hAnsi="宋体" w:cs="宋体"/>
                <w:bCs/>
                <w:color w:val="auto"/>
                <w:kern w:val="0"/>
                <w:sz w:val="24"/>
                <w:szCs w:val="24"/>
                <w:lang w:val="en-US" w:eastAsia="zh-CN" w:bidi="ar"/>
              </w:rPr>
              <w:t>7</w:t>
            </w:r>
          </w:p>
        </w:tc>
        <w:tc>
          <w:tcPr>
            <w:tcW w:w="1980" w:type="dxa"/>
            <w:vAlign w:val="center"/>
          </w:tcPr>
          <w:p w14:paraId="3103E87F">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优先采购原则</w:t>
            </w:r>
          </w:p>
        </w:tc>
        <w:tc>
          <w:tcPr>
            <w:tcW w:w="6477" w:type="dxa"/>
            <w:vAlign w:val="center"/>
          </w:tcPr>
          <w:p w14:paraId="7DFB13DE">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□不适用</w:t>
            </w:r>
          </w:p>
          <w:p w14:paraId="243633A5">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适用，根据《中华人民共和国政府采购法》第九条规定：“政府采购应当有助于实现国家的经济和社会发展政策目标，包括保护环境，扶持不发达地区和少数民族地区，促进中小企业发展等”。中标候选人总价相同的条件下，优先就近采购本地或本县产品(服务)。</w:t>
            </w:r>
          </w:p>
        </w:tc>
      </w:tr>
      <w:tr w14:paraId="440E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75" w:type="dxa"/>
            <w:vMerge w:val="restart"/>
            <w:vAlign w:val="center"/>
          </w:tcPr>
          <w:p w14:paraId="0900D18B">
            <w:pPr>
              <w:adjustRightInd w:val="0"/>
              <w:snapToGrid w:val="0"/>
              <w:jc w:val="center"/>
              <w:rPr>
                <w:rFonts w:hint="eastAsia" w:ascii="宋体" w:hAnsi="宋体" w:eastAsia="宋体" w:cs="宋体"/>
                <w:bCs/>
                <w:color w:val="auto"/>
                <w:kern w:val="0"/>
                <w:sz w:val="24"/>
                <w:szCs w:val="24"/>
                <w:lang w:eastAsia="zh-CN" w:bidi="ar"/>
              </w:rPr>
            </w:pPr>
            <w:r>
              <w:rPr>
                <w:rFonts w:hint="eastAsia" w:ascii="宋体" w:hAnsi="宋体" w:cs="宋体"/>
                <w:bCs/>
                <w:color w:val="auto"/>
                <w:kern w:val="0"/>
                <w:sz w:val="24"/>
                <w:szCs w:val="24"/>
                <w:lang w:bidi="ar"/>
              </w:rPr>
              <w:t>2</w:t>
            </w:r>
            <w:r>
              <w:rPr>
                <w:rFonts w:hint="eastAsia" w:ascii="宋体" w:hAnsi="宋体" w:cs="宋体"/>
                <w:bCs/>
                <w:color w:val="auto"/>
                <w:kern w:val="0"/>
                <w:sz w:val="24"/>
                <w:szCs w:val="24"/>
                <w:lang w:val="en-US" w:eastAsia="zh-CN" w:bidi="ar"/>
              </w:rPr>
              <w:t>8</w:t>
            </w:r>
          </w:p>
        </w:tc>
        <w:tc>
          <w:tcPr>
            <w:tcW w:w="1980" w:type="dxa"/>
            <w:vMerge w:val="restart"/>
            <w:vAlign w:val="center"/>
          </w:tcPr>
          <w:p w14:paraId="7F7365D5">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政府采购政策支持</w:t>
            </w:r>
          </w:p>
        </w:tc>
        <w:tc>
          <w:tcPr>
            <w:tcW w:w="6477" w:type="dxa"/>
            <w:vAlign w:val="center"/>
          </w:tcPr>
          <w:p w14:paraId="0916A042">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 《财政部 发展改革委 生态环境部 市场监管总局 关于调整优化节能产品、环境标志产品政府采购执行机制的通知》（财库〔2019〕9号）。</w:t>
            </w:r>
          </w:p>
        </w:tc>
      </w:tr>
      <w:tr w14:paraId="1615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75" w:type="dxa"/>
            <w:vMerge w:val="continue"/>
            <w:vAlign w:val="center"/>
          </w:tcPr>
          <w:p w14:paraId="01D4C382">
            <w:pPr>
              <w:adjustRightInd w:val="0"/>
              <w:snapToGrid w:val="0"/>
              <w:jc w:val="center"/>
              <w:rPr>
                <w:rFonts w:hint="eastAsia" w:ascii="宋体" w:hAnsi="宋体" w:cs="宋体"/>
                <w:bCs/>
                <w:color w:val="auto"/>
                <w:kern w:val="0"/>
                <w:sz w:val="24"/>
                <w:szCs w:val="24"/>
                <w:lang w:bidi="ar"/>
              </w:rPr>
            </w:pPr>
          </w:p>
        </w:tc>
        <w:tc>
          <w:tcPr>
            <w:tcW w:w="1980" w:type="dxa"/>
            <w:vMerge w:val="continue"/>
            <w:vAlign w:val="center"/>
          </w:tcPr>
          <w:p w14:paraId="5A5D0C72">
            <w:pPr>
              <w:adjustRightInd w:val="0"/>
              <w:snapToGrid w:val="0"/>
              <w:jc w:val="center"/>
              <w:rPr>
                <w:rFonts w:hint="eastAsia" w:ascii="宋体" w:hAnsi="宋体" w:cs="宋体"/>
                <w:bCs/>
                <w:color w:val="auto"/>
                <w:kern w:val="0"/>
                <w:sz w:val="24"/>
                <w:szCs w:val="24"/>
                <w:lang w:bidi="ar"/>
              </w:rPr>
            </w:pPr>
          </w:p>
        </w:tc>
        <w:tc>
          <w:tcPr>
            <w:tcW w:w="6477" w:type="dxa"/>
            <w:vAlign w:val="center"/>
          </w:tcPr>
          <w:p w14:paraId="3EB3506D">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本项目专门面向中小企业采购的项目；</w:t>
            </w:r>
          </w:p>
          <w:p w14:paraId="00213C5E">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本项目的企业划分标准所属行业为：其他未列明的行业。</w:t>
            </w:r>
          </w:p>
        </w:tc>
      </w:tr>
      <w:tr w14:paraId="2575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275" w:type="dxa"/>
            <w:vAlign w:val="center"/>
          </w:tcPr>
          <w:p w14:paraId="570E164B">
            <w:pPr>
              <w:adjustRightInd w:val="0"/>
              <w:snapToGrid w:val="0"/>
              <w:jc w:val="center"/>
              <w:rPr>
                <w:rFonts w:hint="eastAsia" w:ascii="宋体" w:hAnsi="宋体" w:eastAsia="宋体" w:cs="宋体"/>
                <w:bCs/>
                <w:color w:val="auto"/>
                <w:kern w:val="0"/>
                <w:sz w:val="24"/>
                <w:szCs w:val="24"/>
                <w:lang w:eastAsia="zh-CN" w:bidi="ar"/>
              </w:rPr>
            </w:pPr>
            <w:r>
              <w:rPr>
                <w:rFonts w:hint="eastAsia" w:ascii="宋体" w:hAnsi="宋体" w:cs="宋体"/>
                <w:bCs/>
                <w:color w:val="auto"/>
                <w:kern w:val="0"/>
                <w:sz w:val="24"/>
                <w:szCs w:val="24"/>
                <w:lang w:bidi="ar"/>
              </w:rPr>
              <w:t>2</w:t>
            </w:r>
            <w:r>
              <w:rPr>
                <w:rFonts w:hint="eastAsia" w:ascii="宋体" w:hAnsi="宋体" w:cs="宋体"/>
                <w:bCs/>
                <w:color w:val="auto"/>
                <w:kern w:val="0"/>
                <w:sz w:val="24"/>
                <w:szCs w:val="24"/>
                <w:lang w:val="en-US" w:eastAsia="zh-CN" w:bidi="ar"/>
              </w:rPr>
              <w:t>9</w:t>
            </w:r>
          </w:p>
        </w:tc>
        <w:tc>
          <w:tcPr>
            <w:tcW w:w="1980" w:type="dxa"/>
            <w:vAlign w:val="center"/>
          </w:tcPr>
          <w:p w14:paraId="527A2ED7">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招标代理服务费</w:t>
            </w:r>
          </w:p>
        </w:tc>
        <w:tc>
          <w:tcPr>
            <w:tcW w:w="6477" w:type="dxa"/>
            <w:vAlign w:val="center"/>
          </w:tcPr>
          <w:p w14:paraId="3463DA3A">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按差额定率累进法计算收取：100万元以下收取1.5%，100万-500万元收取0.8%，500万-1000万元收取0.45%，1000万-5000万元收取0.25%，5000万-1亿元收取0.1%，以此类推。（例如：中标金额为100.8万元，则招标代理服务收费额为（100万元X1.5%）+（0.8万元X1.1%）=15088.00元）。</w:t>
            </w:r>
          </w:p>
          <w:p w14:paraId="75B7C107">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由中标单位在领取成交通知书时一次性支付。</w:t>
            </w:r>
          </w:p>
        </w:tc>
      </w:tr>
      <w:tr w14:paraId="67D3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75" w:type="dxa"/>
            <w:vAlign w:val="center"/>
          </w:tcPr>
          <w:p w14:paraId="1987A4E1">
            <w:pPr>
              <w:adjustRightInd w:val="0"/>
              <w:snapToGrid w:val="0"/>
              <w:jc w:val="center"/>
              <w:rPr>
                <w:rFonts w:hint="default"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val="en-US" w:eastAsia="zh-CN" w:bidi="ar"/>
              </w:rPr>
              <w:t>30</w:t>
            </w:r>
          </w:p>
        </w:tc>
        <w:tc>
          <w:tcPr>
            <w:tcW w:w="1980" w:type="dxa"/>
            <w:vAlign w:val="center"/>
          </w:tcPr>
          <w:p w14:paraId="03CD0F2E">
            <w:pPr>
              <w:adjustRightInd w:val="0"/>
              <w:snapToGrid w:val="0"/>
              <w:jc w:val="cente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答疑与澄清</w:t>
            </w:r>
          </w:p>
        </w:tc>
        <w:tc>
          <w:tcPr>
            <w:tcW w:w="6477" w:type="dxa"/>
            <w:vAlign w:val="center"/>
          </w:tcPr>
          <w:p w14:paraId="6CCBF71A">
            <w:pPr>
              <w:adjustRightInd w:val="0"/>
              <w:snapToGrid w:val="0"/>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获取竞争性磋商文件的供应商如认为竞争性磋商文件如有表述不清晰、缺页、漏页、损页等，应当以书面形式要求采购方做出书面解释、澄清或补齐；采购人（采购代理机构）将在收到书面函的3个工作日内组织澄清或补齐；澄清或补齐内容是竞争性磋商文件的组成部份，并将以竞争性磋商文件的补充文件形式书面发布通知所有已获取竞争性磋商文件的供应商。供应商应自行留意采购人（采购代理机构）发出的澄清、修改或补充文件，并及时在发布的渠道自行获取相应的文本文件获取即可，无须回签确认收到的函。供应商未按规定时间在发布渠道的网站下载的，视同已收到。因其他紧急情况影响本项目正常招标活动的，采购方将按规定的发布渠道书面通知所有已参加投标的供应商。</w:t>
            </w:r>
          </w:p>
        </w:tc>
      </w:tr>
      <w:tr w14:paraId="584F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75" w:type="dxa"/>
            <w:vAlign w:val="center"/>
          </w:tcPr>
          <w:p w14:paraId="3D64EB04">
            <w:pPr>
              <w:adjustRightInd w:val="0"/>
              <w:snapToGrid w:val="0"/>
              <w:jc w:val="center"/>
              <w:rPr>
                <w:rFonts w:hint="default"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val="en-US" w:eastAsia="zh-CN" w:bidi="ar"/>
              </w:rPr>
              <w:t>31</w:t>
            </w:r>
          </w:p>
        </w:tc>
        <w:tc>
          <w:tcPr>
            <w:tcW w:w="1980" w:type="dxa"/>
            <w:vAlign w:val="center"/>
          </w:tcPr>
          <w:p w14:paraId="6398BCF0">
            <w:pPr>
              <w:adjustRightInd w:val="0"/>
              <w:snapToGrid w:val="0"/>
              <w:jc w:val="center"/>
              <w:rPr>
                <w:rFonts w:hint="eastAsia" w:ascii="宋体" w:hAnsi="宋体" w:cs="宋体"/>
                <w:bCs/>
                <w:color w:val="auto"/>
                <w:kern w:val="0"/>
                <w:sz w:val="24"/>
                <w:szCs w:val="24"/>
                <w:lang w:bidi="ar"/>
              </w:rPr>
            </w:pPr>
            <w:r>
              <w:rPr>
                <w:rFonts w:hint="eastAsia" w:ascii="宋体" w:hAnsi="宋体" w:cs="宋体"/>
                <w:color w:val="auto"/>
                <w:sz w:val="24"/>
                <w:szCs w:val="24"/>
              </w:rPr>
              <w:t>其他说明</w:t>
            </w:r>
          </w:p>
        </w:tc>
        <w:tc>
          <w:tcPr>
            <w:tcW w:w="6477" w:type="dxa"/>
            <w:vAlign w:val="center"/>
          </w:tcPr>
          <w:p w14:paraId="75951DC6">
            <w:pPr>
              <w:jc w:val="left"/>
              <w:rPr>
                <w:rFonts w:hint="eastAsia" w:ascii="宋体" w:hAnsi="宋体" w:cs="宋体"/>
                <w:b/>
                <w:bCs/>
                <w:color w:val="auto"/>
                <w:sz w:val="24"/>
                <w:szCs w:val="24"/>
              </w:rPr>
            </w:pPr>
            <w:r>
              <w:rPr>
                <w:rFonts w:hint="eastAsia" w:ascii="宋体" w:hAnsi="宋体" w:cs="宋体"/>
                <w:b/>
                <w:bCs/>
                <w:color w:val="auto"/>
                <w:sz w:val="24"/>
                <w:szCs w:val="24"/>
              </w:rPr>
              <w:t>1.投标供应商制作投标文件的CA锁必须和开标解密的CA锁为同一把锁，在解密过程中因为CA锁不同而导致解密失败的，由投标供应商自行承担。</w:t>
            </w:r>
          </w:p>
          <w:p w14:paraId="74A425EB">
            <w:pPr>
              <w:jc w:val="left"/>
              <w:rPr>
                <w:rFonts w:hint="eastAsia" w:ascii="宋体" w:hAnsi="宋体" w:cs="宋体"/>
                <w:color w:val="auto"/>
                <w:sz w:val="24"/>
                <w:szCs w:val="24"/>
              </w:rPr>
            </w:pPr>
            <w:r>
              <w:rPr>
                <w:rFonts w:hint="eastAsia" w:ascii="宋体" w:hAnsi="宋体" w:cs="宋体"/>
                <w:b/>
                <w:bCs/>
                <w:color w:val="auto"/>
                <w:sz w:val="24"/>
                <w:szCs w:val="24"/>
              </w:rPr>
              <w:t>2.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应。</w:t>
            </w:r>
          </w:p>
        </w:tc>
      </w:tr>
      <w:tr w14:paraId="27C1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75" w:type="dxa"/>
            <w:vAlign w:val="center"/>
          </w:tcPr>
          <w:p w14:paraId="028466D8">
            <w:pPr>
              <w:adjustRightInd w:val="0"/>
              <w:snapToGrid w:val="0"/>
              <w:jc w:val="center"/>
              <w:rPr>
                <w:rFonts w:hint="default" w:ascii="宋体" w:hAnsi="宋体" w:eastAsia="宋体" w:cs="宋体"/>
                <w:bCs/>
                <w:color w:val="auto"/>
                <w:kern w:val="0"/>
                <w:sz w:val="24"/>
                <w:szCs w:val="24"/>
                <w:lang w:val="en-US" w:eastAsia="zh-CN" w:bidi="ar"/>
              </w:rPr>
            </w:pPr>
            <w:r>
              <w:rPr>
                <w:rFonts w:hint="eastAsia" w:ascii="宋体" w:hAnsi="宋体" w:cs="宋体"/>
                <w:bCs/>
                <w:color w:val="auto"/>
                <w:kern w:val="0"/>
                <w:sz w:val="24"/>
                <w:szCs w:val="24"/>
                <w:lang w:val="en-US" w:eastAsia="zh-CN" w:bidi="ar"/>
              </w:rPr>
              <w:t>32</w:t>
            </w:r>
          </w:p>
        </w:tc>
        <w:tc>
          <w:tcPr>
            <w:tcW w:w="1980" w:type="dxa"/>
            <w:vAlign w:val="center"/>
          </w:tcPr>
          <w:p w14:paraId="2C6A1BFA">
            <w:pPr>
              <w:adjustRightInd w:val="0"/>
              <w:snapToGrid w:val="0"/>
              <w:jc w:val="center"/>
              <w:rPr>
                <w:rFonts w:hint="eastAsia" w:ascii="宋体" w:hAnsi="宋体" w:cs="宋体"/>
                <w:color w:val="auto"/>
                <w:sz w:val="24"/>
                <w:szCs w:val="24"/>
              </w:rPr>
            </w:pPr>
            <w:r>
              <w:rPr>
                <w:rFonts w:hint="eastAsia" w:ascii="宋体" w:hAnsi="宋体" w:cs="宋体"/>
                <w:color w:val="auto"/>
                <w:sz w:val="24"/>
                <w:szCs w:val="24"/>
              </w:rPr>
              <w:t>重要提示</w:t>
            </w:r>
          </w:p>
        </w:tc>
        <w:tc>
          <w:tcPr>
            <w:tcW w:w="6477" w:type="dxa"/>
            <w:vAlign w:val="center"/>
          </w:tcPr>
          <w:p w14:paraId="7DBFFF70">
            <w:pPr>
              <w:jc w:val="left"/>
              <w:rPr>
                <w:rFonts w:hint="eastAsia" w:ascii="宋体" w:hAnsi="宋体" w:cs="宋体"/>
                <w:color w:val="auto"/>
                <w:sz w:val="24"/>
                <w:szCs w:val="24"/>
              </w:rPr>
            </w:pPr>
            <w:r>
              <w:rPr>
                <w:rFonts w:hint="eastAsia" w:ascii="宋体" w:hAnsi="宋体" w:cs="宋体"/>
                <w:color w:val="auto"/>
                <w:sz w:val="24"/>
                <w:szCs w:val="24"/>
              </w:rPr>
              <w:t xml:space="preserve">（1）中标供应商应在规定期限内领取《中标通知书》，若中标供应商未在规定期限内领取《中标通知书》，采购人有权取消中标供应商中标资格，并将相关违约行为报送监管部门，实施信用惩戒； </w:t>
            </w:r>
          </w:p>
          <w:p w14:paraId="49B776AE">
            <w:pPr>
              <w:jc w:val="left"/>
              <w:rPr>
                <w:rFonts w:hint="eastAsia" w:ascii="宋体" w:hAnsi="宋体" w:cs="宋体"/>
                <w:color w:val="auto"/>
                <w:sz w:val="24"/>
                <w:szCs w:val="24"/>
              </w:rPr>
            </w:pPr>
            <w:r>
              <w:rPr>
                <w:rFonts w:hint="eastAsia" w:ascii="宋体" w:hAnsi="宋体" w:cs="宋体"/>
                <w:color w:val="auto"/>
                <w:sz w:val="24"/>
                <w:szCs w:val="24"/>
              </w:rPr>
              <w:t xml:space="preserve">（2）中标供应商应在规定期限内提交履约担保并与采购人签订合同，若中标供应商未能在规定期限内提交履约担保或签订合同，采购人有权取消中标供应商中标资格，并将相关违约行为报送监管部门，实施信用惩戒； </w:t>
            </w:r>
          </w:p>
          <w:p w14:paraId="1E50C8F4">
            <w:pPr>
              <w:jc w:val="left"/>
              <w:rPr>
                <w:rFonts w:hint="eastAsia" w:ascii="宋体" w:hAnsi="宋体" w:cs="宋体"/>
                <w:color w:val="auto"/>
                <w:sz w:val="24"/>
                <w:szCs w:val="24"/>
              </w:rPr>
            </w:pPr>
            <w:r>
              <w:rPr>
                <w:rFonts w:hint="eastAsia" w:ascii="宋体" w:hAnsi="宋体" w:cs="宋体"/>
                <w:color w:val="auto"/>
                <w:sz w:val="24"/>
                <w:szCs w:val="24"/>
              </w:rPr>
              <w:t xml:space="preserve">（3）合同签订后，中标供应商存在规定时间内不组织人员进场开工，不履行供货、安装或服务义务等情况，采购人有权解除合同，并追究违约责任，同时将相关违约行为报送监管部门，记不良行为记录，实施信用惩戒； </w:t>
            </w:r>
          </w:p>
          <w:p w14:paraId="1C3A0705">
            <w:pPr>
              <w:jc w:val="left"/>
              <w:rPr>
                <w:rFonts w:hint="eastAsia" w:ascii="宋体" w:hAnsi="宋体" w:cs="宋体"/>
                <w:color w:val="auto"/>
                <w:sz w:val="24"/>
                <w:szCs w:val="24"/>
              </w:rPr>
            </w:pPr>
            <w:r>
              <w:rPr>
                <w:rFonts w:hint="eastAsia" w:ascii="宋体" w:hAnsi="宋体" w:cs="宋体"/>
                <w:color w:val="auto"/>
                <w:sz w:val="24"/>
                <w:szCs w:val="24"/>
              </w:rPr>
              <w:t xml:space="preserve">（4）中标供应商中标后被监管部门查实存在违法行为，不满足中标条件的，由采购人取消中标资格，并做好项目后续工作； </w:t>
            </w:r>
          </w:p>
          <w:p w14:paraId="792BFE24">
            <w:pPr>
              <w:jc w:val="left"/>
              <w:rPr>
                <w:rFonts w:hint="eastAsia" w:ascii="宋体" w:hAnsi="宋体" w:cs="宋体"/>
                <w:b/>
                <w:bCs/>
                <w:color w:val="auto"/>
                <w:sz w:val="24"/>
                <w:szCs w:val="24"/>
              </w:rPr>
            </w:pPr>
            <w:r>
              <w:rPr>
                <w:rFonts w:hint="eastAsia" w:ascii="宋体" w:hAnsi="宋体" w:cs="宋体"/>
                <w:color w:val="auto"/>
                <w:sz w:val="24"/>
                <w:szCs w:val="24"/>
              </w:rPr>
              <w:t>（5）中标供应商在中标项目发生投诉、信访举报案件、履约存在争议时，拒绝协助配合执法部门调查案件的，采购人可以取消其中标资格或解除合同，并追究其违约责任。</w:t>
            </w:r>
          </w:p>
        </w:tc>
      </w:tr>
      <w:tr w14:paraId="2B02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vAlign w:val="center"/>
          </w:tcPr>
          <w:p w14:paraId="4884C0FB">
            <w:pPr>
              <w:overflowPunct w:val="0"/>
              <w:jc w:val="center"/>
              <w:rPr>
                <w:rFonts w:hint="eastAsia" w:ascii="宋体" w:hAnsi="宋体" w:cs="宋体"/>
                <w:bCs/>
                <w:color w:val="auto"/>
                <w:kern w:val="0"/>
                <w:sz w:val="24"/>
                <w:szCs w:val="24"/>
                <w:lang w:bidi="ar"/>
              </w:rPr>
            </w:pPr>
            <w:r>
              <w:rPr>
                <w:rFonts w:hint="eastAsia" w:ascii="宋体" w:hAnsi="宋体" w:cs="宋体"/>
                <w:b/>
                <w:color w:val="auto"/>
                <w:sz w:val="24"/>
                <w:szCs w:val="24"/>
              </w:rPr>
              <w:t>备注</w:t>
            </w:r>
          </w:p>
        </w:tc>
        <w:tc>
          <w:tcPr>
            <w:tcW w:w="8457" w:type="dxa"/>
            <w:gridSpan w:val="2"/>
            <w:vAlign w:val="center"/>
          </w:tcPr>
          <w:p w14:paraId="27EC2AA9">
            <w:pP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1、竞争性磋商文件中部分加粗、加下划线、废标、无效标、投标被拒绝字样的条款，为招标的实质性要求和条件，着重提醒各投标人注意，并认真查看竞争性磋商文件中的每一个条款及要求，因误读竞争性磋商文件而造成的后果，招标人概不负责。</w:t>
            </w:r>
          </w:p>
          <w:p w14:paraId="2A2D6831">
            <w:pPr>
              <w:rPr>
                <w:rFonts w:hint="eastAsia" w:ascii="宋体" w:hAnsi="宋体" w:cs="宋体"/>
                <w:b/>
                <w:bCs/>
                <w:color w:val="auto"/>
                <w:sz w:val="24"/>
                <w:szCs w:val="24"/>
              </w:rPr>
            </w:pPr>
            <w:r>
              <w:rPr>
                <w:rFonts w:hint="eastAsia" w:ascii="宋体" w:hAnsi="宋体" w:cs="宋体"/>
                <w:bCs/>
                <w:color w:val="auto"/>
                <w:kern w:val="0"/>
                <w:sz w:val="24"/>
                <w:szCs w:val="24"/>
                <w:lang w:bidi="ar"/>
              </w:rPr>
              <w:t>2、投标文件中有弄虚作假的内容，其投标文件作废。（如假证书、假业绩、隐瞒不良行为记录、夸大荣誉、使用非本单位在职员工的相关证件及不符合竞争性磋商文件规定的条款等）；在签订合同之前，招标人如发现投标人的投标文件有弄虚作假内容，招标人可拒绝与其签订合同，并将其列入政府采购黑名单。</w:t>
            </w:r>
          </w:p>
        </w:tc>
      </w:tr>
      <w:tr w14:paraId="0857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732" w:type="dxa"/>
            <w:gridSpan w:val="3"/>
            <w:vAlign w:val="center"/>
          </w:tcPr>
          <w:p w14:paraId="2A894D43">
            <w:pP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提示：（1）采购机构将拒绝接受未获取竞争性磋商文件的投标人的投标文件。</w:t>
            </w:r>
          </w:p>
          <w:p w14:paraId="7065D4B6">
            <w:pP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2）投标人认为竞争性磋商文件使自己的权益受到损害的，可以自获取竞争性磋商文件之日或者采购公告期限届满之日（公告期限届满后获取竞争性磋商文件的，以公告期限届满之日为准）起7个工作日内，以书面形式向采购人和采购代理机构提出质疑。对未按上述方式获取竞争性磋商文件的投标人对该文件提出的质疑，采购人或采购代理机构将不予处理。</w:t>
            </w:r>
          </w:p>
          <w:p w14:paraId="0D9E2E00">
            <w:pPr>
              <w:rPr>
                <w:rFonts w:hint="eastAsia" w:ascii="宋体" w:hAnsi="宋体" w:cs="宋体"/>
                <w:bCs/>
                <w:color w:val="auto"/>
                <w:kern w:val="0"/>
                <w:sz w:val="24"/>
                <w:szCs w:val="24"/>
                <w:lang w:bidi="ar"/>
              </w:rPr>
            </w:pPr>
            <w:r>
              <w:rPr>
                <w:rFonts w:hint="eastAsia" w:ascii="宋体" w:hAnsi="宋体" w:cs="宋体"/>
                <w:bCs/>
                <w:color w:val="auto"/>
                <w:kern w:val="0"/>
                <w:sz w:val="24"/>
                <w:szCs w:val="24"/>
                <w:lang w:bidi="ar"/>
              </w:rPr>
              <w:t>（3）更正补充公告请自行登录新疆政府采购网查看下载。</w:t>
            </w:r>
          </w:p>
        </w:tc>
      </w:tr>
    </w:tbl>
    <w:p w14:paraId="1D33F676">
      <w:pPr>
        <w:rPr>
          <w:rFonts w:hint="eastAsia" w:ascii="宋体" w:hAnsi="宋体" w:cs="宋体"/>
          <w:color w:val="auto"/>
          <w:sz w:val="28"/>
          <w:szCs w:val="28"/>
        </w:rPr>
      </w:pPr>
      <w:bookmarkStart w:id="30" w:name="_Toc349637920"/>
      <w:bookmarkStart w:id="31" w:name="_Toc267301282"/>
      <w:bookmarkStart w:id="32" w:name="_Toc298240405"/>
      <w:bookmarkStart w:id="33" w:name="_Toc527642952"/>
      <w:bookmarkStart w:id="34" w:name="_Toc349573121"/>
      <w:r>
        <w:rPr>
          <w:rFonts w:hint="eastAsia" w:ascii="宋体" w:hAnsi="宋体" w:cs="宋体"/>
          <w:color w:val="auto"/>
          <w:sz w:val="28"/>
          <w:szCs w:val="28"/>
        </w:rPr>
        <w:br w:type="page"/>
      </w:r>
    </w:p>
    <w:p w14:paraId="6D82BC72">
      <w:pPr>
        <w:pStyle w:val="3"/>
        <w:rPr>
          <w:rFonts w:hint="eastAsia" w:ascii="宋体" w:hAnsi="宋体" w:cs="宋体"/>
          <w:color w:val="auto"/>
        </w:rPr>
      </w:pPr>
      <w:bookmarkStart w:id="35" w:name="_Toc21004"/>
      <w:r>
        <w:rPr>
          <w:rFonts w:hint="eastAsia" w:ascii="宋体" w:hAnsi="宋体" w:cs="宋体"/>
          <w:color w:val="auto"/>
        </w:rPr>
        <w:t>A  说　明</w:t>
      </w:r>
      <w:bookmarkEnd w:id="30"/>
      <w:bookmarkEnd w:id="31"/>
      <w:bookmarkEnd w:id="32"/>
      <w:bookmarkEnd w:id="33"/>
      <w:bookmarkEnd w:id="34"/>
      <w:bookmarkEnd w:id="35"/>
    </w:p>
    <w:p w14:paraId="4B84485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 适用范围</w:t>
      </w:r>
    </w:p>
    <w:p w14:paraId="2CD907CE">
      <w:pPr>
        <w:numPr>
          <w:ilvl w:val="1"/>
          <w:numId w:val="5"/>
        </w:numPr>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本竞争性磋商文件仅适用于本投标中所述的服务招标项目。</w:t>
      </w:r>
    </w:p>
    <w:p w14:paraId="1D0D3285">
      <w:pPr>
        <w:spacing w:line="360" w:lineRule="auto"/>
        <w:ind w:firstLine="482" w:firstLineChars="200"/>
        <w:rPr>
          <w:rFonts w:hint="eastAsia" w:ascii="宋体" w:hAnsi="宋体" w:cs="宋体"/>
          <w:b/>
          <w:color w:val="auto"/>
          <w:sz w:val="24"/>
          <w:szCs w:val="24"/>
        </w:rPr>
      </w:pPr>
      <w:r>
        <w:rPr>
          <w:rFonts w:hint="eastAsia" w:ascii="宋体" w:hAnsi="宋体" w:cs="宋体"/>
          <w:b/>
          <w:color w:val="auto"/>
          <w:sz w:val="24"/>
          <w:szCs w:val="24"/>
        </w:rPr>
        <w:t>2、投标人资格要求：</w:t>
      </w:r>
    </w:p>
    <w:p w14:paraId="1E57D32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1.满足《中华人民共和国政府采购法》第二十二条规定；</w:t>
      </w:r>
    </w:p>
    <w:p w14:paraId="2A4BAFB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2.落实政府采购政策需满足的资格要求：</w:t>
      </w:r>
    </w:p>
    <w:p w14:paraId="34A1F78C">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2.1中小企业政策落实政府采购政策需满足的资格要求：本项目专门面向中小企业</w:t>
      </w:r>
    </w:p>
    <w:p w14:paraId="44A2827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2.2其他落实政府采购政策</w:t>
      </w:r>
    </w:p>
    <w:p w14:paraId="2972CE9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（1）财政部、国家发展改革委、生态环境部、市场监管总局《关于调整优化节能产品、环境标志产品政府采购执行机制的通知》（财库[2019]9号文）；</w:t>
      </w:r>
    </w:p>
    <w:p w14:paraId="346C50C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（2）财政部、生态环境部《关于印发环境标志产品政府采购品目清单的通知》（财库[2019]18号文）；</w:t>
      </w:r>
    </w:p>
    <w:p w14:paraId="3A636E3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（3）财政部、发展改革委《关于印发节能产品政府采购品目清单的通知》（财库[2019]19号文）；</w:t>
      </w:r>
    </w:p>
    <w:p w14:paraId="1387BC8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（4）市场监管总局《市场监管总局关于发布参与实施政府采购节能产品、环境标志产品认证机构名录的公告》（2019年第16号）；</w:t>
      </w:r>
    </w:p>
    <w:p w14:paraId="59582F4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（5）财政部、工业和信息化部《关于印发《政府采购促进中小企业发展管理办法》的通知》（财库[2020]46号文）《关于进一步加大政府采购支持中小企业力度的通知》（财库[2022]19号文）执行；</w:t>
      </w:r>
    </w:p>
    <w:p w14:paraId="271AA564">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（6）财政部、民政部、中国残疾人联合会《关于促进残疾人就业政府采购政策的通知》（财库[2017]141号）；</w:t>
      </w:r>
    </w:p>
    <w:p w14:paraId="4447A4B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（7）财政部、</w:t>
      </w:r>
      <w:r>
        <w:rPr>
          <w:rFonts w:hint="eastAsia" w:ascii="宋体" w:hAnsi="宋体" w:cs="宋体"/>
          <w:color w:val="auto"/>
          <w:sz w:val="24"/>
          <w:szCs w:val="24"/>
          <w:lang w:val="en-US" w:eastAsia="zh-CN"/>
        </w:rPr>
        <w:t>SF</w:t>
      </w:r>
      <w:r>
        <w:rPr>
          <w:rFonts w:hint="eastAsia" w:ascii="宋体" w:hAnsi="宋体" w:cs="宋体"/>
          <w:color w:val="auto"/>
          <w:sz w:val="24"/>
          <w:szCs w:val="24"/>
        </w:rPr>
        <w:t>部《关于政府采购支持</w:t>
      </w:r>
      <w:r>
        <w:rPr>
          <w:rFonts w:hint="eastAsia" w:ascii="宋体" w:hAnsi="宋体" w:cs="宋体"/>
          <w:color w:val="auto"/>
          <w:sz w:val="24"/>
          <w:szCs w:val="24"/>
          <w:lang w:val="en-US" w:eastAsia="zh-CN"/>
        </w:rPr>
        <w:t>JY</w:t>
      </w:r>
      <w:r>
        <w:rPr>
          <w:rFonts w:hint="eastAsia" w:ascii="宋体" w:hAnsi="宋体" w:cs="宋体"/>
          <w:color w:val="auto"/>
          <w:sz w:val="24"/>
          <w:szCs w:val="24"/>
        </w:rPr>
        <w:t>企业发展有关问题的通知》（财库[2014]68号文）；</w:t>
      </w:r>
    </w:p>
    <w:p w14:paraId="05C7CF2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（8）财政部、生态环境部、国家邮政局《关于印发《商品包装政府采购需求标准（试行）》《快递包装政府采购需求标准（试行）》的通知》（财办库〔2020〕123号）。</w:t>
      </w:r>
    </w:p>
    <w:p w14:paraId="0B8649C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3.本项目的特定资格要求：</w:t>
      </w:r>
    </w:p>
    <w:p w14:paraId="39C966E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近三年内（本项目投标截止期前）未被“信用中国”（www.creditchina.gov.cn）、中国政府采购网（www.ccgp.gov.cn）列入失信被执行人、重大税收违法案件当事人名单、政府采购严重违法失信行为记录名单（开标现场查询）。</w:t>
      </w:r>
    </w:p>
    <w:p w14:paraId="7E7E9A2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eastAsia="zh-CN"/>
        </w:rPr>
        <w:t>提供2024年度由第三方财务审计机构出具的财务审计报告或提供银行出具的近期资信证明</w:t>
      </w:r>
      <w:r>
        <w:rPr>
          <w:rFonts w:hint="eastAsia" w:ascii="宋体" w:hAnsi="宋体" w:cs="宋体"/>
          <w:color w:val="auto"/>
          <w:sz w:val="24"/>
          <w:szCs w:val="24"/>
        </w:rPr>
        <w:t>；</w:t>
      </w:r>
    </w:p>
    <w:p w14:paraId="59ED381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（3）提供税务机关出具近六个月（任意一个月）的完税证明（2025年后成立的公司按实际发生提供）；</w:t>
      </w:r>
    </w:p>
    <w:p w14:paraId="7C8CB2EC">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w:t>
      </w:r>
    </w:p>
    <w:p w14:paraId="7440ACB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（5）提供本单位缴纳的近六个月（任意一月）社保缴纳证明（单位社保缴费凭证，2025年后成立的公司按实际发生提供）；</w:t>
      </w:r>
    </w:p>
    <w:p w14:paraId="20E57A5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E93736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（7）供应商提供保证金或保函；</w:t>
      </w:r>
    </w:p>
    <w:p w14:paraId="19BF5D2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（8）供应商须提供有效的中小企业声明函；</w:t>
      </w:r>
    </w:p>
    <w:p w14:paraId="5D64C0F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2.2 投标人在本次招标活动中，必须遵守《中华人民共和国政府采购法》的规定。</w:t>
      </w:r>
    </w:p>
    <w:p w14:paraId="7D4B6E83">
      <w:pPr>
        <w:spacing w:line="360" w:lineRule="auto"/>
        <w:ind w:firstLine="482" w:firstLineChars="200"/>
        <w:rPr>
          <w:rFonts w:hint="eastAsia" w:ascii="宋体" w:hAnsi="宋体" w:cs="宋体"/>
          <w:b/>
          <w:color w:val="auto"/>
          <w:sz w:val="24"/>
          <w:szCs w:val="24"/>
        </w:rPr>
      </w:pPr>
      <w:r>
        <w:rPr>
          <w:rFonts w:hint="eastAsia" w:ascii="宋体" w:hAnsi="宋体" w:cs="宋体"/>
          <w:b/>
          <w:color w:val="auto"/>
          <w:sz w:val="24"/>
          <w:szCs w:val="24"/>
        </w:rPr>
        <w:t>3.定义</w:t>
      </w:r>
    </w:p>
    <w:p w14:paraId="51DB8CED">
      <w:pPr>
        <w:spacing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rPr>
        <w:t>3.1 “采购人”系指合同中明确规定的实际购买货物和服务的法人、行政事业单位、团体组织。</w:t>
      </w:r>
    </w:p>
    <w:p w14:paraId="6EBA4B5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3.2 “供应商”系指响应招标，并按照竞争性磋商文件的要求参与投标竞争的法人，中标后即为中标人，签订合同后即为卖方。</w:t>
      </w:r>
    </w:p>
    <w:p w14:paraId="7BE85FD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3.3 “招标机构”系指在委托人授权范围内具体组织实施招标活动的法人。</w:t>
      </w:r>
    </w:p>
    <w:p w14:paraId="1CB2311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3.4 “货物”系指卖方按合同要求，须向买方提供的一切产品及其它技术资料和材料。</w:t>
      </w:r>
    </w:p>
    <w:p w14:paraId="7B124C24">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3.5 “服务”系指合同规定卖方须承担的技术协助、本地化开发、安装、调试和交付使用后免费维护期内应履行的义务及售后服务等其他类似的义务。</w:t>
      </w:r>
    </w:p>
    <w:p w14:paraId="08000CE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3.6 “卖方”系指提供合同货物和服务的法人。</w:t>
      </w:r>
    </w:p>
    <w:p w14:paraId="04FB84F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3.7 “买方”系指购买服务的单位。</w:t>
      </w:r>
    </w:p>
    <w:p w14:paraId="40279333">
      <w:pPr>
        <w:spacing w:line="360" w:lineRule="auto"/>
        <w:ind w:firstLine="482" w:firstLineChars="200"/>
        <w:rPr>
          <w:rFonts w:hint="eastAsia" w:ascii="宋体" w:hAnsi="宋体" w:cs="宋体"/>
          <w:b/>
          <w:color w:val="auto"/>
          <w:sz w:val="24"/>
          <w:szCs w:val="24"/>
        </w:rPr>
      </w:pPr>
      <w:bookmarkStart w:id="36" w:name="_Toc527642953"/>
      <w:bookmarkStart w:id="37" w:name="_Toc349637921"/>
      <w:bookmarkStart w:id="38" w:name="_Toc349573122"/>
      <w:bookmarkStart w:id="39" w:name="_Toc267301283"/>
      <w:bookmarkStart w:id="40" w:name="_Toc298240406"/>
      <w:r>
        <w:rPr>
          <w:rFonts w:hint="eastAsia" w:ascii="宋体" w:hAnsi="宋体" w:cs="宋体"/>
          <w:b/>
          <w:color w:val="auto"/>
          <w:sz w:val="24"/>
          <w:szCs w:val="24"/>
        </w:rPr>
        <w:t>4、投标费用</w:t>
      </w:r>
    </w:p>
    <w:p w14:paraId="4946E53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4.1 无论投标结果如何，供应商须自行承担所有与参加投标有关的全部费用,采购人和招标代理机构在任何情况下均无义务和责任承担这些费用。</w:t>
      </w:r>
    </w:p>
    <w:p w14:paraId="3FD45914">
      <w:pPr>
        <w:pStyle w:val="3"/>
        <w:rPr>
          <w:rFonts w:hint="eastAsia" w:ascii="宋体" w:hAnsi="宋体" w:cs="宋体"/>
          <w:color w:val="auto"/>
        </w:rPr>
      </w:pPr>
      <w:bookmarkStart w:id="41" w:name="_Toc2819"/>
      <w:r>
        <w:rPr>
          <w:rFonts w:hint="eastAsia" w:ascii="宋体" w:hAnsi="宋体" w:cs="宋体"/>
          <w:color w:val="auto"/>
        </w:rPr>
        <w:t>B  磋商文件</w:t>
      </w:r>
      <w:bookmarkEnd w:id="36"/>
      <w:bookmarkEnd w:id="37"/>
      <w:bookmarkEnd w:id="38"/>
      <w:bookmarkEnd w:id="39"/>
      <w:bookmarkEnd w:id="40"/>
      <w:bookmarkEnd w:id="41"/>
    </w:p>
    <w:p w14:paraId="506A35E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5．磋商文件构成</w:t>
      </w:r>
    </w:p>
    <w:p w14:paraId="15A2860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5.1磋商文件包括：</w:t>
      </w:r>
    </w:p>
    <w:p w14:paraId="16FCB3B4">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TOC \o "1-2" \h \z \u </w:instrText>
      </w:r>
      <w:r>
        <w:rPr>
          <w:rFonts w:hint="eastAsia" w:ascii="宋体" w:hAnsi="宋体" w:cs="宋体"/>
          <w:color w:val="auto"/>
          <w:sz w:val="24"/>
          <w:szCs w:val="24"/>
        </w:rPr>
        <w:fldChar w:fldCharType="separate"/>
      </w:r>
      <w:r>
        <w:rPr>
          <w:color w:val="auto"/>
        </w:rPr>
        <w:fldChar w:fldCharType="begin"/>
      </w:r>
      <w:r>
        <w:rPr>
          <w:color w:val="auto"/>
        </w:rPr>
        <w:instrText xml:space="preserve"> HYPERLINK \l "_Toc527642949" </w:instrText>
      </w:r>
      <w:r>
        <w:rPr>
          <w:color w:val="auto"/>
        </w:rPr>
        <w:fldChar w:fldCharType="separate"/>
      </w:r>
      <w:r>
        <w:rPr>
          <w:rFonts w:hint="eastAsia" w:ascii="宋体" w:hAnsi="宋体" w:cs="宋体"/>
          <w:color w:val="auto"/>
          <w:sz w:val="24"/>
          <w:szCs w:val="24"/>
        </w:rPr>
        <w:t>（1）竞争性磋商公告</w:t>
      </w:r>
      <w:r>
        <w:rPr>
          <w:rFonts w:hint="eastAsia" w:ascii="宋体" w:hAnsi="宋体" w:cs="宋体"/>
          <w:color w:val="auto"/>
          <w:sz w:val="24"/>
          <w:szCs w:val="24"/>
        </w:rPr>
        <w:fldChar w:fldCharType="end"/>
      </w:r>
    </w:p>
    <w:p w14:paraId="7786CF36">
      <w:pPr>
        <w:spacing w:line="360" w:lineRule="auto"/>
        <w:ind w:firstLine="420" w:firstLineChars="200"/>
        <w:rPr>
          <w:rFonts w:hint="eastAsia" w:ascii="宋体" w:hAnsi="宋体" w:cs="宋体"/>
          <w:color w:val="auto"/>
          <w:sz w:val="24"/>
          <w:szCs w:val="24"/>
        </w:rPr>
      </w:pPr>
      <w:r>
        <w:rPr>
          <w:color w:val="auto"/>
        </w:rPr>
        <w:fldChar w:fldCharType="begin"/>
      </w:r>
      <w:r>
        <w:rPr>
          <w:color w:val="auto"/>
        </w:rPr>
        <w:instrText xml:space="preserve"> HYPERLINK \l "_Toc527642950" </w:instrText>
      </w:r>
      <w:r>
        <w:rPr>
          <w:color w:val="auto"/>
        </w:rPr>
        <w:fldChar w:fldCharType="separate"/>
      </w:r>
      <w:r>
        <w:rPr>
          <w:rFonts w:hint="eastAsia" w:ascii="宋体" w:hAnsi="宋体" w:cs="宋体"/>
          <w:color w:val="auto"/>
          <w:sz w:val="24"/>
          <w:szCs w:val="24"/>
        </w:rPr>
        <w:t>（2）供应商须知</w:t>
      </w:r>
      <w:r>
        <w:rPr>
          <w:rFonts w:hint="eastAsia" w:ascii="宋体" w:hAnsi="宋体" w:cs="宋体"/>
          <w:color w:val="auto"/>
          <w:sz w:val="24"/>
          <w:szCs w:val="24"/>
        </w:rPr>
        <w:fldChar w:fldCharType="end"/>
      </w:r>
    </w:p>
    <w:p w14:paraId="09C84E1F">
      <w:pPr>
        <w:spacing w:line="360" w:lineRule="auto"/>
        <w:ind w:firstLine="420" w:firstLineChars="200"/>
        <w:rPr>
          <w:rFonts w:hint="eastAsia" w:ascii="宋体" w:hAnsi="宋体" w:cs="宋体"/>
          <w:color w:val="auto"/>
          <w:sz w:val="24"/>
          <w:szCs w:val="24"/>
        </w:rPr>
      </w:pPr>
      <w:r>
        <w:rPr>
          <w:color w:val="auto"/>
        </w:rPr>
        <w:fldChar w:fldCharType="begin"/>
      </w:r>
      <w:r>
        <w:rPr>
          <w:color w:val="auto"/>
        </w:rPr>
        <w:instrText xml:space="preserve"> HYPERLINK \l "_Toc527642959" </w:instrText>
      </w:r>
      <w:r>
        <w:rPr>
          <w:color w:val="auto"/>
        </w:rPr>
        <w:fldChar w:fldCharType="separate"/>
      </w:r>
      <w:r>
        <w:rPr>
          <w:rFonts w:hint="eastAsia" w:ascii="宋体" w:hAnsi="宋体" w:cs="宋体"/>
          <w:color w:val="auto"/>
          <w:sz w:val="24"/>
          <w:szCs w:val="24"/>
        </w:rPr>
        <w:t>（3）技术要求</w:t>
      </w:r>
      <w:r>
        <w:rPr>
          <w:rFonts w:hint="eastAsia" w:ascii="宋体" w:hAnsi="宋体" w:cs="宋体"/>
          <w:color w:val="auto"/>
          <w:sz w:val="24"/>
          <w:szCs w:val="24"/>
        </w:rPr>
        <w:fldChar w:fldCharType="end"/>
      </w:r>
    </w:p>
    <w:p w14:paraId="6469A658">
      <w:pPr>
        <w:spacing w:line="360" w:lineRule="auto"/>
        <w:ind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"_Toc527642960" </w:instrText>
      </w:r>
      <w:r>
        <w:rPr>
          <w:color w:val="auto"/>
          <w:highlight w:val="none"/>
        </w:rPr>
        <w:fldChar w:fldCharType="separate"/>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）合同条款及格式</w:t>
      </w:r>
      <w:r>
        <w:rPr>
          <w:rFonts w:hint="eastAsia" w:ascii="宋体" w:hAnsi="宋体" w:cs="宋体"/>
          <w:color w:val="auto"/>
          <w:sz w:val="24"/>
          <w:szCs w:val="24"/>
          <w:highlight w:val="none"/>
        </w:rPr>
        <w:fldChar w:fldCharType="end"/>
      </w:r>
    </w:p>
    <w:p w14:paraId="441F68D1">
      <w:pPr>
        <w:spacing w:line="360" w:lineRule="auto"/>
        <w:ind w:firstLine="420" w:firstLineChars="200"/>
        <w:rPr>
          <w:rFonts w:hint="eastAsia" w:ascii="宋体" w:hAnsi="宋体" w:cs="宋体"/>
          <w:color w:val="auto"/>
          <w:sz w:val="24"/>
          <w:szCs w:val="24"/>
        </w:rPr>
      </w:pPr>
      <w:r>
        <w:rPr>
          <w:color w:val="auto"/>
          <w:highlight w:val="none"/>
        </w:rPr>
        <w:fldChar w:fldCharType="begin"/>
      </w:r>
      <w:r>
        <w:rPr>
          <w:color w:val="auto"/>
          <w:highlight w:val="none"/>
        </w:rPr>
        <w:instrText xml:space="preserve"> HYPERLINK \l "_Toc527642969" </w:instrText>
      </w:r>
      <w:r>
        <w:rPr>
          <w:color w:val="auto"/>
          <w:highlight w:val="none"/>
        </w:rPr>
        <w:fldChar w:fldCharType="separate"/>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 响应文件格式</w:t>
      </w:r>
      <w:r>
        <w:rPr>
          <w:rFonts w:hint="eastAsia" w:ascii="宋体" w:hAnsi="宋体" w:cs="宋体"/>
          <w:color w:val="auto"/>
          <w:sz w:val="24"/>
          <w:szCs w:val="24"/>
          <w:highlight w:val="none"/>
        </w:rPr>
        <w:fldChar w:fldCharType="end"/>
      </w:r>
    </w:p>
    <w:p w14:paraId="0404F48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fldChar w:fldCharType="end"/>
      </w:r>
      <w:r>
        <w:rPr>
          <w:rFonts w:hint="eastAsia" w:ascii="宋体" w:hAnsi="宋体" w:cs="宋体"/>
          <w:color w:val="auto"/>
          <w:sz w:val="24"/>
          <w:szCs w:val="24"/>
        </w:rPr>
        <w:t>5.2 磋商文件以中文编写。</w:t>
      </w:r>
    </w:p>
    <w:p w14:paraId="4D25369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5.3 供应商应认真阅读磋商文件中所有的事项、格式、条款和规范等要求，从对磋商文件作出实质性响应。如果没有按照磋商文件要求提交全部磋商响应文件或资料，没有对磋商文件作出实质性响应，其风险应由供应商自行承担。</w:t>
      </w:r>
    </w:p>
    <w:p w14:paraId="27ABC8AC">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6．磋商文件澄清</w:t>
      </w:r>
    </w:p>
    <w:p w14:paraId="043E407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6.1 供应商对磋商文件有疑问的，可以向招标代理机构提出询问，招标代理机构将及时做出答复；</w:t>
      </w:r>
    </w:p>
    <w:p w14:paraId="633B976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6.2 供应商对磋商文件有质疑，须在得到磋商文件之日起至质疑截止时间止，以书面形式向招标机构提出质疑；招标机构在收到书面质疑后，在投标截止时间3个工作日前做出答复，并以书面形式通知质疑供应商。</w:t>
      </w:r>
    </w:p>
    <w:p w14:paraId="002C2E8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7.  磋商文件的修改</w:t>
      </w:r>
    </w:p>
    <w:p w14:paraId="3A0197E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7.1 对磋商文件进行必要的修改，招标代理机构将在投标截止时间3个工作日前以书面形式通知所有购买磋商文件的供应商。该修改的内容为磋商文件的组成部分；</w:t>
      </w:r>
    </w:p>
    <w:p w14:paraId="1411FC18">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7.2 在投标截止时间前，招标机构可视具体情况延长投标截止时间，并将变更时间书面通知所有购买磋商文件的供应商。</w:t>
      </w:r>
    </w:p>
    <w:p w14:paraId="6A2E69B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 xml:space="preserve"> 磋商文件以中文编写。</w:t>
      </w:r>
    </w:p>
    <w:p w14:paraId="119A7B0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供应商应认真阅读磋商文件中所有的事项、格式、条款和规范等要求，从对磋商文件作出实质性响应。如果没有按照磋商文件要求提交全部磋商响应文件或资料，没有对磋商文件作出实质性响应，其风险应由供应商自行承担。</w:t>
      </w:r>
    </w:p>
    <w:p w14:paraId="39356963">
      <w:pPr>
        <w:pStyle w:val="3"/>
        <w:rPr>
          <w:rFonts w:hint="eastAsia" w:ascii="宋体" w:hAnsi="宋体" w:cs="宋体"/>
          <w:color w:val="auto"/>
        </w:rPr>
      </w:pPr>
      <w:bookmarkStart w:id="42" w:name="_Toc349573123"/>
      <w:bookmarkStart w:id="43" w:name="_Toc349637922"/>
      <w:bookmarkStart w:id="44" w:name="_Toc27429"/>
      <w:bookmarkStart w:id="45" w:name="_Toc527642954"/>
      <w:bookmarkStart w:id="46" w:name="_Toc267301284"/>
      <w:bookmarkStart w:id="47" w:name="_Toc298240407"/>
    </w:p>
    <w:p w14:paraId="5735FA5A">
      <w:pPr>
        <w:pStyle w:val="3"/>
        <w:rPr>
          <w:rFonts w:hint="eastAsia" w:ascii="宋体" w:hAnsi="宋体" w:cs="宋体"/>
          <w:color w:val="auto"/>
        </w:rPr>
      </w:pPr>
      <w:r>
        <w:rPr>
          <w:rFonts w:hint="eastAsia" w:ascii="宋体" w:hAnsi="宋体" w:cs="宋体"/>
          <w:color w:val="auto"/>
        </w:rPr>
        <w:t>C  磋商响应文件的编写</w:t>
      </w:r>
      <w:bookmarkEnd w:id="42"/>
      <w:bookmarkEnd w:id="43"/>
      <w:bookmarkEnd w:id="44"/>
      <w:bookmarkEnd w:id="45"/>
      <w:bookmarkEnd w:id="46"/>
      <w:bookmarkEnd w:id="47"/>
    </w:p>
    <w:p w14:paraId="4CD2378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8．要求</w:t>
      </w:r>
    </w:p>
    <w:p w14:paraId="37A8C794">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8.1 供应商应仔细阅读磋商文件的所有内容，按磋商文件的要求提供磋商响应文件，并保证所提供的全部资料的真实性，以使其投标对磋商文件作出实质性响应，否则，其投标可能被拒绝。</w:t>
      </w:r>
    </w:p>
    <w:p w14:paraId="60FD3F9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9．投标语言</w:t>
      </w:r>
    </w:p>
    <w:p w14:paraId="6E7CB6D4">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9.1磋商响应文件及供应商与招标代理机构就投标交换的文件和来往信件，应以中文书写。</w:t>
      </w:r>
    </w:p>
    <w:p w14:paraId="417EC758">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10．磋商响应文件的构成</w:t>
      </w:r>
    </w:p>
    <w:p w14:paraId="37B25D3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10.1 供应商编写的磋商响应文件应包括下列内容：</w:t>
      </w:r>
    </w:p>
    <w:p w14:paraId="50AE4C63">
      <w:pPr>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w:t>
      </w:r>
      <w:r>
        <w:rPr>
          <w:rFonts w:hint="eastAsia" w:ascii="宋体" w:hAnsi="宋体" w:cs="宋体"/>
          <w:b/>
          <w:bCs/>
          <w:color w:val="auto"/>
          <w:sz w:val="24"/>
          <w:szCs w:val="24"/>
          <w:lang w:val="en-US" w:eastAsia="zh-CN"/>
        </w:rPr>
        <w:t>0</w:t>
      </w:r>
      <w:r>
        <w:rPr>
          <w:rFonts w:hint="eastAsia" w:ascii="宋体" w:hAnsi="宋体" w:cs="宋体"/>
          <w:b/>
          <w:bCs/>
          <w:color w:val="auto"/>
          <w:sz w:val="24"/>
          <w:szCs w:val="24"/>
        </w:rPr>
        <w:t>.1响应文件包含：经济报价部分、商务部分、技术部分三部分组成，具体详见招标文件第五部分磋商响应文件及格式</w:t>
      </w:r>
    </w:p>
    <w:p w14:paraId="49B54A28">
      <w:pPr>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12、投标报价（本</w:t>
      </w:r>
      <w:bookmarkStart w:id="48" w:name="OLE_LINK1"/>
      <w:r>
        <w:rPr>
          <w:rFonts w:hint="eastAsia" w:ascii="宋体" w:hAnsi="宋体" w:cs="宋体"/>
          <w:b/>
          <w:bCs/>
          <w:color w:val="auto"/>
          <w:sz w:val="24"/>
          <w:szCs w:val="24"/>
        </w:rPr>
        <w:t>项目采用二轮报价）</w:t>
      </w:r>
    </w:p>
    <w:p w14:paraId="4AEAB25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12.1、投标报价不得高于采购预算价，如高于采购预算价视为无效投标报价；</w:t>
      </w:r>
    </w:p>
    <w:bookmarkEnd w:id="48"/>
    <w:p w14:paraId="28C90E06">
      <w:pPr>
        <w:spacing w:line="360" w:lineRule="auto"/>
        <w:ind w:firstLine="482" w:firstLineChars="200"/>
        <w:rPr>
          <w:rFonts w:hint="eastAsia" w:ascii="宋体" w:hAnsi="宋体" w:cs="宋体"/>
          <w:color w:val="auto"/>
          <w:sz w:val="24"/>
          <w:szCs w:val="24"/>
        </w:rPr>
      </w:pPr>
      <w:r>
        <w:rPr>
          <w:rFonts w:hint="eastAsia" w:ascii="宋体" w:hAnsi="宋体" w:cs="宋体"/>
          <w:b/>
          <w:bCs/>
          <w:color w:val="auto"/>
          <w:sz w:val="24"/>
          <w:szCs w:val="24"/>
        </w:rPr>
        <w:t>13、供应商应逐条详细阅读竞争性磋商文件有关要求，表明所提供的服务是否对竞争性磋商文件做出实质性响应。</w:t>
      </w:r>
    </w:p>
    <w:p w14:paraId="442BC22A">
      <w:pPr>
        <w:spacing w:line="360" w:lineRule="auto"/>
        <w:ind w:firstLine="482" w:firstLineChars="200"/>
        <w:rPr>
          <w:rFonts w:hint="eastAsia" w:ascii="宋体" w:hAnsi="宋体" w:cs="宋体"/>
          <w:b/>
          <w:color w:val="auto"/>
          <w:sz w:val="24"/>
          <w:szCs w:val="24"/>
        </w:rPr>
      </w:pPr>
      <w:bookmarkStart w:id="49" w:name="_Toc267301286"/>
      <w:bookmarkStart w:id="50" w:name="_Toc527642956"/>
      <w:bookmarkStart w:id="51" w:name="_Toc349637924"/>
      <w:bookmarkStart w:id="52" w:name="_Toc349573125"/>
      <w:bookmarkStart w:id="53" w:name="_Toc298240409"/>
      <w:r>
        <w:rPr>
          <w:rFonts w:hint="eastAsia" w:ascii="宋体" w:hAnsi="宋体" w:cs="宋体"/>
          <w:b/>
          <w:color w:val="auto"/>
          <w:sz w:val="24"/>
          <w:szCs w:val="24"/>
        </w:rPr>
        <w:t>14、投标文件的有效期</w:t>
      </w:r>
    </w:p>
    <w:p w14:paraId="5DC491C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14.1 投标文件从实际开标之日起90天内有效。有效期不足的投标文件将被拒绝。</w:t>
      </w:r>
    </w:p>
    <w:p w14:paraId="5918AAC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14.2 如遇特殊情况，在原投标有效期届满之前，招标人可与投标人协商延长投标文件的有效期，并经投标人确认。</w:t>
      </w:r>
    </w:p>
    <w:p w14:paraId="225C4BF8">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14.3投标人可拒绝接受延期要求而不会导致投标保证金被没收。同意延长有效期的投标人需要相应延长投标保证金的有效期，但不能修改投标文件。 </w:t>
      </w:r>
    </w:p>
    <w:p w14:paraId="49DB1AF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14.4中标人的投标文件自开标之日起至合同履行完毕止均应保持有效。</w:t>
      </w:r>
    </w:p>
    <w:p w14:paraId="75A7816C">
      <w:pPr>
        <w:spacing w:line="360" w:lineRule="auto"/>
        <w:ind w:firstLine="482" w:firstLineChars="200"/>
        <w:rPr>
          <w:rFonts w:hint="eastAsia" w:ascii="宋体" w:hAnsi="宋体" w:cs="宋体"/>
          <w:b/>
          <w:color w:val="auto"/>
          <w:sz w:val="24"/>
          <w:szCs w:val="24"/>
        </w:rPr>
      </w:pPr>
      <w:r>
        <w:rPr>
          <w:rFonts w:hint="eastAsia" w:ascii="宋体" w:hAnsi="宋体" w:cs="宋体"/>
          <w:b/>
          <w:color w:val="auto"/>
          <w:sz w:val="24"/>
          <w:szCs w:val="24"/>
        </w:rPr>
        <w:t>15、投标文件的签署、递交、准备和解密时间要求</w:t>
      </w:r>
    </w:p>
    <w:p w14:paraId="361D15C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15.1投标人应按本招标文件规定的格式和顺序编制、装订投标文件并标注页码，投标文件内容不完整、编排混乱导致投标文件被误读、漏读或者查找不到相关内容的，是投标人的责任。</w:t>
      </w:r>
    </w:p>
    <w:p w14:paraId="14DA4632">
      <w:pPr>
        <w:spacing w:line="360" w:lineRule="auto"/>
        <w:ind w:firstLine="482" w:firstLineChars="200"/>
        <w:rPr>
          <w:rFonts w:hint="eastAsia" w:ascii="宋体" w:hAnsi="宋体" w:cs="宋体"/>
          <w:color w:val="auto"/>
          <w:sz w:val="24"/>
          <w:szCs w:val="24"/>
        </w:rPr>
      </w:pPr>
      <w:r>
        <w:rPr>
          <w:rFonts w:hint="eastAsia" w:ascii="宋体" w:hAnsi="宋体" w:cs="宋体"/>
          <w:b/>
          <w:bCs/>
          <w:color w:val="auto"/>
          <w:sz w:val="24"/>
          <w:szCs w:val="24"/>
        </w:rPr>
        <w:t>15.2投标人应于</w:t>
      </w:r>
      <w:r>
        <w:rPr>
          <w:rFonts w:hint="eastAsia" w:ascii="宋体" w:hAnsi="宋体" w:cs="宋体"/>
          <w:b/>
          <w:bCs/>
          <w:color w:val="auto"/>
          <w:sz w:val="24"/>
          <w:szCs w:val="24"/>
          <w:lang w:val="en-US" w:eastAsia="zh-CN"/>
        </w:rPr>
        <w:t>投标截止时间</w:t>
      </w:r>
      <w:r>
        <w:rPr>
          <w:rFonts w:hint="eastAsia" w:ascii="宋体" w:hAnsi="宋体" w:cs="宋体"/>
          <w:b/>
          <w:bCs/>
          <w:color w:val="auto"/>
          <w:sz w:val="24"/>
          <w:szCs w:val="24"/>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14:paraId="14C3B52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15.3投标文件须由投标人在规定位置盖章并由法定代表人或法定代表人的授权委托人签署，投标人应写全称。</w:t>
      </w:r>
    </w:p>
    <w:p w14:paraId="3309232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15.4投标文件不得涂改，若有修改错漏处，须加盖单位公章或者法定代表人或授权委托人签字或盖章。投标文件因字迹潦草或表达不清所引起的后果由投标人负责。</w:t>
      </w:r>
    </w:p>
    <w:p w14:paraId="0095AF44">
      <w:pPr>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 xml:space="preserve">15.5、本项目实行网上投标，采用电子投标文件。若供应商参与投标，自行承担投标一切费用。 </w:t>
      </w:r>
    </w:p>
    <w:p w14:paraId="09716400">
      <w:pPr>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 xml:space="preserve">15.6、各供应商应在开标前应确保成为新疆维吾尔自治区政府采购网正式注册入库供应商，并完成CA数字证书申领。因未注册入库、未办理CA数字证书等原因造成无法投标或投标失败等后果由供应商自行承担。 </w:t>
      </w:r>
    </w:p>
    <w:p w14:paraId="5E16127D">
      <w:pPr>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15.7、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0FD03D7C">
      <w:pPr>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15.8、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2D387C7">
      <w:pPr>
        <w:spacing w:line="360"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15.9开标时间30分钟内供应商可以登录“政采云”平台，用“项目采购-开标评标”功能进行解密投标文件。若供应商在规定时间内未按时解密的，视为投标文件撤回。</w:t>
      </w:r>
    </w:p>
    <w:p w14:paraId="480CACF1">
      <w:pPr>
        <w:spacing w:line="360" w:lineRule="auto"/>
        <w:ind w:firstLine="482" w:firstLineChars="200"/>
        <w:rPr>
          <w:rFonts w:hint="eastAsia" w:ascii="宋体" w:hAnsi="宋体" w:cs="宋体"/>
          <w:b/>
          <w:color w:val="auto"/>
          <w:sz w:val="24"/>
          <w:szCs w:val="24"/>
        </w:rPr>
      </w:pPr>
      <w:r>
        <w:rPr>
          <w:rFonts w:hint="eastAsia" w:ascii="宋体" w:hAnsi="宋体" w:cs="宋体"/>
          <w:b/>
          <w:color w:val="auto"/>
          <w:sz w:val="24"/>
          <w:szCs w:val="24"/>
        </w:rPr>
        <w:t>16、投标保证金</w:t>
      </w:r>
    </w:p>
    <w:p w14:paraId="2953769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rPr>
        <w:t>16.1 投标保证金数额</w:t>
      </w:r>
      <w:r>
        <w:rPr>
          <w:rFonts w:hint="eastAsia" w:ascii="宋体" w:hAnsi="宋体" w:cs="宋体"/>
          <w:b/>
          <w:color w:val="auto"/>
          <w:sz w:val="24"/>
          <w:szCs w:val="24"/>
          <w:u w:val="single"/>
        </w:rPr>
        <w:t>详见投标人须知前附表</w:t>
      </w:r>
      <w:r>
        <w:rPr>
          <w:rFonts w:hint="eastAsia" w:ascii="宋体" w:hAnsi="宋体" w:cs="宋体"/>
          <w:b/>
          <w:color w:val="auto"/>
          <w:sz w:val="24"/>
          <w:szCs w:val="24"/>
          <w:highlight w:val="none"/>
          <w:u w:val="single"/>
        </w:rPr>
        <w:t>第</w:t>
      </w:r>
      <w:r>
        <w:rPr>
          <w:rFonts w:hint="eastAsia" w:ascii="宋体" w:hAnsi="宋体" w:cs="宋体"/>
          <w:b/>
          <w:color w:val="auto"/>
          <w:sz w:val="24"/>
          <w:szCs w:val="24"/>
          <w:highlight w:val="none"/>
          <w:u w:val="single"/>
          <w:lang w:val="en-US" w:eastAsia="zh-CN"/>
        </w:rPr>
        <w:t>10</w:t>
      </w:r>
      <w:r>
        <w:rPr>
          <w:rFonts w:hint="eastAsia" w:ascii="宋体" w:hAnsi="宋体" w:cs="宋体"/>
          <w:b/>
          <w:color w:val="auto"/>
          <w:sz w:val="24"/>
          <w:szCs w:val="24"/>
          <w:highlight w:val="none"/>
          <w:u w:val="single"/>
        </w:rPr>
        <w:t>条</w:t>
      </w:r>
      <w:r>
        <w:rPr>
          <w:rFonts w:hint="eastAsia" w:ascii="宋体" w:hAnsi="宋体" w:cs="宋体"/>
          <w:color w:val="auto"/>
          <w:sz w:val="24"/>
          <w:szCs w:val="24"/>
          <w:highlight w:val="none"/>
        </w:rPr>
        <w:t>。</w:t>
      </w:r>
    </w:p>
    <w:p w14:paraId="01FA2F7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16.2 投标保证金用于应对本次招标因投标人违规、违约而产生的风险。</w:t>
      </w:r>
    </w:p>
    <w:p w14:paraId="75FAC3AF">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16.3 投标人必须于投标截止时间之前（</w:t>
      </w:r>
      <w:r>
        <w:rPr>
          <w:rFonts w:hint="eastAsia" w:ascii="宋体" w:hAnsi="宋体" w:cs="宋体"/>
          <w:b/>
          <w:color w:val="auto"/>
          <w:sz w:val="24"/>
          <w:szCs w:val="24"/>
          <w:u w:val="single"/>
        </w:rPr>
        <w:t>详见投标人须知前附</w:t>
      </w:r>
      <w:r>
        <w:rPr>
          <w:rFonts w:hint="eastAsia" w:ascii="宋体" w:hAnsi="宋体" w:cs="宋体"/>
          <w:b/>
          <w:color w:val="auto"/>
          <w:sz w:val="24"/>
          <w:szCs w:val="24"/>
          <w:highlight w:val="none"/>
          <w:u w:val="single"/>
        </w:rPr>
        <w:t>表第</w:t>
      </w:r>
      <w:r>
        <w:rPr>
          <w:rFonts w:hint="eastAsia" w:ascii="宋体" w:hAnsi="宋体" w:cs="宋体"/>
          <w:b/>
          <w:color w:val="auto"/>
          <w:sz w:val="24"/>
          <w:szCs w:val="24"/>
          <w:highlight w:val="none"/>
          <w:u w:val="single"/>
          <w:lang w:val="en-US" w:eastAsia="zh-CN"/>
        </w:rPr>
        <w:t>10</w:t>
      </w:r>
      <w:r>
        <w:rPr>
          <w:rFonts w:hint="eastAsia" w:ascii="宋体" w:hAnsi="宋体" w:cs="宋体"/>
          <w:b/>
          <w:color w:val="auto"/>
          <w:sz w:val="24"/>
          <w:szCs w:val="24"/>
          <w:highlight w:val="none"/>
          <w:u w:val="single"/>
        </w:rPr>
        <w:t>条规定）</w:t>
      </w:r>
      <w:r>
        <w:rPr>
          <w:rFonts w:hint="eastAsia" w:ascii="宋体" w:hAnsi="宋体" w:cs="宋体"/>
          <w:color w:val="auto"/>
          <w:sz w:val="24"/>
          <w:szCs w:val="24"/>
        </w:rPr>
        <w:t>按将投标保证金交纳至规定的帐号，对未按要求提交投标保证金的投标书，招标机构将视为不响应投标予以拒绝。</w:t>
      </w:r>
    </w:p>
    <w:p w14:paraId="3032154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rPr>
        <w:t>16.4 投标保证金应以基本账户对公转账方式提交。</w:t>
      </w:r>
      <w:r>
        <w:rPr>
          <w:rFonts w:hint="eastAsia" w:ascii="宋体" w:hAnsi="宋体" w:cs="宋体"/>
          <w:color w:val="auto"/>
          <w:sz w:val="24"/>
          <w:szCs w:val="24"/>
          <w:highlight w:val="none"/>
        </w:rPr>
        <w:t>本招标接受银行保函形式的投标保证金。</w:t>
      </w:r>
    </w:p>
    <w:p w14:paraId="0C670336">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16.5在招标方规定的投标有效期满之前，招标方将以书面形式 发出《中标通知书》，《中标通知书》一经发出即发生法律效力。</w:t>
      </w:r>
    </w:p>
    <w:p w14:paraId="66F2EDD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16.6 发生以下情况投标保证金可能被没收：</w:t>
      </w:r>
    </w:p>
    <w:p w14:paraId="109BD01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16.6.1 投标人在投标有效期内撤回投标的；</w:t>
      </w:r>
    </w:p>
    <w:p w14:paraId="448ABA8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16.6.2 中标人未能做到：中标后，无正当理由放弃中标资格。</w:t>
      </w:r>
    </w:p>
    <w:p w14:paraId="192395E8">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16.6.3 投标人在投标过程中有违反有关法律法规行为的。</w:t>
      </w:r>
    </w:p>
    <w:p w14:paraId="053AA13A">
      <w:pPr>
        <w:pStyle w:val="3"/>
        <w:rPr>
          <w:rFonts w:hint="eastAsia" w:ascii="宋体" w:hAnsi="宋体" w:cs="宋体"/>
          <w:color w:val="auto"/>
        </w:rPr>
      </w:pPr>
      <w:bookmarkStart w:id="54" w:name="_Toc22171"/>
      <w:bookmarkStart w:id="55" w:name="_Toc22295"/>
      <w:r>
        <w:rPr>
          <w:rFonts w:hint="eastAsia" w:ascii="宋体" w:hAnsi="宋体" w:cs="宋体"/>
          <w:color w:val="auto"/>
        </w:rPr>
        <w:t>d  投标文件的递交</w:t>
      </w:r>
      <w:bookmarkEnd w:id="54"/>
      <w:bookmarkEnd w:id="55"/>
    </w:p>
    <w:p w14:paraId="3547ED89">
      <w:pPr>
        <w:widowControl/>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17.1.投标文件的准备和解密</w:t>
      </w:r>
    </w:p>
    <w:p w14:paraId="237074D7">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17.1.2本项目实行网上投标，采用电子投标文件。若供应商参与投标，自行承担投标一切费用。 </w:t>
      </w:r>
    </w:p>
    <w:p w14:paraId="2C3F2E4E">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17.1.3 各供应商应在开标前应确保成为新疆维吾尔自治区政府采购网正式注册入库供应商，并完成CA数字证书申领。因未注册入库、未办理CA数字证书等原因造成无法投标或投标失败等后果由供应商自行承担。 </w:t>
      </w:r>
    </w:p>
    <w:p w14:paraId="0EE023C8">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17.1.4 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47C96109">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17.1.5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139C64A6">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17.1.6 投标截止时间后，供应商应及时登录“政采云”平台，用“项目采购-开标评标”功能对投标文件进行解密。规定的解密时限为：</w:t>
      </w:r>
      <w:bookmarkStart w:id="56" w:name="_Hlk49254376"/>
      <w:r>
        <w:rPr>
          <w:rFonts w:hint="eastAsia" w:ascii="宋体" w:hAnsi="宋体" w:cs="宋体"/>
          <w:color w:val="auto"/>
          <w:sz w:val="24"/>
          <w:szCs w:val="24"/>
        </w:rPr>
        <w:t>“投标人须知前附表”的中规定</w:t>
      </w:r>
      <w:bookmarkEnd w:id="56"/>
      <w:r>
        <w:rPr>
          <w:rFonts w:hint="eastAsia" w:ascii="宋体" w:hAnsi="宋体" w:cs="宋体"/>
          <w:color w:val="auto"/>
          <w:sz w:val="24"/>
          <w:szCs w:val="24"/>
        </w:rPr>
        <w:t>，若供应商在规定的时间内（“投标人须知前附表”的中规定）未能解密的，视为供应商对其投标文件的撤回。</w:t>
      </w:r>
    </w:p>
    <w:p w14:paraId="71CDE7A1">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17.1.7 因系统（非投标供应商行为）的原因，造成投标供应商未能在规定的解密时限内解密的，请及时与招标代理机构或与政采云投标客户端进行联系。</w:t>
      </w:r>
    </w:p>
    <w:p w14:paraId="033BF597">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17.1.8 投标文件未按规定上传的，视为其自动放弃投标。</w:t>
      </w:r>
    </w:p>
    <w:p w14:paraId="2E495D20">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17.1.9 投标文件的修改与撤回</w:t>
      </w:r>
    </w:p>
    <w:p w14:paraId="4F86621A">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17.1.10投标人在投标截止时间前，可以对所递交的投标文件进行补充、修改或者撤回，并书面通知采购人或者采购代理机构。</w:t>
      </w:r>
    </w:p>
    <w:p w14:paraId="716E693E">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17.1.11 投标人在投标截止期后不得修改、撤回投标文件。投标人在投标截止期后修改投标文件的，其投标无效。</w:t>
      </w:r>
    </w:p>
    <w:p w14:paraId="33C85BA5">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17.1.12 若供应商在规定的时间内（“投标人须知前附表</w:t>
      </w:r>
      <w:r>
        <w:rPr>
          <w:rFonts w:hint="eastAsia" w:ascii="宋体" w:hAnsi="宋体" w:cs="宋体"/>
          <w:color w:val="auto"/>
          <w:sz w:val="24"/>
          <w:szCs w:val="24"/>
          <w:highlight w:val="none"/>
        </w:rPr>
        <w:t>”中规定）</w:t>
      </w:r>
      <w:r>
        <w:rPr>
          <w:rFonts w:hint="eastAsia" w:ascii="宋体" w:hAnsi="宋体" w:cs="宋体"/>
          <w:color w:val="auto"/>
          <w:sz w:val="24"/>
          <w:szCs w:val="24"/>
        </w:rPr>
        <w:t>未能解密的，也将被视为供应商对其投标文件的撤回。</w:t>
      </w:r>
    </w:p>
    <w:p w14:paraId="2870A6FA">
      <w:pPr>
        <w:pStyle w:val="3"/>
        <w:rPr>
          <w:rFonts w:hint="eastAsia" w:ascii="宋体" w:hAnsi="宋体" w:cs="宋体"/>
          <w:color w:val="auto"/>
        </w:rPr>
      </w:pPr>
      <w:r>
        <w:rPr>
          <w:rFonts w:hint="eastAsia" w:ascii="宋体" w:hAnsi="宋体" w:cs="宋体"/>
          <w:color w:val="auto"/>
        </w:rPr>
        <w:t>E  磋商程序</w:t>
      </w:r>
      <w:bookmarkEnd w:id="49"/>
      <w:bookmarkEnd w:id="50"/>
      <w:bookmarkEnd w:id="51"/>
      <w:bookmarkEnd w:id="52"/>
      <w:bookmarkEnd w:id="53"/>
    </w:p>
    <w:p w14:paraId="04C29D17">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18、开标</w:t>
      </w:r>
    </w:p>
    <w:p w14:paraId="39112DC8">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18.1.1 本次采用不见面方式网上开标。</w:t>
      </w:r>
    </w:p>
    <w:p w14:paraId="631634DC">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18.1.2开标由招标代理机构主持，招标人、投标人和有关方面代表参加。</w:t>
      </w:r>
    </w:p>
    <w:p w14:paraId="65F6C8A4">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18.1.3开标时，由采购代理机构工作人员当众在不见面开标大厅解密，宣布投标人名称、投标价格和招标文件规定的需要宣布的其他内容。投标人不足3家的，不得开标。</w:t>
      </w:r>
    </w:p>
    <w:p w14:paraId="477C2AEC">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18.1.4开标时，投标报价以系统显示投标报价为准。 </w:t>
      </w:r>
    </w:p>
    <w:p w14:paraId="0187766E">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18.1.5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4D71382">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18.1.6投标人代表在开标过程中未提出异议的，视为认可本次开标及开标过程的全部事宜。</w:t>
      </w:r>
    </w:p>
    <w:p w14:paraId="0A1428E4">
      <w:pPr>
        <w:pStyle w:val="3"/>
        <w:rPr>
          <w:rFonts w:hint="eastAsia" w:ascii="宋体" w:hAnsi="宋体" w:cs="宋体"/>
          <w:color w:val="auto"/>
        </w:rPr>
      </w:pPr>
      <w:r>
        <w:rPr>
          <w:rFonts w:hint="eastAsia" w:ascii="宋体" w:hAnsi="宋体" w:cs="宋体"/>
          <w:color w:val="auto"/>
        </w:rPr>
        <w:t>评标、定标</w:t>
      </w:r>
    </w:p>
    <w:p w14:paraId="4271566B">
      <w:pPr>
        <w:spacing w:line="360" w:lineRule="auto"/>
        <w:ind w:left="105" w:firstLine="480" w:firstLineChars="200"/>
        <w:rPr>
          <w:rFonts w:hint="eastAsia" w:ascii="宋体" w:hAnsi="宋体" w:cs="宋体"/>
          <w:color w:val="auto"/>
          <w:sz w:val="24"/>
          <w:szCs w:val="24"/>
        </w:rPr>
      </w:pPr>
      <w:r>
        <w:rPr>
          <w:rFonts w:hint="eastAsia" w:ascii="宋体" w:hAnsi="宋体" w:cs="宋体"/>
          <w:color w:val="auto"/>
          <w:sz w:val="24"/>
          <w:szCs w:val="24"/>
        </w:rPr>
        <w:t>19.、评标</w:t>
      </w:r>
    </w:p>
    <w:p w14:paraId="110D2B6E">
      <w:pPr>
        <w:spacing w:line="360" w:lineRule="auto"/>
        <w:ind w:left="105" w:firstLine="480" w:firstLineChars="200"/>
        <w:rPr>
          <w:rFonts w:hint="eastAsia" w:ascii="宋体" w:hAnsi="宋体" w:cs="宋体"/>
          <w:color w:val="auto"/>
          <w:sz w:val="24"/>
          <w:szCs w:val="24"/>
        </w:rPr>
      </w:pPr>
      <w:r>
        <w:rPr>
          <w:rFonts w:hint="eastAsia" w:ascii="宋体" w:hAnsi="宋体" w:cs="宋体"/>
          <w:color w:val="auto"/>
          <w:sz w:val="24"/>
          <w:szCs w:val="24"/>
        </w:rPr>
        <w:t xml:space="preserve">19.1磋商小组组成及职责 </w:t>
      </w:r>
    </w:p>
    <w:p w14:paraId="4147C54C">
      <w:pPr>
        <w:spacing w:line="360" w:lineRule="auto"/>
        <w:ind w:left="105" w:firstLine="480" w:firstLineChars="200"/>
        <w:rPr>
          <w:rFonts w:hint="eastAsia" w:ascii="宋体" w:hAnsi="宋体" w:cs="宋体"/>
          <w:color w:val="auto"/>
          <w:sz w:val="24"/>
          <w:szCs w:val="24"/>
        </w:rPr>
      </w:pPr>
      <w:r>
        <w:rPr>
          <w:rFonts w:hint="eastAsia" w:ascii="宋体" w:hAnsi="宋体" w:cs="宋体"/>
          <w:color w:val="auto"/>
          <w:sz w:val="24"/>
          <w:szCs w:val="24"/>
        </w:rPr>
        <w:t>19.2、磋商小组组成：在磋商开始前，磋商小组成员由采购人代表及有关技术、经济，法律等方面的专家组成，其中技术、经济、法律类专家人数不少于总人数的 2/3。</w:t>
      </w:r>
    </w:p>
    <w:p w14:paraId="7968C022">
      <w:pPr>
        <w:spacing w:line="360" w:lineRule="auto"/>
        <w:ind w:left="105" w:firstLine="480" w:firstLineChars="200"/>
        <w:rPr>
          <w:rFonts w:hint="eastAsia" w:ascii="宋体" w:hAnsi="宋体" w:cs="宋体"/>
          <w:color w:val="auto"/>
          <w:sz w:val="24"/>
          <w:szCs w:val="24"/>
        </w:rPr>
      </w:pPr>
      <w:r>
        <w:rPr>
          <w:rFonts w:hint="eastAsia" w:ascii="宋体" w:hAnsi="宋体" w:cs="宋体"/>
          <w:color w:val="auto"/>
          <w:sz w:val="24"/>
          <w:szCs w:val="24"/>
        </w:rPr>
        <w:t>19.3、磋商小组或评标小组负责具体的评标事务，并独立履行以下职责：</w:t>
      </w:r>
    </w:p>
    <w:p w14:paraId="429FDC27">
      <w:pPr>
        <w:spacing w:line="360" w:lineRule="auto"/>
        <w:ind w:left="105" w:firstLine="480" w:firstLineChars="200"/>
        <w:rPr>
          <w:rFonts w:hint="eastAsia" w:ascii="宋体" w:hAnsi="宋体" w:cs="宋体"/>
          <w:color w:val="auto"/>
          <w:sz w:val="24"/>
          <w:szCs w:val="24"/>
        </w:rPr>
      </w:pPr>
      <w:r>
        <w:rPr>
          <w:rFonts w:hint="eastAsia" w:ascii="宋体" w:hAnsi="宋体" w:cs="宋体"/>
          <w:color w:val="auto"/>
          <w:sz w:val="24"/>
          <w:szCs w:val="24"/>
        </w:rPr>
        <w:t>19.3.1 审查响应文件是否符合竞争性磋商文件的要求，并作出评价；</w:t>
      </w:r>
    </w:p>
    <w:p w14:paraId="09CD8B21">
      <w:pPr>
        <w:spacing w:line="360" w:lineRule="auto"/>
        <w:ind w:left="105" w:firstLine="480" w:firstLineChars="200"/>
        <w:rPr>
          <w:rFonts w:hint="eastAsia" w:ascii="宋体" w:hAnsi="宋体" w:cs="宋体"/>
          <w:color w:val="auto"/>
          <w:sz w:val="24"/>
          <w:szCs w:val="24"/>
        </w:rPr>
      </w:pPr>
      <w:r>
        <w:rPr>
          <w:rFonts w:hint="eastAsia" w:ascii="宋体" w:hAnsi="宋体" w:cs="宋体"/>
          <w:color w:val="auto"/>
          <w:sz w:val="24"/>
          <w:szCs w:val="24"/>
        </w:rPr>
        <w:t>19.3.2 可以要求投标供应商对响应文件有关事项作出解释或澄清；</w:t>
      </w:r>
    </w:p>
    <w:p w14:paraId="2D5F24FD">
      <w:pPr>
        <w:spacing w:line="360" w:lineRule="auto"/>
        <w:ind w:left="105" w:firstLine="480" w:firstLineChars="200"/>
        <w:rPr>
          <w:rFonts w:hint="eastAsia" w:ascii="宋体" w:hAnsi="宋体" w:cs="宋体"/>
          <w:color w:val="auto"/>
          <w:sz w:val="24"/>
          <w:szCs w:val="24"/>
        </w:rPr>
      </w:pPr>
      <w:r>
        <w:rPr>
          <w:rFonts w:hint="eastAsia" w:ascii="宋体" w:hAnsi="宋体" w:cs="宋体"/>
          <w:color w:val="auto"/>
          <w:sz w:val="24"/>
          <w:szCs w:val="24"/>
        </w:rPr>
        <w:t>19.3.3 向招标单位或者有关部门报告非法干预评标工作的行为。</w:t>
      </w:r>
    </w:p>
    <w:p w14:paraId="361AD9FF">
      <w:pPr>
        <w:spacing w:line="360" w:lineRule="auto"/>
        <w:ind w:left="105" w:firstLine="480" w:firstLineChars="200"/>
        <w:rPr>
          <w:rFonts w:hint="eastAsia" w:ascii="宋体" w:hAnsi="宋体" w:cs="宋体"/>
          <w:color w:val="auto"/>
          <w:sz w:val="24"/>
          <w:szCs w:val="24"/>
        </w:rPr>
      </w:pPr>
      <w:r>
        <w:rPr>
          <w:rFonts w:hint="eastAsia" w:ascii="宋体" w:hAnsi="宋体" w:cs="宋体"/>
          <w:color w:val="auto"/>
          <w:sz w:val="24"/>
          <w:szCs w:val="24"/>
        </w:rPr>
        <w:t>19.3.4 磋商小组成员应当履行下列义务：</w:t>
      </w:r>
    </w:p>
    <w:p w14:paraId="3F29EE8B">
      <w:pPr>
        <w:spacing w:line="360" w:lineRule="auto"/>
        <w:ind w:left="105" w:firstLine="480" w:firstLineChars="200"/>
        <w:rPr>
          <w:rFonts w:hint="eastAsia" w:ascii="宋体" w:hAnsi="宋体" w:cs="宋体"/>
          <w:color w:val="auto"/>
          <w:sz w:val="24"/>
          <w:szCs w:val="24"/>
        </w:rPr>
      </w:pPr>
      <w:r>
        <w:rPr>
          <w:rFonts w:hint="eastAsia" w:ascii="宋体" w:hAnsi="宋体" w:cs="宋体"/>
          <w:color w:val="auto"/>
          <w:sz w:val="24"/>
          <w:szCs w:val="24"/>
        </w:rPr>
        <w:t>19.3.5 遵纪守法，客观、公正、廉洁地履行职责；</w:t>
      </w:r>
    </w:p>
    <w:p w14:paraId="46B11B58">
      <w:pPr>
        <w:spacing w:line="360" w:lineRule="auto"/>
        <w:ind w:left="105" w:firstLine="480" w:firstLineChars="200"/>
        <w:rPr>
          <w:rFonts w:hint="eastAsia" w:ascii="宋体" w:hAnsi="宋体" w:cs="宋体"/>
          <w:color w:val="auto"/>
          <w:sz w:val="24"/>
          <w:szCs w:val="24"/>
        </w:rPr>
      </w:pPr>
      <w:r>
        <w:rPr>
          <w:rFonts w:hint="eastAsia" w:ascii="宋体" w:hAnsi="宋体" w:cs="宋体"/>
          <w:color w:val="auto"/>
          <w:sz w:val="24"/>
          <w:szCs w:val="24"/>
        </w:rPr>
        <w:t>19.3.6 按照竞争性磋商文件规定的评标办法和评标标准进行评标，对评审意见承担个人责任；</w:t>
      </w:r>
    </w:p>
    <w:p w14:paraId="1372D870">
      <w:pPr>
        <w:spacing w:line="360" w:lineRule="auto"/>
        <w:ind w:left="105" w:firstLine="480" w:firstLineChars="200"/>
        <w:rPr>
          <w:rFonts w:hint="eastAsia" w:ascii="宋体" w:hAnsi="宋体" w:cs="宋体"/>
          <w:color w:val="auto"/>
          <w:sz w:val="24"/>
          <w:szCs w:val="24"/>
        </w:rPr>
      </w:pPr>
      <w:r>
        <w:rPr>
          <w:rFonts w:hint="eastAsia" w:ascii="宋体" w:hAnsi="宋体" w:cs="宋体"/>
          <w:color w:val="auto"/>
          <w:sz w:val="24"/>
          <w:szCs w:val="24"/>
        </w:rPr>
        <w:t>19.3.7对评标过程和结果，以及供应商的商业秘密保密；</w:t>
      </w:r>
    </w:p>
    <w:p w14:paraId="37E5EF85">
      <w:pPr>
        <w:spacing w:line="360" w:lineRule="auto"/>
        <w:ind w:left="105" w:firstLine="480" w:firstLineChars="200"/>
        <w:rPr>
          <w:rFonts w:hint="eastAsia" w:ascii="宋体" w:hAnsi="宋体" w:cs="宋体"/>
          <w:color w:val="auto"/>
          <w:sz w:val="24"/>
          <w:szCs w:val="24"/>
        </w:rPr>
      </w:pPr>
      <w:r>
        <w:rPr>
          <w:rFonts w:hint="eastAsia" w:ascii="宋体" w:hAnsi="宋体" w:cs="宋体"/>
          <w:color w:val="auto"/>
          <w:sz w:val="24"/>
          <w:szCs w:val="24"/>
        </w:rPr>
        <w:t>19.3.8 参与评标报告的起草；</w:t>
      </w:r>
    </w:p>
    <w:p w14:paraId="0B2288F4">
      <w:pPr>
        <w:spacing w:line="360" w:lineRule="auto"/>
        <w:ind w:left="105" w:firstLine="480" w:firstLineChars="200"/>
        <w:rPr>
          <w:rFonts w:hint="eastAsia" w:ascii="宋体" w:hAnsi="宋体" w:cs="宋体"/>
          <w:color w:val="auto"/>
          <w:sz w:val="24"/>
          <w:szCs w:val="24"/>
        </w:rPr>
      </w:pPr>
      <w:r>
        <w:rPr>
          <w:rFonts w:hint="eastAsia" w:ascii="宋体" w:hAnsi="宋体" w:cs="宋体"/>
          <w:color w:val="auto"/>
          <w:sz w:val="24"/>
          <w:szCs w:val="24"/>
        </w:rPr>
        <w:t>19.3.9 配合财政部门的投诉处理工作；</w:t>
      </w:r>
    </w:p>
    <w:p w14:paraId="46EC9EA1">
      <w:pPr>
        <w:spacing w:line="360" w:lineRule="auto"/>
        <w:ind w:left="105" w:firstLine="480" w:firstLineChars="200"/>
        <w:rPr>
          <w:rFonts w:hint="eastAsia" w:ascii="宋体" w:hAnsi="宋体" w:cs="宋体"/>
          <w:color w:val="auto"/>
          <w:sz w:val="24"/>
          <w:szCs w:val="24"/>
        </w:rPr>
      </w:pPr>
      <w:r>
        <w:rPr>
          <w:rFonts w:hint="eastAsia" w:ascii="宋体" w:hAnsi="宋体" w:cs="宋体"/>
          <w:color w:val="auto"/>
          <w:sz w:val="24"/>
          <w:szCs w:val="24"/>
        </w:rPr>
        <w:t>19.3.10 配合招标单位答复投标供应商提出的质疑。</w:t>
      </w:r>
    </w:p>
    <w:p w14:paraId="7E8E63D8">
      <w:pPr>
        <w:spacing w:line="360" w:lineRule="auto"/>
        <w:ind w:firstLine="480" w:firstLineChars="200"/>
        <w:rPr>
          <w:rFonts w:hint="eastAsia" w:ascii="宋体" w:hAnsi="宋体" w:cs="宋体"/>
          <w:b/>
          <w:color w:val="auto"/>
          <w:sz w:val="24"/>
          <w:szCs w:val="24"/>
        </w:rPr>
      </w:pPr>
      <w:r>
        <w:rPr>
          <w:rFonts w:hint="eastAsia" w:ascii="宋体" w:hAnsi="宋体" w:cs="宋体"/>
          <w:color w:val="auto"/>
          <w:sz w:val="24"/>
          <w:szCs w:val="24"/>
        </w:rPr>
        <w:t>19.3.11按国家计委等七部委颁发的《评标委员会和评标方法暂行规定》，结合本项目特点，</w:t>
      </w:r>
      <w:r>
        <w:rPr>
          <w:rFonts w:hint="eastAsia" w:ascii="宋体" w:hAnsi="宋体" w:cs="宋体"/>
          <w:b/>
          <w:color w:val="auto"/>
          <w:sz w:val="24"/>
          <w:szCs w:val="24"/>
        </w:rPr>
        <w:t>本项目采用竞争性磋商方式</w:t>
      </w:r>
      <w:r>
        <w:rPr>
          <w:rFonts w:hint="eastAsia" w:ascii="宋体" w:hAnsi="宋体" w:cs="宋体"/>
          <w:color w:val="auto"/>
          <w:sz w:val="24"/>
          <w:szCs w:val="24"/>
        </w:rPr>
        <w:t>（本项目采用两轮报价，供应商提交二次报价后，磋商小组对满足所有实质性要求提交最后报价的供应商的响应文件和供应商提交的二次报价进行评审，综合得分最高的供应商为推荐成交供应商）</w:t>
      </w:r>
      <w:r>
        <w:rPr>
          <w:rFonts w:hint="eastAsia" w:ascii="宋体" w:hAnsi="宋体" w:cs="宋体"/>
          <w:b/>
          <w:color w:val="auto"/>
          <w:sz w:val="24"/>
          <w:szCs w:val="24"/>
        </w:rPr>
        <w:t xml:space="preserve">。  </w:t>
      </w:r>
    </w:p>
    <w:p w14:paraId="3799621C">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19.3.14评标的依据为竞争性磋商文件和响应文件。</w:t>
      </w:r>
    </w:p>
    <w:p w14:paraId="1255A3C4">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19.3.15评标过程的保密性。开标后，直到授予供应商合同止，凡是属于审查、澄清、评价和比较的有关资料以及授标建议等均不得向供应商或其他无关的人员透露。</w:t>
      </w:r>
    </w:p>
    <w:p w14:paraId="7A7856A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19.3.16供应商在评标过程中所进行的力图影响评标结果、有悖于招标规则的活动，将导致取消其中标资格。</w:t>
      </w:r>
    </w:p>
    <w:p w14:paraId="75A0B38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19.3.17与竞争性磋商文件有重大偏离的响应文件将被拒绝。且此重大偏离在开标后不许修改。</w:t>
      </w:r>
    </w:p>
    <w:p w14:paraId="31136BA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19.3.18根据国家计委等七部委颁发的《评标委员会和评标方法暂行规定》以下为</w:t>
      </w:r>
      <w:r>
        <w:rPr>
          <w:rFonts w:hint="eastAsia" w:ascii="宋体" w:hAnsi="宋体" w:cs="宋体"/>
          <w:b/>
          <w:bCs/>
          <w:color w:val="auto"/>
          <w:sz w:val="24"/>
          <w:szCs w:val="24"/>
        </w:rPr>
        <w:t>重大偏离：</w:t>
      </w:r>
    </w:p>
    <w:p w14:paraId="5115AF0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（一）投标保证金的缴纳主体与供应商不一致的，没有按照竞争性磋商文件要求提供投标担保，或者所提供的投标担保有瑕疵的；</w:t>
      </w:r>
    </w:p>
    <w:p w14:paraId="47E84C5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（二）响应文件没有供应商法定代表人或其授权代表签字（章）和加盖供应商公章的；</w:t>
      </w:r>
    </w:p>
    <w:p w14:paraId="35C5E40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（三）响应文件记载的招标项目完成期限超过竞争性磋商文件规定的完成期限；</w:t>
      </w:r>
    </w:p>
    <w:p w14:paraId="03C89C8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（四）商务条款有偏离情况的；</w:t>
      </w:r>
    </w:p>
    <w:p w14:paraId="4229E0A7">
      <w:pPr>
        <w:pStyle w:val="7"/>
        <w:spacing w:line="360" w:lineRule="auto"/>
        <w:ind w:firstLine="480"/>
        <w:rPr>
          <w:rFonts w:hint="eastAsia" w:ascii="宋体" w:hAnsi="宋体" w:cs="宋体"/>
          <w:color w:val="auto"/>
          <w:sz w:val="24"/>
        </w:rPr>
      </w:pPr>
      <w:r>
        <w:rPr>
          <w:rFonts w:hint="eastAsia" w:ascii="宋体" w:hAnsi="宋体" w:cs="宋体"/>
          <w:color w:val="auto"/>
          <w:sz w:val="24"/>
        </w:rPr>
        <w:t>（五）技术条款有偏离情况的；</w:t>
      </w:r>
    </w:p>
    <w:p w14:paraId="5B9C38F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（六）投标附有采购人不能接受的条件；</w:t>
      </w:r>
    </w:p>
    <w:p w14:paraId="134139F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（七）不符合竞争性磋商文件中规定的其他实质性要求</w:t>
      </w:r>
    </w:p>
    <w:p w14:paraId="485965F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（八)投标报价不符合竞争性磋商文件规定的要求。</w:t>
      </w:r>
    </w:p>
    <w:p w14:paraId="28AA69A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响应文件有上述情形之一的，视为非实质性响应招标，并按规定作废标处理。竞争性磋商文件对重大偏差另有规定的，从其规定。</w:t>
      </w:r>
    </w:p>
    <w:p w14:paraId="2CA44E9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磋商小组应当审查每一响应文件是否对竞争性磋商文件提出的所有实质性要求和条件作出响应。未能在实质上响应招标的投标，将作废标处理。</w:t>
      </w:r>
    </w:p>
    <w:p w14:paraId="3666BFC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20  评审标准对投标文件的初步审查和响应性确定</w:t>
      </w:r>
    </w:p>
    <w:p w14:paraId="1ED92558">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20.1 开标后招标人将审查投标文件的完整性、准确性以及保证金提交、文件签署情况。在审查时，（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若投标人拒绝接受上述修正，其投标将可能被拒绝。</w:t>
      </w:r>
    </w:p>
    <w:p w14:paraId="0B7A5CD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20.2 在对投标文件进行详细评估之前，评标委员会将审查每一份投标文件是否对招标文件的要求作出了实质性的响应。实质性响应的投标文件应该是与招标文件的全部条款、条件和技术规格相符，而没有重大偏离。</w:t>
      </w:r>
    </w:p>
    <w:p w14:paraId="70485C9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20.3 招标人判断投标文件的响应性是基于投标文件本身而不靠外部证据。</w:t>
      </w:r>
    </w:p>
    <w:p w14:paraId="2315582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20.4 招标人将拒绝被定为非响应性的投标，投标人不能通过修正或撤消不符之处而使其投标成为响应性投标。</w:t>
      </w:r>
    </w:p>
    <w:p w14:paraId="04E3089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szCs w:val="24"/>
        </w:rPr>
      </w:pPr>
      <w:r>
        <w:rPr>
          <w:rFonts w:hint="eastAsia" w:ascii="宋体" w:hAnsi="宋体" w:cs="宋体"/>
          <w:b/>
          <w:color w:val="auto"/>
          <w:sz w:val="24"/>
          <w:szCs w:val="24"/>
        </w:rPr>
        <w:t>21、投标文件的澄清</w:t>
      </w:r>
    </w:p>
    <w:p w14:paraId="14CE36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21.1 评标委员会在评标过程中有权随时请投标人就投标文件中含混之处加以澄清或答疑。</w:t>
      </w:r>
    </w:p>
    <w:p w14:paraId="461F89F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21.2 投标人对要求澄清的问题应以书面形式明确答复，并应有法人授权代表的签署。</w:t>
      </w:r>
    </w:p>
    <w:p w14:paraId="42FC48E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21.3 投标人的澄清文件是投标文件的组成部分，并取代投标文件中被澄清的部分。</w:t>
      </w:r>
    </w:p>
    <w:p w14:paraId="6384C78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21.4 投标文件的澄清不得改变投标的实质内容。</w:t>
      </w:r>
    </w:p>
    <w:p w14:paraId="77E6DC6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21.5 如果投标人在投标文件中未对招标文件中的条款或参数要求提出偏离意见或澄清将视同投标人同意招标文件的全部或部分要求。</w:t>
      </w:r>
    </w:p>
    <w:p w14:paraId="6EA175BD">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szCs w:val="24"/>
        </w:rPr>
      </w:pPr>
      <w:r>
        <w:rPr>
          <w:rFonts w:hint="eastAsia" w:ascii="宋体" w:hAnsi="宋体" w:cs="宋体"/>
          <w:b/>
          <w:bCs/>
          <w:color w:val="auto"/>
          <w:sz w:val="24"/>
          <w:szCs w:val="24"/>
        </w:rPr>
        <w:t>22、评审标准：</w:t>
      </w:r>
    </w:p>
    <w:p w14:paraId="73B9B7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22.1</w:t>
      </w:r>
      <w:r>
        <w:rPr>
          <w:rFonts w:hint="eastAsia" w:ascii="宋体" w:hAnsi="宋体" w:cs="宋体"/>
          <w:color w:val="auto"/>
          <w:sz w:val="24"/>
          <w:szCs w:val="24"/>
        </w:rPr>
        <w:t>磋商小组构成：本项目的磋商小组由采购人代表和有关技术、经济、法律等方面的三位专家组成。成员人数应当为三人以上（含三人）单数。其中，技术、经济、法律等方面的专家不得少于成员总数的三分之二。</w:t>
      </w:r>
    </w:p>
    <w:p w14:paraId="36B259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22.2</w:t>
      </w:r>
      <w:r>
        <w:rPr>
          <w:rFonts w:hint="eastAsia" w:ascii="宋体" w:hAnsi="宋体" w:cs="宋体"/>
          <w:color w:val="auto"/>
          <w:sz w:val="24"/>
          <w:szCs w:val="24"/>
        </w:rPr>
        <w:t>评标依据：磋商小组按照磋商文件要求对磋商响应文件中的供应商资格、供应商资格证明文件、重要技术指标以及技术和商务上要求的其它重要内容进行审核。</w:t>
      </w:r>
    </w:p>
    <w:p w14:paraId="731BBE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22.3</w:t>
      </w:r>
      <w:r>
        <w:rPr>
          <w:rFonts w:hint="eastAsia" w:ascii="宋体" w:hAnsi="宋体" w:cs="宋体"/>
          <w:color w:val="auto"/>
          <w:sz w:val="24"/>
          <w:szCs w:val="24"/>
        </w:rPr>
        <w:t>经磋商确定最终采购需求和提交最后报价的供应商后，由磋商小组综合评分法对提交最后报价的供应商的响应文件和最后报价进行。</w:t>
      </w:r>
    </w:p>
    <w:p w14:paraId="509F3F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color w:val="auto"/>
          <w:sz w:val="24"/>
          <w:szCs w:val="24"/>
        </w:rPr>
      </w:pPr>
      <w:r>
        <w:rPr>
          <w:rFonts w:hint="eastAsia" w:ascii="宋体" w:hAnsi="宋体" w:cs="宋体"/>
          <w:color w:val="auto"/>
          <w:sz w:val="24"/>
          <w:szCs w:val="24"/>
          <w:lang w:val="en-US" w:eastAsia="zh-CN"/>
        </w:rPr>
        <w:t>22.4</w:t>
      </w:r>
      <w:r>
        <w:rPr>
          <w:rFonts w:hint="eastAsia" w:ascii="宋体" w:hAnsi="宋体" w:cs="宋体"/>
          <w:color w:val="auto"/>
          <w:sz w:val="24"/>
          <w:szCs w:val="24"/>
        </w:rPr>
        <w:t>对响应文件的评估和比较分为两步进行，磋商小组会按照磋商文件要求对响应文件中的供应商资格、供应商资格证明文件、重要技术指标以及技术和商务上要求的其它重要内容进行审核，审核合格后即视为实质性响应的投标文件，详细评审标准如下：</w:t>
      </w:r>
      <w:r>
        <w:rPr>
          <w:rFonts w:hint="eastAsia" w:hAnsi="宋体" w:cs="宋体"/>
          <w:color w:val="auto"/>
          <w:sz w:val="24"/>
          <w:szCs w:val="24"/>
        </w:rPr>
        <w:t xml:space="preserve"> </w:t>
      </w:r>
    </w:p>
    <w:p w14:paraId="0844C594">
      <w:pPr>
        <w:pStyle w:val="35"/>
        <w:rPr>
          <w:rFonts w:cs="宋体"/>
          <w:color w:val="auto"/>
          <w:szCs w:val="24"/>
        </w:rPr>
      </w:pPr>
      <w:r>
        <w:rPr>
          <w:rFonts w:cs="宋体"/>
          <w:color w:val="auto"/>
          <w:szCs w:val="24"/>
        </w:rPr>
        <w:t>附表一：资格查验</w:t>
      </w:r>
    </w:p>
    <w:tbl>
      <w:tblPr>
        <w:tblStyle w:val="26"/>
        <w:tblW w:w="98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4"/>
        <w:gridCol w:w="2549"/>
        <w:gridCol w:w="6202"/>
      </w:tblGrid>
      <w:tr w14:paraId="75346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6" w:hRule="atLeast"/>
          <w:tblHeader/>
        </w:trPr>
        <w:tc>
          <w:tcPr>
            <w:tcW w:w="1084" w:type="dxa"/>
            <w:vAlign w:val="center"/>
          </w:tcPr>
          <w:p w14:paraId="515C7F47">
            <w:pPr>
              <w:tabs>
                <w:tab w:val="left" w:pos="1080"/>
              </w:tabs>
              <w:snapToGrid w:val="0"/>
              <w:rPr>
                <w:rFonts w:hint="eastAsia" w:ascii="宋体" w:hAnsi="宋体" w:cs="宋体"/>
                <w:b/>
                <w:color w:val="auto"/>
                <w:sz w:val="24"/>
                <w:szCs w:val="24"/>
              </w:rPr>
            </w:pPr>
            <w:r>
              <w:rPr>
                <w:rFonts w:hint="eastAsia" w:ascii="宋体" w:hAnsi="宋体" w:cs="宋体"/>
                <w:b/>
                <w:color w:val="auto"/>
                <w:sz w:val="24"/>
                <w:szCs w:val="24"/>
              </w:rPr>
              <w:t>序号</w:t>
            </w:r>
          </w:p>
        </w:tc>
        <w:tc>
          <w:tcPr>
            <w:tcW w:w="2549" w:type="dxa"/>
            <w:vAlign w:val="center"/>
          </w:tcPr>
          <w:p w14:paraId="648BAFB1">
            <w:pPr>
              <w:tabs>
                <w:tab w:val="left" w:pos="1080"/>
              </w:tabs>
              <w:snapToGrid w:val="0"/>
              <w:rPr>
                <w:rFonts w:hint="eastAsia" w:ascii="宋体" w:hAnsi="宋体" w:cs="宋体"/>
                <w:b/>
                <w:color w:val="auto"/>
                <w:sz w:val="24"/>
                <w:szCs w:val="24"/>
              </w:rPr>
            </w:pPr>
            <w:r>
              <w:rPr>
                <w:rFonts w:hint="eastAsia" w:ascii="宋体" w:hAnsi="宋体" w:cs="宋体"/>
                <w:b/>
                <w:color w:val="auto"/>
                <w:sz w:val="24"/>
                <w:szCs w:val="24"/>
              </w:rPr>
              <w:t>审查因素</w:t>
            </w:r>
          </w:p>
        </w:tc>
        <w:tc>
          <w:tcPr>
            <w:tcW w:w="6202" w:type="dxa"/>
            <w:vAlign w:val="center"/>
          </w:tcPr>
          <w:p w14:paraId="5DDFFE87">
            <w:pPr>
              <w:tabs>
                <w:tab w:val="left" w:pos="1080"/>
              </w:tabs>
              <w:snapToGrid w:val="0"/>
              <w:rPr>
                <w:rFonts w:hint="eastAsia" w:ascii="宋体" w:hAnsi="宋体" w:cs="宋体"/>
                <w:b/>
                <w:color w:val="auto"/>
                <w:sz w:val="24"/>
                <w:szCs w:val="24"/>
              </w:rPr>
            </w:pPr>
            <w:r>
              <w:rPr>
                <w:rFonts w:hint="eastAsia" w:ascii="宋体" w:hAnsi="宋体" w:cs="宋体"/>
                <w:b/>
                <w:color w:val="auto"/>
                <w:sz w:val="24"/>
                <w:szCs w:val="24"/>
              </w:rPr>
              <w:t>审查内容</w:t>
            </w:r>
          </w:p>
        </w:tc>
      </w:tr>
      <w:tr w14:paraId="0DB78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8" w:hRule="atLeast"/>
        </w:trPr>
        <w:tc>
          <w:tcPr>
            <w:tcW w:w="1084" w:type="dxa"/>
            <w:vAlign w:val="center"/>
          </w:tcPr>
          <w:p w14:paraId="76D6E784">
            <w:pPr>
              <w:numPr>
                <w:ilvl w:val="0"/>
                <w:numId w:val="6"/>
              </w:numPr>
              <w:tabs>
                <w:tab w:val="left" w:pos="1080"/>
              </w:tabs>
              <w:snapToGrid w:val="0"/>
              <w:rPr>
                <w:rFonts w:hint="eastAsia" w:ascii="宋体" w:hAnsi="宋体" w:cs="宋体"/>
                <w:color w:val="auto"/>
                <w:sz w:val="24"/>
                <w:szCs w:val="24"/>
              </w:rPr>
            </w:pPr>
          </w:p>
        </w:tc>
        <w:tc>
          <w:tcPr>
            <w:tcW w:w="2549" w:type="dxa"/>
            <w:vAlign w:val="center"/>
          </w:tcPr>
          <w:p w14:paraId="2D7CBA33">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具有独立承担民事责任的能力</w:t>
            </w:r>
          </w:p>
        </w:tc>
        <w:tc>
          <w:tcPr>
            <w:tcW w:w="6202" w:type="dxa"/>
            <w:vAlign w:val="center"/>
          </w:tcPr>
          <w:p w14:paraId="30BB5233">
            <w:pPr>
              <w:pStyle w:val="23"/>
              <w:spacing w:before="75" w:beforeAutospacing="0" w:after="75" w:afterAutospacing="0"/>
              <w:rPr>
                <w:rFonts w:hint="eastAsia" w:ascii="宋体" w:hAnsi="宋体" w:eastAsia="宋体" w:cs="宋体"/>
                <w:color w:val="auto"/>
              </w:rPr>
            </w:pPr>
            <w:r>
              <w:rPr>
                <w:rFonts w:hint="eastAsia" w:ascii="宋体" w:hAnsi="宋体" w:eastAsia="宋体" w:cs="宋体"/>
                <w:color w:val="auto"/>
              </w:rPr>
              <w:t>具有独立承担民事责任的能力：提供在中华人民共和国境内注册的法人或其他组织的营业执照或事业单位法人证</w:t>
            </w:r>
          </w:p>
          <w:p w14:paraId="25000B20">
            <w:pPr>
              <w:pStyle w:val="23"/>
              <w:spacing w:before="75" w:beforeAutospacing="0" w:after="75" w:afterAutospacing="0"/>
              <w:rPr>
                <w:rFonts w:hint="eastAsia" w:ascii="宋体" w:hAnsi="宋体" w:eastAsia="宋体" w:cs="宋体"/>
                <w:color w:val="auto"/>
              </w:rPr>
            </w:pPr>
            <w:r>
              <w:rPr>
                <w:rFonts w:hint="eastAsia" w:ascii="宋体" w:hAnsi="宋体" w:eastAsia="宋体" w:cs="宋体"/>
                <w:color w:val="auto"/>
              </w:rPr>
              <w:t>书或社会团体法人登记证书复印件，如投标人为自然人的提供自然人身份证明复印件；如国家另有规定的，则从其定。</w:t>
            </w:r>
          </w:p>
        </w:tc>
      </w:tr>
      <w:tr w14:paraId="5C5DD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1084" w:type="dxa"/>
            <w:vAlign w:val="center"/>
          </w:tcPr>
          <w:p w14:paraId="53D7D855">
            <w:pPr>
              <w:numPr>
                <w:ilvl w:val="0"/>
                <w:numId w:val="6"/>
              </w:numPr>
              <w:tabs>
                <w:tab w:val="left" w:pos="1080"/>
              </w:tabs>
              <w:snapToGrid w:val="0"/>
              <w:rPr>
                <w:rFonts w:hint="eastAsia" w:ascii="宋体" w:hAnsi="宋体" w:cs="宋体"/>
                <w:color w:val="auto"/>
                <w:sz w:val="24"/>
                <w:szCs w:val="24"/>
              </w:rPr>
            </w:pPr>
          </w:p>
        </w:tc>
        <w:tc>
          <w:tcPr>
            <w:tcW w:w="2549" w:type="dxa"/>
            <w:vAlign w:val="center"/>
          </w:tcPr>
          <w:p w14:paraId="1A930F3F">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有依法缴纳税收和社会保障资金的良好记录</w:t>
            </w:r>
          </w:p>
        </w:tc>
        <w:tc>
          <w:tcPr>
            <w:tcW w:w="6202" w:type="dxa"/>
            <w:vAlign w:val="center"/>
          </w:tcPr>
          <w:p w14:paraId="16BC999D">
            <w:pPr>
              <w:pStyle w:val="23"/>
              <w:spacing w:before="75" w:beforeAutospacing="0" w:after="75" w:afterAutospacing="0"/>
              <w:rPr>
                <w:rFonts w:hint="eastAsia" w:ascii="宋体" w:hAnsi="宋体" w:eastAsia="宋体" w:cs="宋体"/>
                <w:color w:val="auto"/>
              </w:rPr>
            </w:pPr>
            <w:r>
              <w:rPr>
                <w:rFonts w:hint="eastAsia" w:ascii="宋体" w:hAnsi="宋体" w:eastAsia="宋体" w:cs="宋体"/>
                <w:color w:val="auto"/>
              </w:rPr>
              <w:t>有依法缴纳税收和社会保障资金的良好记录：提供税务机关出具近六个月（任意一个月）的完税证明（2025年后成立的公司按实际发生提供）；提供本单位缴纳的近六个月（任意一月）社保缴纳证明（单位社保缴费凭证，2025年后成立的公司按实际发生提供）；</w:t>
            </w:r>
          </w:p>
        </w:tc>
      </w:tr>
      <w:tr w14:paraId="634E3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41" w:hRule="atLeast"/>
        </w:trPr>
        <w:tc>
          <w:tcPr>
            <w:tcW w:w="1084" w:type="dxa"/>
            <w:vAlign w:val="center"/>
          </w:tcPr>
          <w:p w14:paraId="174A769E">
            <w:pPr>
              <w:numPr>
                <w:ilvl w:val="0"/>
                <w:numId w:val="6"/>
              </w:numPr>
              <w:tabs>
                <w:tab w:val="left" w:pos="1080"/>
              </w:tabs>
              <w:snapToGrid w:val="0"/>
              <w:rPr>
                <w:rFonts w:hint="eastAsia" w:ascii="宋体" w:hAnsi="宋体" w:cs="宋体"/>
                <w:color w:val="auto"/>
                <w:sz w:val="24"/>
                <w:szCs w:val="24"/>
              </w:rPr>
            </w:pPr>
          </w:p>
        </w:tc>
        <w:tc>
          <w:tcPr>
            <w:tcW w:w="2549" w:type="dxa"/>
            <w:vAlign w:val="center"/>
          </w:tcPr>
          <w:p w14:paraId="1EB53E80">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具有良好的商业信誉和健全的财务会计制度</w:t>
            </w:r>
          </w:p>
        </w:tc>
        <w:tc>
          <w:tcPr>
            <w:tcW w:w="6202" w:type="dxa"/>
            <w:vAlign w:val="center"/>
          </w:tcPr>
          <w:p w14:paraId="2A2B89B2">
            <w:pPr>
              <w:pStyle w:val="23"/>
              <w:spacing w:before="75" w:beforeAutospacing="0" w:after="75" w:afterAutospacing="0"/>
              <w:rPr>
                <w:rFonts w:hint="eastAsia" w:ascii="宋体" w:hAnsi="宋体" w:eastAsia="宋体" w:cs="宋体"/>
                <w:color w:val="auto"/>
              </w:rPr>
            </w:pPr>
            <w:r>
              <w:rPr>
                <w:rFonts w:hint="eastAsia" w:ascii="宋体" w:hAnsi="宋体" w:eastAsia="宋体" w:cs="宋体"/>
                <w:color w:val="auto"/>
                <w:lang w:eastAsia="zh-CN"/>
              </w:rPr>
              <w:t>提供2024年度由第三方财务审计机构出具的财务审计报告或提供银行出具的近期资信证明</w:t>
            </w:r>
            <w:r>
              <w:rPr>
                <w:rFonts w:hint="eastAsia" w:ascii="宋体" w:hAnsi="宋体" w:eastAsia="宋体" w:cs="宋体"/>
                <w:color w:val="auto"/>
              </w:rPr>
              <w:t>；</w:t>
            </w:r>
          </w:p>
        </w:tc>
      </w:tr>
      <w:tr w14:paraId="31946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3" w:hRule="atLeast"/>
        </w:trPr>
        <w:tc>
          <w:tcPr>
            <w:tcW w:w="1084" w:type="dxa"/>
            <w:vAlign w:val="center"/>
          </w:tcPr>
          <w:p w14:paraId="4AF8E4F6">
            <w:pPr>
              <w:numPr>
                <w:ilvl w:val="0"/>
                <w:numId w:val="6"/>
              </w:numPr>
              <w:tabs>
                <w:tab w:val="left" w:pos="1080"/>
              </w:tabs>
              <w:snapToGrid w:val="0"/>
              <w:rPr>
                <w:rFonts w:hint="eastAsia" w:ascii="宋体" w:hAnsi="宋体" w:cs="宋体"/>
                <w:color w:val="auto"/>
                <w:sz w:val="24"/>
                <w:szCs w:val="24"/>
              </w:rPr>
            </w:pPr>
          </w:p>
        </w:tc>
        <w:tc>
          <w:tcPr>
            <w:tcW w:w="2549" w:type="dxa"/>
            <w:vAlign w:val="center"/>
          </w:tcPr>
          <w:p w14:paraId="49748EBA">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信用记录</w:t>
            </w:r>
          </w:p>
        </w:tc>
        <w:tc>
          <w:tcPr>
            <w:tcW w:w="6202" w:type="dxa"/>
            <w:vAlign w:val="center"/>
          </w:tcPr>
          <w:p w14:paraId="17945BDA">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近三年内（本项目投标截止期前）未被“信用中国”（www.creditchina.gov.cn）、中国政府采购网（www.ccgp.gov.cn）列入失信被执行人、重大税收违法案件当事人名单、政府采购严重违法失信行为记录名单（开标现场查询）。</w:t>
            </w:r>
          </w:p>
        </w:tc>
      </w:tr>
      <w:tr w14:paraId="30A7F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26" w:hRule="atLeast"/>
        </w:trPr>
        <w:tc>
          <w:tcPr>
            <w:tcW w:w="1084" w:type="dxa"/>
            <w:vAlign w:val="center"/>
          </w:tcPr>
          <w:p w14:paraId="25E7152B">
            <w:pPr>
              <w:numPr>
                <w:ilvl w:val="0"/>
                <w:numId w:val="6"/>
              </w:numPr>
              <w:tabs>
                <w:tab w:val="left" w:pos="1080"/>
              </w:tabs>
              <w:snapToGrid w:val="0"/>
              <w:rPr>
                <w:rFonts w:hint="eastAsia" w:ascii="宋体" w:hAnsi="宋体" w:cs="宋体"/>
                <w:color w:val="auto"/>
                <w:sz w:val="24"/>
                <w:szCs w:val="24"/>
              </w:rPr>
            </w:pPr>
          </w:p>
        </w:tc>
        <w:tc>
          <w:tcPr>
            <w:tcW w:w="2549" w:type="dxa"/>
            <w:vAlign w:val="center"/>
          </w:tcPr>
          <w:p w14:paraId="2D23D250">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供应商必须符合法律、行政法规规定的其他条件</w:t>
            </w:r>
          </w:p>
        </w:tc>
        <w:tc>
          <w:tcPr>
            <w:tcW w:w="6202" w:type="dxa"/>
            <w:vAlign w:val="center"/>
          </w:tcPr>
          <w:p w14:paraId="524809AC">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5A790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6" w:hRule="atLeast"/>
        </w:trPr>
        <w:tc>
          <w:tcPr>
            <w:tcW w:w="1084" w:type="dxa"/>
            <w:vAlign w:val="center"/>
          </w:tcPr>
          <w:p w14:paraId="36D5B324">
            <w:pPr>
              <w:numPr>
                <w:ilvl w:val="0"/>
                <w:numId w:val="6"/>
              </w:numPr>
              <w:tabs>
                <w:tab w:val="left" w:pos="1080"/>
              </w:tabs>
              <w:snapToGrid w:val="0"/>
              <w:rPr>
                <w:rFonts w:hint="eastAsia" w:ascii="宋体" w:hAnsi="宋体" w:cs="宋体"/>
                <w:color w:val="auto"/>
                <w:sz w:val="24"/>
                <w:szCs w:val="24"/>
              </w:rPr>
            </w:pPr>
          </w:p>
        </w:tc>
        <w:tc>
          <w:tcPr>
            <w:tcW w:w="2549" w:type="dxa"/>
            <w:vAlign w:val="center"/>
          </w:tcPr>
          <w:p w14:paraId="3F463941">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投标保证金</w:t>
            </w:r>
          </w:p>
        </w:tc>
        <w:tc>
          <w:tcPr>
            <w:tcW w:w="6202" w:type="dxa"/>
            <w:vAlign w:val="center"/>
          </w:tcPr>
          <w:p w14:paraId="040F4FE7">
            <w:pPr>
              <w:pStyle w:val="23"/>
              <w:spacing w:before="75" w:beforeAutospacing="0" w:after="75" w:afterAutospacing="0"/>
              <w:rPr>
                <w:rFonts w:hint="eastAsia" w:ascii="宋体" w:hAnsi="宋体" w:eastAsia="宋体" w:cs="宋体"/>
                <w:color w:val="auto"/>
              </w:rPr>
            </w:pPr>
            <w:r>
              <w:rPr>
                <w:rFonts w:hint="eastAsia" w:ascii="宋体" w:hAnsi="宋体" w:eastAsia="宋体" w:cs="宋体"/>
                <w:color w:val="auto"/>
              </w:rPr>
              <w:t>投标保证金或电子保函</w:t>
            </w:r>
          </w:p>
        </w:tc>
      </w:tr>
      <w:tr w14:paraId="48E8B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9" w:hRule="atLeast"/>
        </w:trPr>
        <w:tc>
          <w:tcPr>
            <w:tcW w:w="1084" w:type="dxa"/>
            <w:vAlign w:val="center"/>
          </w:tcPr>
          <w:p w14:paraId="707C3EEB">
            <w:pPr>
              <w:numPr>
                <w:ilvl w:val="0"/>
                <w:numId w:val="6"/>
              </w:numPr>
              <w:tabs>
                <w:tab w:val="left" w:pos="1080"/>
              </w:tabs>
              <w:snapToGrid w:val="0"/>
              <w:rPr>
                <w:rFonts w:hint="eastAsia" w:ascii="宋体" w:hAnsi="宋体" w:cs="宋体"/>
                <w:color w:val="auto"/>
                <w:sz w:val="24"/>
                <w:szCs w:val="24"/>
              </w:rPr>
            </w:pPr>
          </w:p>
        </w:tc>
        <w:tc>
          <w:tcPr>
            <w:tcW w:w="2549" w:type="dxa"/>
            <w:vAlign w:val="center"/>
          </w:tcPr>
          <w:p w14:paraId="6986C331">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是否接受联合体投标</w:t>
            </w:r>
          </w:p>
        </w:tc>
        <w:tc>
          <w:tcPr>
            <w:tcW w:w="6202" w:type="dxa"/>
            <w:vAlign w:val="center"/>
          </w:tcPr>
          <w:p w14:paraId="71FB1886">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本项目不接受联合体</w:t>
            </w:r>
          </w:p>
        </w:tc>
      </w:tr>
      <w:tr w14:paraId="3BDB6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9" w:hRule="atLeast"/>
        </w:trPr>
        <w:tc>
          <w:tcPr>
            <w:tcW w:w="1084" w:type="dxa"/>
            <w:vAlign w:val="center"/>
          </w:tcPr>
          <w:p w14:paraId="21FB1A9D">
            <w:pPr>
              <w:numPr>
                <w:ilvl w:val="0"/>
                <w:numId w:val="6"/>
              </w:numPr>
              <w:tabs>
                <w:tab w:val="left" w:pos="1080"/>
              </w:tabs>
              <w:snapToGrid w:val="0"/>
              <w:rPr>
                <w:rFonts w:hint="eastAsia" w:ascii="宋体" w:hAnsi="宋体" w:cs="宋体"/>
                <w:color w:val="auto"/>
                <w:sz w:val="24"/>
                <w:szCs w:val="24"/>
              </w:rPr>
            </w:pPr>
            <w:bookmarkStart w:id="57" w:name="_Toc298240410"/>
            <w:bookmarkStart w:id="58" w:name="_Toc471489758"/>
            <w:bookmarkStart w:id="59" w:name="_Toc349573126"/>
            <w:bookmarkStart w:id="60" w:name="_Toc349637925"/>
            <w:bookmarkStart w:id="61" w:name="_Toc267301287"/>
            <w:bookmarkStart w:id="62" w:name="_Toc527642957"/>
            <w:bookmarkStart w:id="63" w:name="_Toc267301288"/>
          </w:p>
        </w:tc>
        <w:tc>
          <w:tcPr>
            <w:tcW w:w="2549" w:type="dxa"/>
            <w:vAlign w:val="center"/>
          </w:tcPr>
          <w:p w14:paraId="3938B188">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中小企业</w:t>
            </w:r>
          </w:p>
        </w:tc>
        <w:tc>
          <w:tcPr>
            <w:tcW w:w="6202" w:type="dxa"/>
            <w:vAlign w:val="center"/>
          </w:tcPr>
          <w:p w14:paraId="4EFF8699">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本项目专门面向中小企业</w:t>
            </w:r>
          </w:p>
        </w:tc>
      </w:tr>
    </w:tbl>
    <w:p w14:paraId="6C00EFBE">
      <w:pPr>
        <w:jc w:val="left"/>
        <w:rPr>
          <w:rFonts w:hint="eastAsia" w:ascii="宋体" w:hAnsi="宋体" w:cs="宋体"/>
          <w:color w:val="auto"/>
          <w:sz w:val="24"/>
          <w:szCs w:val="24"/>
          <w:lang w:val="zh-CN"/>
        </w:rPr>
      </w:pPr>
      <w:r>
        <w:rPr>
          <w:rFonts w:hint="eastAsia" w:ascii="宋体" w:hAnsi="宋体" w:cs="宋体"/>
          <w:color w:val="auto"/>
          <w:sz w:val="24"/>
          <w:szCs w:val="24"/>
          <w:lang w:val="zh-CN"/>
        </w:rPr>
        <w:t>备注：如果资格评审中有一项不满足审查标准的，磋商小组将认定该供应商不通过资格审查，不得进入下一阶段评审。并且不允许供应商通过修改或撤销其不符合要求的差异或保留，使之成为具有响应性的投标。</w:t>
      </w:r>
    </w:p>
    <w:p w14:paraId="7AFA385E">
      <w:pPr>
        <w:rPr>
          <w:rFonts w:hint="eastAsia" w:ascii="宋体" w:hAnsi="宋体" w:cs="宋体"/>
          <w:color w:val="auto"/>
          <w:sz w:val="28"/>
          <w:szCs w:val="28"/>
        </w:rPr>
      </w:pPr>
      <w:r>
        <w:rPr>
          <w:rFonts w:hint="eastAsia" w:ascii="宋体" w:hAnsi="宋体" w:cs="宋体"/>
          <w:color w:val="auto"/>
          <w:sz w:val="28"/>
          <w:szCs w:val="28"/>
        </w:rPr>
        <w:br w:type="page"/>
      </w:r>
    </w:p>
    <w:p w14:paraId="6C516129">
      <w:pPr>
        <w:rPr>
          <w:rFonts w:hint="eastAsia" w:ascii="宋体" w:hAnsi="宋体" w:cs="宋体"/>
          <w:b/>
          <w:color w:val="auto"/>
          <w:sz w:val="28"/>
          <w:szCs w:val="28"/>
        </w:rPr>
      </w:pPr>
      <w:r>
        <w:rPr>
          <w:rFonts w:hint="eastAsia" w:ascii="宋体" w:hAnsi="宋体" w:cs="宋体"/>
          <w:color w:val="auto"/>
          <w:sz w:val="28"/>
          <w:szCs w:val="28"/>
        </w:rPr>
        <w:t>表二：</w:t>
      </w:r>
      <w:r>
        <w:rPr>
          <w:rFonts w:hint="eastAsia" w:ascii="宋体" w:hAnsi="宋体" w:cs="宋体"/>
          <w:b/>
          <w:color w:val="auto"/>
          <w:sz w:val="28"/>
          <w:szCs w:val="28"/>
        </w:rPr>
        <w:t>初步评审标准-响应性评审</w:t>
      </w:r>
    </w:p>
    <w:tbl>
      <w:tblPr>
        <w:tblStyle w:val="26"/>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943"/>
        <w:gridCol w:w="7219"/>
      </w:tblGrid>
      <w:tr w14:paraId="1D74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1" w:type="dxa"/>
            <w:vAlign w:val="center"/>
          </w:tcPr>
          <w:p w14:paraId="09095B35">
            <w:pPr>
              <w:widowControl/>
              <w:jc w:val="center"/>
              <w:rPr>
                <w:rFonts w:hint="eastAsia" w:ascii="宋体" w:hAnsi="宋体" w:cs="宋体"/>
                <w:b/>
                <w:color w:val="auto"/>
                <w:kern w:val="0"/>
                <w:sz w:val="24"/>
              </w:rPr>
            </w:pPr>
            <w:r>
              <w:rPr>
                <w:rFonts w:hint="eastAsia" w:ascii="宋体" w:hAnsi="宋体" w:cs="宋体"/>
                <w:b/>
                <w:color w:val="auto"/>
                <w:kern w:val="0"/>
                <w:sz w:val="24"/>
              </w:rPr>
              <w:t>序号</w:t>
            </w:r>
          </w:p>
        </w:tc>
        <w:tc>
          <w:tcPr>
            <w:tcW w:w="1943" w:type="dxa"/>
            <w:vAlign w:val="center"/>
          </w:tcPr>
          <w:p w14:paraId="46FCB6BA">
            <w:pPr>
              <w:widowControl/>
              <w:jc w:val="center"/>
              <w:rPr>
                <w:rFonts w:hint="eastAsia" w:ascii="宋体" w:hAnsi="宋体" w:cs="宋体"/>
                <w:b/>
                <w:color w:val="auto"/>
                <w:kern w:val="0"/>
                <w:sz w:val="24"/>
              </w:rPr>
            </w:pPr>
            <w:r>
              <w:rPr>
                <w:rFonts w:hint="eastAsia" w:ascii="宋体" w:hAnsi="宋体" w:cs="宋体"/>
                <w:b/>
                <w:color w:val="auto"/>
                <w:kern w:val="0"/>
                <w:sz w:val="24"/>
              </w:rPr>
              <w:t>审查因素</w:t>
            </w:r>
          </w:p>
        </w:tc>
        <w:tc>
          <w:tcPr>
            <w:tcW w:w="7219" w:type="dxa"/>
            <w:vAlign w:val="center"/>
          </w:tcPr>
          <w:p w14:paraId="67FAD96E">
            <w:pPr>
              <w:widowControl/>
              <w:jc w:val="center"/>
              <w:rPr>
                <w:rFonts w:hint="eastAsia" w:ascii="宋体" w:hAnsi="宋体" w:cs="宋体"/>
                <w:b/>
                <w:color w:val="auto"/>
                <w:kern w:val="0"/>
                <w:sz w:val="24"/>
              </w:rPr>
            </w:pPr>
            <w:r>
              <w:rPr>
                <w:rFonts w:hint="eastAsia" w:ascii="宋体" w:hAnsi="宋体" w:cs="宋体"/>
                <w:b/>
                <w:color w:val="auto"/>
                <w:kern w:val="0"/>
                <w:sz w:val="24"/>
              </w:rPr>
              <w:t>审查内容</w:t>
            </w:r>
          </w:p>
        </w:tc>
      </w:tr>
      <w:tr w14:paraId="0BED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1" w:type="dxa"/>
            <w:vAlign w:val="center"/>
          </w:tcPr>
          <w:p w14:paraId="10945E5E">
            <w:pPr>
              <w:numPr>
                <w:ilvl w:val="0"/>
                <w:numId w:val="7"/>
              </w:numPr>
              <w:tabs>
                <w:tab w:val="left" w:pos="1080"/>
              </w:tabs>
              <w:snapToGrid w:val="0"/>
              <w:rPr>
                <w:rFonts w:hint="eastAsia" w:ascii="宋体" w:hAnsi="宋体" w:cs="宋体"/>
                <w:color w:val="auto"/>
                <w:sz w:val="24"/>
                <w:szCs w:val="24"/>
              </w:rPr>
            </w:pPr>
          </w:p>
        </w:tc>
        <w:tc>
          <w:tcPr>
            <w:tcW w:w="1943" w:type="dxa"/>
            <w:vAlign w:val="center"/>
          </w:tcPr>
          <w:p w14:paraId="26F4EE21">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授权委托书</w:t>
            </w:r>
          </w:p>
        </w:tc>
        <w:tc>
          <w:tcPr>
            <w:tcW w:w="7219" w:type="dxa"/>
            <w:vAlign w:val="center"/>
          </w:tcPr>
          <w:p w14:paraId="1D602163">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按招标文件要求提供授权委托书；</w:t>
            </w:r>
          </w:p>
        </w:tc>
      </w:tr>
      <w:tr w14:paraId="5CF1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1" w:type="dxa"/>
            <w:vAlign w:val="center"/>
          </w:tcPr>
          <w:p w14:paraId="3314A5AC">
            <w:pPr>
              <w:numPr>
                <w:ilvl w:val="0"/>
                <w:numId w:val="7"/>
              </w:numPr>
              <w:tabs>
                <w:tab w:val="left" w:pos="1080"/>
              </w:tabs>
              <w:snapToGrid w:val="0"/>
              <w:rPr>
                <w:rFonts w:hint="eastAsia" w:ascii="宋体" w:hAnsi="宋体" w:cs="宋体"/>
                <w:color w:val="auto"/>
                <w:sz w:val="24"/>
                <w:szCs w:val="24"/>
              </w:rPr>
            </w:pPr>
          </w:p>
        </w:tc>
        <w:tc>
          <w:tcPr>
            <w:tcW w:w="1943" w:type="dxa"/>
            <w:vAlign w:val="center"/>
          </w:tcPr>
          <w:p w14:paraId="3A247CF2">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投标完整性</w:t>
            </w:r>
          </w:p>
        </w:tc>
        <w:tc>
          <w:tcPr>
            <w:tcW w:w="7219" w:type="dxa"/>
            <w:vAlign w:val="center"/>
          </w:tcPr>
          <w:p w14:paraId="24DA1201">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未将一个采购包中的内容拆开投标；</w:t>
            </w:r>
          </w:p>
        </w:tc>
      </w:tr>
      <w:tr w14:paraId="6D8B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1" w:type="dxa"/>
            <w:vAlign w:val="center"/>
          </w:tcPr>
          <w:p w14:paraId="34C0B312">
            <w:pPr>
              <w:numPr>
                <w:ilvl w:val="0"/>
                <w:numId w:val="7"/>
              </w:numPr>
              <w:tabs>
                <w:tab w:val="left" w:pos="1080"/>
              </w:tabs>
              <w:snapToGrid w:val="0"/>
              <w:rPr>
                <w:rFonts w:hint="eastAsia" w:ascii="宋体" w:hAnsi="宋体" w:cs="宋体"/>
                <w:color w:val="auto"/>
                <w:sz w:val="24"/>
                <w:szCs w:val="24"/>
              </w:rPr>
            </w:pPr>
          </w:p>
        </w:tc>
        <w:tc>
          <w:tcPr>
            <w:tcW w:w="1943" w:type="dxa"/>
            <w:vAlign w:val="center"/>
          </w:tcPr>
          <w:p w14:paraId="5FA28417">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投标报价</w:t>
            </w:r>
          </w:p>
        </w:tc>
        <w:tc>
          <w:tcPr>
            <w:tcW w:w="7219" w:type="dxa"/>
            <w:vAlign w:val="center"/>
          </w:tcPr>
          <w:p w14:paraId="78B25C4A">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投标报价未超过招标文件中规定的项目/采购包预算金额或者项目/采购包最高限价；</w:t>
            </w:r>
          </w:p>
        </w:tc>
      </w:tr>
      <w:tr w14:paraId="54E0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1" w:type="dxa"/>
            <w:vAlign w:val="center"/>
          </w:tcPr>
          <w:p w14:paraId="1BA0FB35">
            <w:pPr>
              <w:numPr>
                <w:ilvl w:val="0"/>
                <w:numId w:val="7"/>
              </w:numPr>
              <w:tabs>
                <w:tab w:val="left" w:pos="1080"/>
              </w:tabs>
              <w:snapToGrid w:val="0"/>
              <w:rPr>
                <w:rFonts w:hint="eastAsia" w:ascii="宋体" w:hAnsi="宋体" w:cs="宋体"/>
                <w:color w:val="auto"/>
                <w:sz w:val="24"/>
                <w:szCs w:val="24"/>
              </w:rPr>
            </w:pPr>
          </w:p>
        </w:tc>
        <w:tc>
          <w:tcPr>
            <w:tcW w:w="1943" w:type="dxa"/>
            <w:vAlign w:val="center"/>
          </w:tcPr>
          <w:p w14:paraId="09D1E890">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报价唯一性</w:t>
            </w:r>
          </w:p>
        </w:tc>
        <w:tc>
          <w:tcPr>
            <w:tcW w:w="7219" w:type="dxa"/>
            <w:vAlign w:val="center"/>
          </w:tcPr>
          <w:p w14:paraId="54D39AA7">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投标文件未出现可选择性或可调整的报价（招标文件另有规定的除外）；</w:t>
            </w:r>
          </w:p>
        </w:tc>
      </w:tr>
      <w:tr w14:paraId="4A08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1" w:type="dxa"/>
            <w:vAlign w:val="center"/>
          </w:tcPr>
          <w:p w14:paraId="50B08E9F">
            <w:pPr>
              <w:numPr>
                <w:ilvl w:val="0"/>
                <w:numId w:val="7"/>
              </w:numPr>
              <w:tabs>
                <w:tab w:val="left" w:pos="1080"/>
              </w:tabs>
              <w:snapToGrid w:val="0"/>
              <w:rPr>
                <w:rFonts w:hint="eastAsia" w:ascii="宋体" w:hAnsi="宋体" w:cs="宋体"/>
                <w:color w:val="auto"/>
                <w:sz w:val="24"/>
                <w:szCs w:val="24"/>
              </w:rPr>
            </w:pPr>
          </w:p>
        </w:tc>
        <w:tc>
          <w:tcPr>
            <w:tcW w:w="1943" w:type="dxa"/>
            <w:vAlign w:val="center"/>
          </w:tcPr>
          <w:p w14:paraId="205C47F3">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投标有效期</w:t>
            </w:r>
          </w:p>
        </w:tc>
        <w:tc>
          <w:tcPr>
            <w:tcW w:w="7219" w:type="dxa"/>
            <w:vAlign w:val="center"/>
          </w:tcPr>
          <w:p w14:paraId="0F40F51F">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投标文件中承诺的投标有效期满足招标文件中载明的投标有效期的；</w:t>
            </w:r>
          </w:p>
        </w:tc>
      </w:tr>
      <w:tr w14:paraId="0578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1" w:type="dxa"/>
            <w:vAlign w:val="center"/>
          </w:tcPr>
          <w:p w14:paraId="3C03095E">
            <w:pPr>
              <w:numPr>
                <w:ilvl w:val="0"/>
                <w:numId w:val="7"/>
              </w:numPr>
              <w:tabs>
                <w:tab w:val="left" w:pos="1080"/>
              </w:tabs>
              <w:snapToGrid w:val="0"/>
              <w:rPr>
                <w:rFonts w:hint="eastAsia" w:ascii="宋体" w:hAnsi="宋体" w:cs="宋体"/>
                <w:color w:val="auto"/>
                <w:sz w:val="24"/>
                <w:szCs w:val="24"/>
              </w:rPr>
            </w:pPr>
          </w:p>
        </w:tc>
        <w:tc>
          <w:tcPr>
            <w:tcW w:w="1943" w:type="dxa"/>
            <w:vAlign w:val="center"/>
          </w:tcPr>
          <w:p w14:paraId="5B8B40D3">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签署、盖章</w:t>
            </w:r>
          </w:p>
        </w:tc>
        <w:tc>
          <w:tcPr>
            <w:tcW w:w="7219" w:type="dxa"/>
            <w:vAlign w:val="center"/>
          </w:tcPr>
          <w:p w14:paraId="0842CB27">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按照招标文件要求签署、盖章的；</w:t>
            </w:r>
          </w:p>
        </w:tc>
      </w:tr>
      <w:tr w14:paraId="51BB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1" w:type="dxa"/>
            <w:vAlign w:val="center"/>
          </w:tcPr>
          <w:p w14:paraId="72EB6C93">
            <w:pPr>
              <w:numPr>
                <w:ilvl w:val="0"/>
                <w:numId w:val="7"/>
              </w:numPr>
              <w:tabs>
                <w:tab w:val="left" w:pos="1080"/>
              </w:tabs>
              <w:snapToGrid w:val="0"/>
              <w:rPr>
                <w:rFonts w:hint="eastAsia" w:ascii="宋体" w:hAnsi="宋体" w:cs="宋体"/>
                <w:color w:val="auto"/>
                <w:sz w:val="24"/>
                <w:szCs w:val="24"/>
              </w:rPr>
            </w:pPr>
          </w:p>
        </w:tc>
        <w:tc>
          <w:tcPr>
            <w:tcW w:w="1943" w:type="dxa"/>
            <w:vAlign w:val="center"/>
          </w:tcPr>
          <w:p w14:paraId="4CB1488D">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实质性要求</w:t>
            </w:r>
          </w:p>
        </w:tc>
        <w:tc>
          <w:tcPr>
            <w:tcW w:w="7219" w:type="dxa"/>
            <w:vAlign w:val="center"/>
          </w:tcPr>
          <w:p w14:paraId="48391A85">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标记为“实质性格式”的文件均按招标文件要求提供；</w:t>
            </w:r>
          </w:p>
        </w:tc>
      </w:tr>
      <w:tr w14:paraId="5757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1" w:type="dxa"/>
            <w:vAlign w:val="center"/>
          </w:tcPr>
          <w:p w14:paraId="1728BCE7">
            <w:pPr>
              <w:numPr>
                <w:ilvl w:val="0"/>
                <w:numId w:val="7"/>
              </w:numPr>
              <w:tabs>
                <w:tab w:val="left" w:pos="1080"/>
              </w:tabs>
              <w:snapToGrid w:val="0"/>
              <w:rPr>
                <w:rFonts w:hint="eastAsia" w:ascii="宋体" w:hAnsi="宋体" w:cs="宋体"/>
                <w:color w:val="auto"/>
                <w:sz w:val="24"/>
                <w:szCs w:val="24"/>
              </w:rPr>
            </w:pPr>
          </w:p>
        </w:tc>
        <w:tc>
          <w:tcPr>
            <w:tcW w:w="1943" w:type="dxa"/>
            <w:vAlign w:val="center"/>
          </w:tcPr>
          <w:p w14:paraId="10E3B3CD">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★号条款响应</w:t>
            </w:r>
          </w:p>
        </w:tc>
        <w:tc>
          <w:tcPr>
            <w:tcW w:w="7219" w:type="dxa"/>
            <w:vAlign w:val="center"/>
          </w:tcPr>
          <w:p w14:paraId="0A7576B3">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投标文件满足招标文件第三章《服务要求及需求表》中★号条款要求的；</w:t>
            </w:r>
          </w:p>
        </w:tc>
      </w:tr>
      <w:tr w14:paraId="44A4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1" w:type="dxa"/>
            <w:vAlign w:val="center"/>
          </w:tcPr>
          <w:p w14:paraId="4DF6E333">
            <w:pPr>
              <w:numPr>
                <w:ilvl w:val="0"/>
                <w:numId w:val="7"/>
              </w:numPr>
              <w:tabs>
                <w:tab w:val="left" w:pos="1080"/>
              </w:tabs>
              <w:snapToGrid w:val="0"/>
              <w:rPr>
                <w:rFonts w:hint="eastAsia" w:ascii="宋体" w:hAnsi="宋体" w:cs="宋体"/>
                <w:color w:val="auto"/>
                <w:sz w:val="24"/>
                <w:szCs w:val="24"/>
              </w:rPr>
            </w:pPr>
          </w:p>
        </w:tc>
        <w:tc>
          <w:tcPr>
            <w:tcW w:w="1943" w:type="dxa"/>
            <w:vAlign w:val="center"/>
          </w:tcPr>
          <w:p w14:paraId="1376FC7D">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报价的修正（如有）</w:t>
            </w:r>
          </w:p>
        </w:tc>
        <w:tc>
          <w:tcPr>
            <w:tcW w:w="7219" w:type="dxa"/>
            <w:vAlign w:val="center"/>
          </w:tcPr>
          <w:p w14:paraId="56C0FC89">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不涉及报价修正，或投标文件报价出现前后不一致时，投标人对修正后的报价予以确认；（如有）</w:t>
            </w:r>
          </w:p>
        </w:tc>
      </w:tr>
      <w:tr w14:paraId="4856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1" w:type="dxa"/>
            <w:vAlign w:val="center"/>
          </w:tcPr>
          <w:p w14:paraId="04FD39B4">
            <w:pPr>
              <w:numPr>
                <w:ilvl w:val="0"/>
                <w:numId w:val="7"/>
              </w:numPr>
              <w:tabs>
                <w:tab w:val="left" w:pos="1080"/>
              </w:tabs>
              <w:snapToGrid w:val="0"/>
              <w:rPr>
                <w:rFonts w:hint="eastAsia" w:ascii="宋体" w:hAnsi="宋体" w:cs="宋体"/>
                <w:color w:val="auto"/>
                <w:sz w:val="24"/>
                <w:szCs w:val="24"/>
              </w:rPr>
            </w:pPr>
          </w:p>
        </w:tc>
        <w:tc>
          <w:tcPr>
            <w:tcW w:w="1943" w:type="dxa"/>
            <w:vAlign w:val="center"/>
          </w:tcPr>
          <w:p w14:paraId="019B5E80">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报价合理性</w:t>
            </w:r>
          </w:p>
        </w:tc>
        <w:tc>
          <w:tcPr>
            <w:tcW w:w="7219" w:type="dxa"/>
            <w:vAlign w:val="center"/>
          </w:tcPr>
          <w:p w14:paraId="4084F924">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报价合理，或投标人的报价明显低于其他通过符合性审查投标人的报价，有可能影响产品质量或者不能诚信履约的，能够应评标委员会要求在规定时间内证明其报价合理性的；</w:t>
            </w:r>
          </w:p>
        </w:tc>
      </w:tr>
      <w:tr w14:paraId="29D0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1" w:type="dxa"/>
            <w:vAlign w:val="center"/>
          </w:tcPr>
          <w:p w14:paraId="403B8747">
            <w:pPr>
              <w:numPr>
                <w:ilvl w:val="0"/>
                <w:numId w:val="7"/>
              </w:numPr>
              <w:tabs>
                <w:tab w:val="left" w:pos="1080"/>
              </w:tabs>
              <w:snapToGrid w:val="0"/>
              <w:rPr>
                <w:rFonts w:hint="eastAsia" w:ascii="宋体" w:hAnsi="宋体" w:cs="宋体"/>
                <w:color w:val="auto"/>
                <w:sz w:val="24"/>
                <w:szCs w:val="24"/>
              </w:rPr>
            </w:pPr>
          </w:p>
        </w:tc>
        <w:tc>
          <w:tcPr>
            <w:tcW w:w="1943" w:type="dxa"/>
            <w:vAlign w:val="center"/>
          </w:tcPr>
          <w:p w14:paraId="46C1778C">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公平竞争</w:t>
            </w:r>
          </w:p>
        </w:tc>
        <w:tc>
          <w:tcPr>
            <w:tcW w:w="7219" w:type="dxa"/>
            <w:vAlign w:val="center"/>
          </w:tcPr>
          <w:p w14:paraId="07141E03">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投标人遵循公平竞争的原则，不存在恶意串通，妨碍其他投标人的竞争行为，不存在损害采购人或者其他投标人的合法权益情形的；</w:t>
            </w:r>
          </w:p>
        </w:tc>
      </w:tr>
      <w:tr w14:paraId="496B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1" w:type="dxa"/>
            <w:vAlign w:val="center"/>
          </w:tcPr>
          <w:p w14:paraId="30420889">
            <w:pPr>
              <w:numPr>
                <w:ilvl w:val="0"/>
                <w:numId w:val="7"/>
              </w:numPr>
              <w:tabs>
                <w:tab w:val="left" w:pos="1080"/>
              </w:tabs>
              <w:snapToGrid w:val="0"/>
              <w:rPr>
                <w:rFonts w:hint="eastAsia" w:ascii="宋体" w:hAnsi="宋体" w:cs="宋体"/>
                <w:color w:val="auto"/>
                <w:sz w:val="24"/>
                <w:szCs w:val="24"/>
              </w:rPr>
            </w:pPr>
          </w:p>
        </w:tc>
        <w:tc>
          <w:tcPr>
            <w:tcW w:w="1943" w:type="dxa"/>
            <w:vAlign w:val="center"/>
          </w:tcPr>
          <w:p w14:paraId="704E38D2">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串通投标</w:t>
            </w:r>
          </w:p>
        </w:tc>
        <w:tc>
          <w:tcPr>
            <w:tcW w:w="7219" w:type="dxa"/>
            <w:vAlign w:val="center"/>
          </w:tcPr>
          <w:p w14:paraId="03E6D451">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286C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1" w:type="dxa"/>
            <w:vAlign w:val="center"/>
          </w:tcPr>
          <w:p w14:paraId="4A0A1DF8">
            <w:pPr>
              <w:numPr>
                <w:ilvl w:val="0"/>
                <w:numId w:val="7"/>
              </w:numPr>
              <w:tabs>
                <w:tab w:val="left" w:pos="1080"/>
              </w:tabs>
              <w:snapToGrid w:val="0"/>
              <w:rPr>
                <w:rFonts w:hint="eastAsia" w:ascii="宋体" w:hAnsi="宋体" w:cs="宋体"/>
                <w:color w:val="auto"/>
                <w:sz w:val="24"/>
                <w:szCs w:val="24"/>
              </w:rPr>
            </w:pPr>
          </w:p>
        </w:tc>
        <w:tc>
          <w:tcPr>
            <w:tcW w:w="1943" w:type="dxa"/>
            <w:vAlign w:val="center"/>
          </w:tcPr>
          <w:p w14:paraId="012C8C30">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附加条件</w:t>
            </w:r>
          </w:p>
        </w:tc>
        <w:tc>
          <w:tcPr>
            <w:tcW w:w="7219" w:type="dxa"/>
            <w:vAlign w:val="center"/>
          </w:tcPr>
          <w:p w14:paraId="250ABFCB">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投标文件未含有采购人不能接受的附加条件的；</w:t>
            </w:r>
          </w:p>
        </w:tc>
      </w:tr>
      <w:tr w14:paraId="134E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01" w:type="dxa"/>
            <w:vAlign w:val="center"/>
          </w:tcPr>
          <w:p w14:paraId="66289DBD">
            <w:pPr>
              <w:numPr>
                <w:ilvl w:val="0"/>
                <w:numId w:val="7"/>
              </w:numPr>
              <w:tabs>
                <w:tab w:val="left" w:pos="1080"/>
              </w:tabs>
              <w:snapToGrid w:val="0"/>
              <w:rPr>
                <w:rFonts w:hint="eastAsia" w:ascii="宋体" w:hAnsi="宋体" w:cs="宋体"/>
                <w:color w:val="auto"/>
                <w:sz w:val="24"/>
                <w:szCs w:val="24"/>
              </w:rPr>
            </w:pPr>
          </w:p>
        </w:tc>
        <w:tc>
          <w:tcPr>
            <w:tcW w:w="1943" w:type="dxa"/>
            <w:vAlign w:val="center"/>
          </w:tcPr>
          <w:p w14:paraId="3F385947">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其他无效情形</w:t>
            </w:r>
          </w:p>
        </w:tc>
        <w:tc>
          <w:tcPr>
            <w:tcW w:w="7219" w:type="dxa"/>
            <w:vAlign w:val="center"/>
          </w:tcPr>
          <w:p w14:paraId="6FC5D374">
            <w:pPr>
              <w:tabs>
                <w:tab w:val="left" w:pos="1080"/>
              </w:tabs>
              <w:snapToGrid w:val="0"/>
              <w:rPr>
                <w:rFonts w:hint="eastAsia" w:ascii="宋体" w:hAnsi="宋体" w:cs="宋体"/>
                <w:color w:val="auto"/>
                <w:sz w:val="24"/>
                <w:szCs w:val="24"/>
              </w:rPr>
            </w:pPr>
            <w:r>
              <w:rPr>
                <w:rFonts w:hint="eastAsia" w:ascii="宋体" w:hAnsi="宋体" w:cs="宋体"/>
                <w:color w:val="auto"/>
                <w:sz w:val="24"/>
                <w:szCs w:val="24"/>
              </w:rPr>
              <w:t>投标人、投标文件不存在不符合法律法规和招标文件规定的其他无效情形。</w:t>
            </w:r>
          </w:p>
        </w:tc>
      </w:tr>
    </w:tbl>
    <w:p w14:paraId="009E8ED5">
      <w:pPr>
        <w:rPr>
          <w:rFonts w:hint="eastAsia" w:ascii="宋体" w:hAnsi="宋体" w:cs="宋体"/>
          <w:b/>
          <w:color w:val="auto"/>
          <w:sz w:val="28"/>
          <w:szCs w:val="28"/>
        </w:rPr>
        <w:sectPr>
          <w:headerReference r:id="rId4" w:type="default"/>
          <w:footerReference r:id="rId5" w:type="default"/>
          <w:pgSz w:w="11907" w:h="16839"/>
          <w:pgMar w:top="1440" w:right="1080" w:bottom="1440" w:left="1080" w:header="0" w:footer="0" w:gutter="0"/>
          <w:cols w:space="720" w:num="1"/>
        </w:sectPr>
      </w:pPr>
      <w:r>
        <w:rPr>
          <w:rFonts w:hint="eastAsia" w:ascii="宋体" w:hAnsi="宋体" w:cs="宋体"/>
          <w:b/>
          <w:color w:val="auto"/>
          <w:sz w:val="28"/>
          <w:szCs w:val="28"/>
        </w:rPr>
        <w:br w:type="page"/>
      </w:r>
    </w:p>
    <w:p w14:paraId="69693ADD">
      <w:pPr>
        <w:pStyle w:val="37"/>
        <w:ind w:firstLine="562"/>
        <w:rPr>
          <w:rFonts w:hint="eastAsia" w:ascii="宋体" w:hAnsi="宋体" w:cs="宋体"/>
          <w:b/>
          <w:color w:val="auto"/>
          <w:szCs w:val="28"/>
        </w:rPr>
      </w:pPr>
      <w:r>
        <w:rPr>
          <w:rFonts w:hint="eastAsia" w:ascii="宋体" w:hAnsi="宋体" w:cs="宋体"/>
          <w:b/>
          <w:color w:val="auto"/>
          <w:szCs w:val="28"/>
        </w:rPr>
        <w:t>表3：详细评审</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3"/>
        <w:gridCol w:w="1800"/>
        <w:gridCol w:w="5380"/>
        <w:gridCol w:w="793"/>
        <w:gridCol w:w="751"/>
      </w:tblGrid>
      <w:tr w14:paraId="04195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933" w:type="dxa"/>
            <w:noWrap w:val="0"/>
            <w:vAlign w:val="center"/>
          </w:tcPr>
          <w:p w14:paraId="13752558">
            <w:pPr>
              <w:snapToGrid w:val="0"/>
              <w:spacing w:line="288" w:lineRule="auto"/>
              <w:ind w:left="-78" w:leftChars="-37" w:right="-73" w:rightChars="-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00" w:type="dxa"/>
            <w:noWrap w:val="0"/>
            <w:vAlign w:val="center"/>
          </w:tcPr>
          <w:p w14:paraId="24D381EB">
            <w:pPr>
              <w:snapToGrid w:val="0"/>
              <w:spacing w:line="288" w:lineRule="auto"/>
              <w:ind w:left="-78" w:leftChars="-37" w:right="-73" w:rightChars="-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5380" w:type="dxa"/>
            <w:noWrap w:val="0"/>
            <w:vAlign w:val="center"/>
          </w:tcPr>
          <w:p w14:paraId="2745C47B">
            <w:pPr>
              <w:snapToGrid w:val="0"/>
              <w:spacing w:line="288" w:lineRule="auto"/>
              <w:ind w:left="-78" w:leftChars="-37" w:right="-73" w:rightChars="-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793" w:type="dxa"/>
            <w:noWrap w:val="0"/>
            <w:vAlign w:val="center"/>
          </w:tcPr>
          <w:p w14:paraId="1429C0DA">
            <w:pPr>
              <w:snapToGrid w:val="0"/>
              <w:spacing w:line="288" w:lineRule="auto"/>
              <w:ind w:left="-78" w:leftChars="-37" w:right="-73" w:rightChars="-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p w14:paraId="15C5B4BC">
            <w:pPr>
              <w:snapToGrid w:val="0"/>
              <w:spacing w:line="288" w:lineRule="auto"/>
              <w:ind w:left="-78" w:leftChars="-37" w:right="-73" w:rightChars="-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w:t>
            </w:r>
          </w:p>
        </w:tc>
        <w:tc>
          <w:tcPr>
            <w:tcW w:w="751" w:type="dxa"/>
            <w:noWrap w:val="0"/>
            <w:vAlign w:val="center"/>
          </w:tcPr>
          <w:p w14:paraId="43ED1A63">
            <w:pPr>
              <w:snapToGrid w:val="0"/>
              <w:spacing w:line="288" w:lineRule="auto"/>
              <w:ind w:left="-78" w:leftChars="-37" w:right="-73" w:rightChars="-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权重</w:t>
            </w:r>
          </w:p>
          <w:p w14:paraId="6C8261D6">
            <w:pPr>
              <w:snapToGrid w:val="0"/>
              <w:spacing w:line="288" w:lineRule="auto"/>
              <w:ind w:left="-78" w:leftChars="-37" w:right="-73" w:rightChars="-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r>
      <w:tr w14:paraId="19D50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933" w:type="dxa"/>
            <w:noWrap w:val="0"/>
            <w:vAlign w:val="center"/>
          </w:tcPr>
          <w:p w14:paraId="56ECEE64">
            <w:pPr>
              <w:snapToGrid w:val="0"/>
              <w:spacing w:line="288" w:lineRule="auto"/>
              <w:ind w:left="-78" w:leftChars="-37" w:right="-73" w:rightChars="-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8724" w:type="dxa"/>
            <w:gridSpan w:val="4"/>
            <w:noWrap w:val="0"/>
            <w:vAlign w:val="center"/>
          </w:tcPr>
          <w:p w14:paraId="2BEB8140">
            <w:pPr>
              <w:snapToGrid w:val="0"/>
              <w:spacing w:line="288" w:lineRule="auto"/>
              <w:ind w:left="-78" w:leftChars="-37" w:right="-73" w:rightChars="-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技术部分（合计</w:t>
            </w:r>
            <w:r>
              <w:rPr>
                <w:rFonts w:hint="eastAsia" w:ascii="宋体" w:hAnsi="宋体" w:eastAsia="宋体" w:cs="宋体"/>
                <w:b/>
                <w:color w:val="auto"/>
                <w:sz w:val="24"/>
                <w:szCs w:val="24"/>
                <w:highlight w:val="none"/>
                <w:lang w:val="en-US" w:eastAsia="zh-CN"/>
              </w:rPr>
              <w:t>55</w:t>
            </w:r>
            <w:r>
              <w:rPr>
                <w:rFonts w:hint="eastAsia" w:ascii="宋体" w:hAnsi="宋体" w:eastAsia="宋体" w:cs="宋体"/>
                <w:b/>
                <w:color w:val="auto"/>
                <w:sz w:val="24"/>
                <w:szCs w:val="24"/>
                <w:highlight w:val="none"/>
              </w:rPr>
              <w:t>分）</w:t>
            </w:r>
          </w:p>
        </w:tc>
      </w:tr>
      <w:tr w14:paraId="375A3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9" w:hRule="atLeast"/>
          <w:jc w:val="center"/>
        </w:trPr>
        <w:tc>
          <w:tcPr>
            <w:tcW w:w="933" w:type="dxa"/>
            <w:noWrap w:val="0"/>
            <w:vAlign w:val="center"/>
          </w:tcPr>
          <w:p w14:paraId="2AB1127B">
            <w:pPr>
              <w:pStyle w:val="74"/>
              <w:numPr>
                <w:ilvl w:val="0"/>
                <w:numId w:val="8"/>
              </w:numPr>
              <w:snapToGrid w:val="0"/>
              <w:spacing w:line="288" w:lineRule="auto"/>
              <w:ind w:firstLineChars="0"/>
              <w:jc w:val="center"/>
              <w:rPr>
                <w:rFonts w:hint="eastAsia" w:ascii="宋体" w:hAnsi="宋体" w:eastAsia="宋体" w:cs="宋体"/>
                <w:color w:val="auto"/>
                <w:sz w:val="24"/>
                <w:szCs w:val="24"/>
                <w:highlight w:val="none"/>
              </w:rPr>
            </w:pPr>
          </w:p>
        </w:tc>
        <w:tc>
          <w:tcPr>
            <w:tcW w:w="1800" w:type="dxa"/>
            <w:noWrap w:val="0"/>
            <w:vAlign w:val="center"/>
          </w:tcPr>
          <w:p w14:paraId="62B9A93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对项目的了解和熟悉程度</w:t>
            </w:r>
          </w:p>
        </w:tc>
        <w:tc>
          <w:tcPr>
            <w:tcW w:w="5380" w:type="dxa"/>
            <w:noWrap w:val="0"/>
            <w:vAlign w:val="center"/>
          </w:tcPr>
          <w:p w14:paraId="6300851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对项目和理解和服务方案进行评审：</w:t>
            </w:r>
          </w:p>
          <w:p w14:paraId="2077D95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对项目理解深入透彻，服务方案整体框架清晰，阐述内容主次分明，方案可操作性、可行性强，得15分；</w:t>
            </w:r>
          </w:p>
          <w:p w14:paraId="32697DB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对项目理解较为深入，服务方案整体框架较清晰，阐述内容主次较为分明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方案具有一定的可操作性、可行性较强，得10分；</w:t>
            </w:r>
          </w:p>
          <w:p w14:paraId="12F3C0F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对项目理解基本深入，服务方案整体框架基本清晰，阐述内容主次基本分明，方案具有基本的可操作性、可行性，得5分；</w:t>
            </w:r>
          </w:p>
          <w:p w14:paraId="3FB181F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对项目理解不深入，服务方案整体框架模糊，阐述内容主次不分明，方案的可操作性、可行性较差，得1分；</w:t>
            </w:r>
            <w:r>
              <w:rPr>
                <w:rFonts w:hint="eastAsia" w:ascii="宋体" w:hAnsi="宋体" w:cs="宋体"/>
                <w:color w:val="auto"/>
                <w:sz w:val="24"/>
                <w:szCs w:val="24"/>
                <w:highlight w:val="none"/>
                <w:lang w:val="en-US" w:eastAsia="zh-CN"/>
              </w:rPr>
              <w:t>未</w:t>
            </w:r>
            <w:r>
              <w:rPr>
                <w:rFonts w:hint="eastAsia" w:ascii="宋体" w:hAnsi="宋体" w:eastAsia="宋体" w:cs="宋体"/>
                <w:color w:val="auto"/>
                <w:sz w:val="24"/>
                <w:szCs w:val="24"/>
                <w:highlight w:val="none"/>
              </w:rPr>
              <w:t>提供不得分。</w:t>
            </w:r>
          </w:p>
        </w:tc>
        <w:tc>
          <w:tcPr>
            <w:tcW w:w="793" w:type="dxa"/>
            <w:noWrap w:val="0"/>
            <w:vAlign w:val="center"/>
          </w:tcPr>
          <w:p w14:paraId="4C4E8EB3">
            <w:pPr>
              <w:snapToGrid w:val="0"/>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751" w:type="dxa"/>
            <w:noWrap w:val="0"/>
            <w:vAlign w:val="center"/>
          </w:tcPr>
          <w:p w14:paraId="2F773765">
            <w:pPr>
              <w:snapToGrid w:val="0"/>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14:paraId="5E072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8" w:hRule="atLeast"/>
          <w:jc w:val="center"/>
        </w:trPr>
        <w:tc>
          <w:tcPr>
            <w:tcW w:w="933" w:type="dxa"/>
            <w:noWrap w:val="0"/>
            <w:vAlign w:val="center"/>
          </w:tcPr>
          <w:p w14:paraId="7FB3A697">
            <w:pPr>
              <w:pStyle w:val="74"/>
              <w:numPr>
                <w:ilvl w:val="0"/>
                <w:numId w:val="8"/>
              </w:numPr>
              <w:snapToGrid w:val="0"/>
              <w:spacing w:line="288" w:lineRule="auto"/>
              <w:ind w:firstLineChars="0"/>
              <w:jc w:val="center"/>
              <w:rPr>
                <w:rFonts w:hint="eastAsia" w:ascii="宋体" w:hAnsi="宋体" w:eastAsia="宋体" w:cs="宋体"/>
                <w:color w:val="auto"/>
                <w:sz w:val="24"/>
                <w:szCs w:val="24"/>
                <w:highlight w:val="none"/>
              </w:rPr>
            </w:pPr>
          </w:p>
        </w:tc>
        <w:tc>
          <w:tcPr>
            <w:tcW w:w="1800" w:type="dxa"/>
            <w:noWrap w:val="0"/>
            <w:vAlign w:val="center"/>
          </w:tcPr>
          <w:p w14:paraId="0E1E02A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p>
          <w:p w14:paraId="445D1C2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管理制度</w:t>
            </w:r>
          </w:p>
        </w:tc>
        <w:tc>
          <w:tcPr>
            <w:tcW w:w="5380" w:type="dxa"/>
            <w:noWrap w:val="0"/>
            <w:vAlign w:val="center"/>
          </w:tcPr>
          <w:p w14:paraId="0953175C">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管理制度：</w:t>
            </w:r>
          </w:p>
          <w:p w14:paraId="07415C1E">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投标供应商提供健全的内部管理制度得10分，包括但不限于以下内容：质量控制制度、档案管理制度、财务管理制度、保密制度。</w:t>
            </w:r>
            <w:r>
              <w:rPr>
                <w:rFonts w:hint="eastAsia" w:ascii="宋体" w:hAnsi="宋体" w:eastAsia="宋体" w:cs="宋体"/>
                <w:color w:val="auto"/>
                <w:sz w:val="24"/>
                <w:szCs w:val="24"/>
                <w:highlight w:val="none"/>
                <w:lang w:val="en-US" w:eastAsia="zh-CN"/>
              </w:rPr>
              <w:t>如内部管理制度存在严重缺漏或错误不得分，</w:t>
            </w:r>
            <w:r>
              <w:rPr>
                <w:rFonts w:hint="eastAsia" w:ascii="宋体" w:hAnsi="宋体" w:eastAsia="宋体" w:cs="宋体"/>
                <w:color w:val="auto"/>
                <w:sz w:val="24"/>
                <w:szCs w:val="24"/>
                <w:highlight w:val="none"/>
              </w:rPr>
              <w:t>缺项或</w:t>
            </w:r>
            <w:r>
              <w:rPr>
                <w:rFonts w:hint="eastAsia" w:ascii="宋体" w:hAnsi="宋体" w:cs="宋体"/>
                <w:color w:val="auto"/>
                <w:sz w:val="24"/>
                <w:szCs w:val="24"/>
                <w:highlight w:val="none"/>
                <w:lang w:val="en-US" w:eastAsia="zh-CN"/>
              </w:rPr>
              <w:t>未</w:t>
            </w:r>
            <w:r>
              <w:rPr>
                <w:rFonts w:hint="eastAsia" w:ascii="宋体" w:hAnsi="宋体" w:eastAsia="宋体" w:cs="宋体"/>
                <w:color w:val="auto"/>
                <w:sz w:val="24"/>
                <w:szCs w:val="24"/>
                <w:highlight w:val="none"/>
              </w:rPr>
              <w:t>提供不得分。</w:t>
            </w:r>
          </w:p>
        </w:tc>
        <w:tc>
          <w:tcPr>
            <w:tcW w:w="793" w:type="dxa"/>
            <w:noWrap w:val="0"/>
            <w:vAlign w:val="center"/>
          </w:tcPr>
          <w:p w14:paraId="62148893">
            <w:pPr>
              <w:snapToGrid w:val="0"/>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751" w:type="dxa"/>
            <w:noWrap w:val="0"/>
            <w:vAlign w:val="center"/>
          </w:tcPr>
          <w:p w14:paraId="16CA68E7">
            <w:pPr>
              <w:snapToGrid w:val="0"/>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45E0E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3" w:type="dxa"/>
            <w:noWrap w:val="0"/>
            <w:vAlign w:val="center"/>
          </w:tcPr>
          <w:p w14:paraId="5EC4F732">
            <w:pPr>
              <w:pStyle w:val="74"/>
              <w:numPr>
                <w:ilvl w:val="0"/>
                <w:numId w:val="8"/>
              </w:numPr>
              <w:snapToGrid w:val="0"/>
              <w:spacing w:line="288" w:lineRule="auto"/>
              <w:ind w:firstLineChars="0"/>
              <w:jc w:val="center"/>
              <w:rPr>
                <w:rFonts w:hint="eastAsia" w:ascii="宋体" w:hAnsi="宋体" w:eastAsia="宋体" w:cs="宋体"/>
                <w:color w:val="auto"/>
                <w:sz w:val="24"/>
                <w:szCs w:val="24"/>
                <w:highlight w:val="none"/>
              </w:rPr>
            </w:pPr>
          </w:p>
        </w:tc>
        <w:tc>
          <w:tcPr>
            <w:tcW w:w="1800" w:type="dxa"/>
            <w:noWrap w:val="0"/>
            <w:vAlign w:val="center"/>
          </w:tcPr>
          <w:p w14:paraId="4D78FD37">
            <w:pPr>
              <w:pStyle w:val="46"/>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rPr>
              <w:t>审计实施方案</w:t>
            </w:r>
          </w:p>
        </w:tc>
        <w:tc>
          <w:tcPr>
            <w:tcW w:w="5380" w:type="dxa"/>
            <w:noWrap w:val="0"/>
            <w:vAlign w:val="center"/>
          </w:tcPr>
          <w:p w14:paraId="74D77B96">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评委根据各投标人对本项目提供的具体工作方法和工作途径的合理性、工作流程的完整性、业务分工的清晰程度、工作实施的可行性等内容进行综合比较评审：</w:t>
            </w:r>
          </w:p>
          <w:p w14:paraId="67C086F1">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工作方法和工作途径合理，工作流程内容全面、具体，审计方式方法可操作性强，工作实施对审计重点及难点的分析论述透彻，提出的建议针对性强</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20分</w:t>
            </w:r>
            <w:r>
              <w:rPr>
                <w:rFonts w:hint="eastAsia" w:ascii="宋体" w:hAnsi="宋体" w:eastAsia="宋体" w:cs="宋体"/>
                <w:color w:val="auto"/>
                <w:sz w:val="24"/>
                <w:szCs w:val="24"/>
                <w:highlight w:val="none"/>
                <w:lang w:eastAsia="zh-CN"/>
              </w:rPr>
              <w:t>；</w:t>
            </w:r>
          </w:p>
          <w:p w14:paraId="6745A64C">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工作方法和工作途径较为合理，工作流程内容较为全面、具体，审计方式方法可操作性较强，工作实施对审计重点及难点的分析论述较为透彻，提出的建议针对性较强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15分</w:t>
            </w:r>
            <w:r>
              <w:rPr>
                <w:rFonts w:hint="eastAsia" w:ascii="宋体" w:hAnsi="宋体" w:eastAsia="宋体" w:cs="宋体"/>
                <w:color w:val="auto"/>
                <w:sz w:val="24"/>
                <w:szCs w:val="24"/>
                <w:highlight w:val="none"/>
                <w:lang w:eastAsia="zh-CN"/>
              </w:rPr>
              <w:t>；</w:t>
            </w:r>
          </w:p>
          <w:p w14:paraId="276C1B77">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工作方法和工作途径一般，工作流程内容一般，审计方式方法可操作性一般，工作实施对审计重点及难点的分析论述一般，提出的建议针对性一般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得10分；</w:t>
            </w:r>
          </w:p>
          <w:p w14:paraId="29519D4D">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工作方法和工作途径不够合理，工作流程内容不够全面、具体，审计方式方法的可操作性较差，工作实施对审计重点及难点的分析不够到位，提出的建议针对性差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得5分；</w:t>
            </w:r>
          </w:p>
          <w:p w14:paraId="07DB3445">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val="en-US" w:eastAsia="zh-CN"/>
              </w:rPr>
              <w:t>未</w:t>
            </w:r>
            <w:r>
              <w:rPr>
                <w:rFonts w:hint="eastAsia" w:ascii="宋体" w:hAnsi="宋体" w:eastAsia="宋体" w:cs="宋体"/>
                <w:color w:val="auto"/>
                <w:sz w:val="24"/>
                <w:szCs w:val="24"/>
                <w:highlight w:val="none"/>
              </w:rPr>
              <w:t>提供方案不得分。</w:t>
            </w:r>
          </w:p>
        </w:tc>
        <w:tc>
          <w:tcPr>
            <w:tcW w:w="793" w:type="dxa"/>
            <w:noWrap w:val="0"/>
            <w:vAlign w:val="center"/>
          </w:tcPr>
          <w:p w14:paraId="11D1DB34">
            <w:pPr>
              <w:snapToGrid w:val="0"/>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751" w:type="dxa"/>
            <w:noWrap w:val="0"/>
            <w:vAlign w:val="center"/>
          </w:tcPr>
          <w:p w14:paraId="39C76FC1">
            <w:pPr>
              <w:snapToGrid w:val="0"/>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r>
      <w:tr w14:paraId="03424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6" w:hRule="atLeast"/>
          <w:jc w:val="center"/>
        </w:trPr>
        <w:tc>
          <w:tcPr>
            <w:tcW w:w="933" w:type="dxa"/>
            <w:noWrap w:val="0"/>
            <w:vAlign w:val="center"/>
          </w:tcPr>
          <w:p w14:paraId="06FC9A03">
            <w:pPr>
              <w:pStyle w:val="74"/>
              <w:numPr>
                <w:ilvl w:val="0"/>
                <w:numId w:val="8"/>
              </w:numPr>
              <w:snapToGrid w:val="0"/>
              <w:spacing w:line="288" w:lineRule="auto"/>
              <w:ind w:firstLineChars="0"/>
              <w:jc w:val="center"/>
              <w:rPr>
                <w:rFonts w:hint="eastAsia" w:ascii="宋体" w:hAnsi="宋体" w:eastAsia="宋体" w:cs="宋体"/>
                <w:color w:val="auto"/>
                <w:sz w:val="24"/>
                <w:szCs w:val="24"/>
                <w:highlight w:val="none"/>
              </w:rPr>
            </w:pPr>
          </w:p>
        </w:tc>
        <w:tc>
          <w:tcPr>
            <w:tcW w:w="1800" w:type="dxa"/>
            <w:noWrap w:val="0"/>
            <w:vAlign w:val="center"/>
          </w:tcPr>
          <w:p w14:paraId="40C4444B">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实施本项目的进度计划及控制措施</w:t>
            </w:r>
          </w:p>
          <w:p w14:paraId="42393B60">
            <w:pPr>
              <w:pStyle w:val="46"/>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rPr>
            </w:pPr>
          </w:p>
        </w:tc>
        <w:tc>
          <w:tcPr>
            <w:tcW w:w="5380" w:type="dxa"/>
            <w:noWrap w:val="0"/>
            <w:vAlign w:val="top"/>
          </w:tcPr>
          <w:p w14:paraId="719ADC8A">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严格把握提交时限，根据本项目工作的关键时间点有序推进，项目进度控制科学，时间节点清晰合理，并附有详细的确保完成工作措施，得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6E00ECA7">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满足招标文件中规定的服务期限要求，各阶段时间节点较为明确，并附有较详细的确保完成工作措施，得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269DF2E9">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只承诺满足招标文件中规定的服务期限以内完成的，时间节点划分照搬招标文件或较为简单，得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0C69A371">
            <w:pPr>
              <w:pStyle w:val="11"/>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未承诺满足招标文件中规定的服务期限以内完成的，时间节点划分照搬招标文件，得0分。</w:t>
            </w:r>
          </w:p>
        </w:tc>
        <w:tc>
          <w:tcPr>
            <w:tcW w:w="793" w:type="dxa"/>
            <w:noWrap w:val="0"/>
            <w:vAlign w:val="center"/>
          </w:tcPr>
          <w:p w14:paraId="10E12592">
            <w:pPr>
              <w:snapToGrid w:val="0"/>
              <w:spacing w:line="288"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751" w:type="dxa"/>
            <w:noWrap w:val="0"/>
            <w:vAlign w:val="center"/>
          </w:tcPr>
          <w:p w14:paraId="5FE3FFEB">
            <w:pPr>
              <w:snapToGrid w:val="0"/>
              <w:spacing w:line="288"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r>
      <w:tr w14:paraId="7AAFC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5" w:hRule="atLeast"/>
          <w:jc w:val="center"/>
        </w:trPr>
        <w:tc>
          <w:tcPr>
            <w:tcW w:w="933" w:type="dxa"/>
            <w:noWrap w:val="0"/>
            <w:vAlign w:val="center"/>
          </w:tcPr>
          <w:p w14:paraId="615088E2">
            <w:pPr>
              <w:pStyle w:val="74"/>
              <w:numPr>
                <w:ilvl w:val="0"/>
                <w:numId w:val="8"/>
              </w:numPr>
              <w:snapToGrid w:val="0"/>
              <w:spacing w:line="288" w:lineRule="auto"/>
              <w:ind w:firstLineChars="0"/>
              <w:jc w:val="center"/>
              <w:rPr>
                <w:rFonts w:hint="eastAsia" w:ascii="宋体" w:hAnsi="宋体" w:eastAsia="宋体" w:cs="宋体"/>
                <w:color w:val="auto"/>
                <w:sz w:val="24"/>
                <w:szCs w:val="24"/>
                <w:highlight w:val="none"/>
              </w:rPr>
            </w:pPr>
          </w:p>
        </w:tc>
        <w:tc>
          <w:tcPr>
            <w:tcW w:w="1800" w:type="dxa"/>
            <w:noWrap w:val="0"/>
            <w:vAlign w:val="center"/>
          </w:tcPr>
          <w:p w14:paraId="0CE019D9">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实施本项目的质量保证体系及质量承诺书</w:t>
            </w:r>
          </w:p>
          <w:p w14:paraId="5B9B5C4F">
            <w:pPr>
              <w:pStyle w:val="46"/>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rPr>
            </w:pPr>
          </w:p>
        </w:tc>
        <w:tc>
          <w:tcPr>
            <w:tcW w:w="5380" w:type="dxa"/>
            <w:noWrap w:val="0"/>
            <w:vAlign w:val="top"/>
          </w:tcPr>
          <w:p w14:paraId="652C59C5">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有严格合理的质量保证体系，对整个项目质量管理有具体的保障制度和措施，针对性强，能很好的保证项目质量，得5分；</w:t>
            </w:r>
          </w:p>
          <w:p w14:paraId="66A6D152">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提供有较合理质量保证措施，质量保证及质量承诺符合项目需求，得3分；</w:t>
            </w:r>
          </w:p>
          <w:p w14:paraId="53C54CBD">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提供相对简单的质量保证措施，没有针对性，得1分；</w:t>
            </w:r>
          </w:p>
          <w:p w14:paraId="407B4419">
            <w:pPr>
              <w:pStyle w:val="11"/>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未提供质量保证措施得0分。</w:t>
            </w:r>
          </w:p>
        </w:tc>
        <w:tc>
          <w:tcPr>
            <w:tcW w:w="793" w:type="dxa"/>
            <w:noWrap w:val="0"/>
            <w:vAlign w:val="center"/>
          </w:tcPr>
          <w:p w14:paraId="5AE6DE33">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51" w:type="dxa"/>
            <w:noWrap w:val="0"/>
            <w:vAlign w:val="center"/>
          </w:tcPr>
          <w:p w14:paraId="71DA1EF9">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2DA1E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3" w:type="dxa"/>
            <w:noWrap w:val="0"/>
            <w:vAlign w:val="center"/>
          </w:tcPr>
          <w:p w14:paraId="15E1E51B">
            <w:pPr>
              <w:snapToGrid w:val="0"/>
              <w:spacing w:line="288"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8724" w:type="dxa"/>
            <w:gridSpan w:val="4"/>
            <w:noWrap w:val="0"/>
            <w:vAlign w:val="center"/>
          </w:tcPr>
          <w:p w14:paraId="7AD1AE8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商务部分（</w:t>
            </w:r>
            <w:r>
              <w:rPr>
                <w:rFonts w:hint="eastAsia" w:ascii="宋体" w:hAnsi="宋体" w:eastAsia="宋体" w:cs="宋体"/>
                <w:b/>
                <w:color w:val="auto"/>
                <w:sz w:val="24"/>
                <w:szCs w:val="24"/>
                <w:highlight w:val="none"/>
                <w:lang w:val="en-US" w:eastAsia="zh-CN"/>
              </w:rPr>
              <w:t>35</w:t>
            </w:r>
            <w:r>
              <w:rPr>
                <w:rFonts w:hint="eastAsia" w:ascii="宋体" w:hAnsi="宋体" w:eastAsia="宋体" w:cs="宋体"/>
                <w:b/>
                <w:color w:val="auto"/>
                <w:sz w:val="24"/>
                <w:szCs w:val="24"/>
                <w:highlight w:val="none"/>
              </w:rPr>
              <w:t>分）</w:t>
            </w:r>
          </w:p>
        </w:tc>
      </w:tr>
      <w:tr w14:paraId="10FD2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7" w:hRule="atLeast"/>
          <w:jc w:val="center"/>
        </w:trPr>
        <w:tc>
          <w:tcPr>
            <w:tcW w:w="933" w:type="dxa"/>
            <w:noWrap w:val="0"/>
            <w:vAlign w:val="center"/>
          </w:tcPr>
          <w:p w14:paraId="6DE9A068">
            <w:pPr>
              <w:pStyle w:val="74"/>
              <w:numPr>
                <w:ilvl w:val="0"/>
                <w:numId w:val="9"/>
              </w:numPr>
              <w:snapToGrid w:val="0"/>
              <w:spacing w:line="288" w:lineRule="auto"/>
              <w:ind w:left="630" w:leftChars="0" w:firstLineChars="0"/>
              <w:jc w:val="center"/>
              <w:rPr>
                <w:rFonts w:hint="eastAsia" w:ascii="宋体" w:hAnsi="宋体" w:eastAsia="宋体" w:cs="宋体"/>
                <w:color w:val="auto"/>
                <w:sz w:val="24"/>
                <w:szCs w:val="24"/>
                <w:highlight w:val="none"/>
              </w:rPr>
            </w:pPr>
          </w:p>
        </w:tc>
        <w:tc>
          <w:tcPr>
            <w:tcW w:w="1800" w:type="dxa"/>
            <w:noWrap w:val="0"/>
            <w:vAlign w:val="center"/>
          </w:tcPr>
          <w:p w14:paraId="31E7C65E">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业绩得分</w:t>
            </w:r>
          </w:p>
        </w:tc>
        <w:tc>
          <w:tcPr>
            <w:tcW w:w="5380" w:type="dxa"/>
            <w:noWrap w:val="0"/>
            <w:vAlign w:val="center"/>
          </w:tcPr>
          <w:p w14:paraId="082EA049">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投标供应商每提供1个20</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月1日以来类似</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业绩得2分，最多得10分。(投标人业绩须提供合同或中标通知书复印件，不按照上述要求提供资料者，不能作为评分的依据）。</w:t>
            </w:r>
          </w:p>
        </w:tc>
        <w:tc>
          <w:tcPr>
            <w:tcW w:w="793" w:type="dxa"/>
            <w:noWrap w:val="0"/>
            <w:vAlign w:val="center"/>
          </w:tcPr>
          <w:p w14:paraId="69F770AC">
            <w:pPr>
              <w:snapToGrid w:val="0"/>
              <w:spacing w:line="288" w:lineRule="auto"/>
              <w:ind w:left="-78" w:leftChars="-37" w:right="-73" w:rightChars="-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p>
        </w:tc>
        <w:tc>
          <w:tcPr>
            <w:tcW w:w="751" w:type="dxa"/>
            <w:noWrap w:val="0"/>
            <w:vAlign w:val="center"/>
          </w:tcPr>
          <w:p w14:paraId="4C1180C3">
            <w:pPr>
              <w:snapToGrid w:val="0"/>
              <w:spacing w:line="288" w:lineRule="auto"/>
              <w:ind w:left="-78" w:leftChars="-37" w:right="-73" w:rightChars="-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p>
        </w:tc>
      </w:tr>
      <w:tr w14:paraId="241FC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33" w:type="dxa"/>
            <w:noWrap w:val="0"/>
            <w:vAlign w:val="center"/>
          </w:tcPr>
          <w:p w14:paraId="7F3A0A42">
            <w:pPr>
              <w:pStyle w:val="74"/>
              <w:numPr>
                <w:ilvl w:val="0"/>
                <w:numId w:val="9"/>
              </w:numPr>
              <w:snapToGrid w:val="0"/>
              <w:spacing w:line="288" w:lineRule="auto"/>
              <w:ind w:left="630" w:leftChars="0" w:firstLineChars="0"/>
              <w:jc w:val="center"/>
              <w:rPr>
                <w:rFonts w:hint="eastAsia" w:ascii="宋体" w:hAnsi="宋体" w:eastAsia="宋体" w:cs="宋体"/>
                <w:color w:val="auto"/>
                <w:sz w:val="24"/>
                <w:szCs w:val="24"/>
                <w:highlight w:val="none"/>
              </w:rPr>
            </w:pPr>
          </w:p>
        </w:tc>
        <w:tc>
          <w:tcPr>
            <w:tcW w:w="1800" w:type="dxa"/>
            <w:noWrap w:val="0"/>
            <w:vAlign w:val="center"/>
          </w:tcPr>
          <w:p w14:paraId="4A179EF5">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服务承诺</w:t>
            </w:r>
          </w:p>
        </w:tc>
        <w:tc>
          <w:tcPr>
            <w:tcW w:w="5380" w:type="dxa"/>
            <w:noWrap w:val="0"/>
            <w:vAlign w:val="center"/>
          </w:tcPr>
          <w:p w14:paraId="20EA73D4">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p w14:paraId="2F235248">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（1）投标供应商须单独承诺本次服务工作达到国家现行法规、规范及主管部门要求，并能通过相关部门审核质量保证，得2分，证明材料以承诺函</w:t>
            </w:r>
          </w:p>
          <w:p w14:paraId="3AB3D190">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加盖公章为准。</w:t>
            </w:r>
          </w:p>
          <w:p w14:paraId="695E1529">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（2）投标供应商须单独承诺如若中标，本项目拟派的所有注册会计师进场后每个工作日需在项目现场办公，每日按照采购人规定的时限打卡上下</w:t>
            </w:r>
          </w:p>
          <w:p w14:paraId="139BBC56">
            <w:pPr>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班，打卡形式由采购人确定。得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分，证明材料以承诺函加盖公章为准。</w:t>
            </w:r>
          </w:p>
        </w:tc>
        <w:tc>
          <w:tcPr>
            <w:tcW w:w="793" w:type="dxa"/>
            <w:noWrap w:val="0"/>
            <w:vAlign w:val="center"/>
          </w:tcPr>
          <w:p w14:paraId="639A666C">
            <w:pPr>
              <w:snapToGrid w:val="0"/>
              <w:spacing w:line="288" w:lineRule="auto"/>
              <w:ind w:left="-78" w:leftChars="-37" w:right="-73" w:rightChars="-3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51" w:type="dxa"/>
            <w:noWrap w:val="0"/>
            <w:vAlign w:val="center"/>
          </w:tcPr>
          <w:p w14:paraId="606C5C39">
            <w:pPr>
              <w:snapToGrid w:val="0"/>
              <w:spacing w:line="288" w:lineRule="auto"/>
              <w:ind w:left="-78" w:leftChars="-37" w:right="-73" w:rightChars="-3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65916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6" w:hRule="atLeast"/>
          <w:jc w:val="center"/>
        </w:trPr>
        <w:tc>
          <w:tcPr>
            <w:tcW w:w="933" w:type="dxa"/>
            <w:noWrap w:val="0"/>
            <w:vAlign w:val="center"/>
          </w:tcPr>
          <w:p w14:paraId="309FC61B">
            <w:pPr>
              <w:pStyle w:val="74"/>
              <w:numPr>
                <w:ilvl w:val="0"/>
                <w:numId w:val="9"/>
              </w:numPr>
              <w:snapToGrid w:val="0"/>
              <w:spacing w:line="288" w:lineRule="auto"/>
              <w:ind w:left="630" w:leftChars="0" w:firstLineChars="0"/>
              <w:jc w:val="center"/>
              <w:rPr>
                <w:rFonts w:hint="eastAsia" w:ascii="宋体" w:hAnsi="宋体" w:eastAsia="宋体" w:cs="宋体"/>
                <w:color w:val="auto"/>
                <w:sz w:val="24"/>
                <w:szCs w:val="24"/>
                <w:highlight w:val="none"/>
              </w:rPr>
            </w:pPr>
          </w:p>
        </w:tc>
        <w:tc>
          <w:tcPr>
            <w:tcW w:w="1800" w:type="dxa"/>
            <w:noWrap w:val="0"/>
            <w:vAlign w:val="center"/>
          </w:tcPr>
          <w:p w14:paraId="3F4ADFB0">
            <w:pPr>
              <w:pStyle w:val="46"/>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技术人员配备</w:t>
            </w:r>
          </w:p>
        </w:tc>
        <w:tc>
          <w:tcPr>
            <w:tcW w:w="5380" w:type="dxa"/>
            <w:noWrap w:val="0"/>
            <w:vAlign w:val="center"/>
          </w:tcPr>
          <w:p w14:paraId="6FB1CA0A">
            <w:pPr>
              <w:pStyle w:val="11"/>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拟投入项目人员：</w:t>
            </w:r>
          </w:p>
          <w:p w14:paraId="467EB03C">
            <w:pPr>
              <w:pStyle w:val="11"/>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（1）项目负责人：1名，注册执业年限在15年及以上得10分，注册时间以注册会计师证书发证日期为准。</w:t>
            </w:r>
          </w:p>
          <w:p w14:paraId="6A55486E">
            <w:pPr>
              <w:pStyle w:val="11"/>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（2）项目组成员：</w:t>
            </w:r>
          </w:p>
          <w:p w14:paraId="4D14B7B4">
            <w:pPr>
              <w:pStyle w:val="11"/>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除项目负责人外，拟派的项目组成员中，具备注册会计师证书不少于3人、具备中级及以上职称不少于3人的得6分，每增加一名注册会计师加2分，每增加一名中级及以上职称加1分，本项最多得 10分。</w:t>
            </w:r>
          </w:p>
          <w:p w14:paraId="1460AFD6">
            <w:pPr>
              <w:pStyle w:val="11"/>
              <w:keepNext w:val="0"/>
              <w:keepLines w:val="0"/>
              <w:pageBreakBefore w:val="0"/>
              <w:widowControl/>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注：本项上述人员须提供注册证书、职称证复印件或扫描件及投标供应商在202</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年任意一个月为其缴纳的养老保险清单复印件或扫描件并加盖单位公章为证明材料，拟派人员中注册会计师与中级职称均有的可重复计分。</w:t>
            </w:r>
          </w:p>
        </w:tc>
        <w:tc>
          <w:tcPr>
            <w:tcW w:w="793" w:type="dxa"/>
            <w:noWrap w:val="0"/>
            <w:vAlign w:val="center"/>
          </w:tcPr>
          <w:p w14:paraId="66DE831B">
            <w:pPr>
              <w:snapToGrid w:val="0"/>
              <w:spacing w:line="288" w:lineRule="auto"/>
              <w:ind w:left="-78" w:leftChars="-37" w:right="-73" w:rightChars="-3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751" w:type="dxa"/>
            <w:noWrap w:val="0"/>
            <w:vAlign w:val="center"/>
          </w:tcPr>
          <w:p w14:paraId="6D365730">
            <w:pPr>
              <w:snapToGrid w:val="0"/>
              <w:spacing w:line="288" w:lineRule="auto"/>
              <w:ind w:left="-78" w:leftChars="-37" w:right="-73" w:rightChars="-3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r>
      <w:tr w14:paraId="454CD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933" w:type="dxa"/>
            <w:noWrap w:val="0"/>
            <w:vAlign w:val="center"/>
          </w:tcPr>
          <w:p w14:paraId="4FC3BB60">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8724" w:type="dxa"/>
            <w:gridSpan w:val="4"/>
            <w:noWrap w:val="0"/>
            <w:vAlign w:val="center"/>
          </w:tcPr>
          <w:p w14:paraId="265C65B2">
            <w:pPr>
              <w:snapToGrid w:val="0"/>
              <w:jc w:val="center"/>
              <w:rPr>
                <w:rFonts w:hint="eastAsia" w:ascii="宋体" w:hAnsi="宋体" w:eastAsia="宋体" w:cs="宋体"/>
                <w:bCs/>
                <w:i/>
                <w:color w:val="auto"/>
                <w:sz w:val="24"/>
                <w:szCs w:val="24"/>
                <w:highlight w:val="none"/>
                <w:shd w:val="pct10" w:color="auto" w:fill="FFFFFF"/>
              </w:rPr>
            </w:pPr>
            <w:r>
              <w:rPr>
                <w:rFonts w:hint="eastAsia" w:ascii="宋体" w:hAnsi="宋体" w:eastAsia="宋体" w:cs="宋体"/>
                <w:b/>
                <w:color w:val="auto"/>
                <w:sz w:val="24"/>
                <w:szCs w:val="24"/>
                <w:highlight w:val="none"/>
              </w:rPr>
              <w:t>价格部分（合计10分）</w:t>
            </w:r>
          </w:p>
        </w:tc>
      </w:tr>
      <w:tr w14:paraId="0874B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9" w:hRule="atLeast"/>
          <w:jc w:val="center"/>
        </w:trPr>
        <w:tc>
          <w:tcPr>
            <w:tcW w:w="933" w:type="dxa"/>
            <w:noWrap w:val="0"/>
            <w:vAlign w:val="center"/>
          </w:tcPr>
          <w:p w14:paraId="5812A7FB">
            <w:pPr>
              <w:pStyle w:val="74"/>
              <w:numPr>
                <w:ilvl w:val="0"/>
                <w:numId w:val="10"/>
              </w:numPr>
              <w:snapToGrid w:val="0"/>
              <w:spacing w:line="288" w:lineRule="auto"/>
              <w:ind w:firstLineChars="0"/>
              <w:jc w:val="center"/>
              <w:rPr>
                <w:rFonts w:hint="eastAsia" w:ascii="宋体" w:hAnsi="宋体" w:eastAsia="宋体" w:cs="宋体"/>
                <w:color w:val="auto"/>
                <w:sz w:val="24"/>
                <w:szCs w:val="24"/>
                <w:highlight w:val="none"/>
              </w:rPr>
            </w:pPr>
          </w:p>
        </w:tc>
        <w:tc>
          <w:tcPr>
            <w:tcW w:w="1800" w:type="dxa"/>
            <w:noWrap w:val="0"/>
            <w:vAlign w:val="center"/>
          </w:tcPr>
          <w:p w14:paraId="701F78E9">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380" w:type="dxa"/>
            <w:noWrap w:val="0"/>
            <w:vAlign w:val="center"/>
          </w:tcPr>
          <w:p w14:paraId="1FED5075">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价格分应当采用低价优先法计算，即满足招标文件要求且投标价格最低的投标报价为评标基准价，其价格分为满分。其他投标人的价格分统一按照下列公式计算：</w:t>
            </w:r>
          </w:p>
          <w:p w14:paraId="79C8B4E0">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投标报价得分=(评标基准价／投标报价)×100×权重</w:t>
            </w:r>
          </w:p>
          <w:p w14:paraId="2B469094">
            <w:pPr>
              <w:snapToGrid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p w14:paraId="37DF11BA">
            <w:pPr>
              <w:pStyle w:val="74"/>
              <w:numPr>
                <w:ilvl w:val="0"/>
                <w:numId w:val="11"/>
              </w:numPr>
              <w:snapToGrid w:val="0"/>
              <w:ind w:left="0" w:firstLine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因落实政府采购政策进行价格调整的，以调整后的价格计算评标基准价和投标报价</w:t>
            </w:r>
            <w:r>
              <w:rPr>
                <w:rFonts w:hint="eastAsia" w:ascii="宋体" w:hAnsi="宋体" w:eastAsia="宋体" w:cs="宋体"/>
                <w:color w:val="auto"/>
                <w:sz w:val="24"/>
                <w:szCs w:val="24"/>
                <w:highlight w:val="none"/>
              </w:rPr>
              <w:t>,详见《价格扣除》。</w:t>
            </w:r>
          </w:p>
          <w:p w14:paraId="2777F775">
            <w:pPr>
              <w:pStyle w:val="74"/>
              <w:numPr>
                <w:ilvl w:val="0"/>
                <w:numId w:val="11"/>
              </w:numPr>
              <w:snapToGrid w:val="0"/>
              <w:ind w:left="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投标报价得分四舍五入后，</w:t>
            </w:r>
            <w:r>
              <w:rPr>
                <w:rFonts w:hint="eastAsia" w:ascii="宋体" w:hAnsi="宋体" w:eastAsia="宋体" w:cs="宋体"/>
                <w:color w:val="auto"/>
                <w:sz w:val="24"/>
                <w:szCs w:val="24"/>
                <w:highlight w:val="none"/>
              </w:rPr>
              <w:t>小数点后保留两位有效数</w:t>
            </w:r>
            <w:r>
              <w:rPr>
                <w:rFonts w:hint="eastAsia" w:ascii="宋体" w:hAnsi="宋体" w:eastAsia="宋体" w:cs="宋体"/>
                <w:bCs/>
                <w:color w:val="auto"/>
                <w:sz w:val="24"/>
                <w:szCs w:val="24"/>
                <w:highlight w:val="none"/>
              </w:rPr>
              <w:t>；</w:t>
            </w:r>
          </w:p>
        </w:tc>
        <w:tc>
          <w:tcPr>
            <w:tcW w:w="793" w:type="dxa"/>
            <w:noWrap w:val="0"/>
            <w:vAlign w:val="center"/>
          </w:tcPr>
          <w:p w14:paraId="1CA08561">
            <w:pPr>
              <w:snapToGrid w:val="0"/>
              <w:spacing w:line="288" w:lineRule="auto"/>
              <w:ind w:left="-78" w:leftChars="-37" w:right="-73" w:rightChars="-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751" w:type="dxa"/>
            <w:noWrap w:val="0"/>
            <w:vAlign w:val="center"/>
          </w:tcPr>
          <w:p w14:paraId="1B38A461">
            <w:pPr>
              <w:snapToGrid w:val="0"/>
              <w:spacing w:line="288" w:lineRule="auto"/>
              <w:ind w:left="-78" w:leftChars="-37" w:right="-73" w:rightChars="-3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06508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8113" w:type="dxa"/>
            <w:gridSpan w:val="3"/>
            <w:noWrap w:val="0"/>
            <w:vAlign w:val="center"/>
          </w:tcPr>
          <w:p w14:paraId="10B8A224">
            <w:pPr>
              <w:snapToGrid w:val="0"/>
              <w:spacing w:line="288" w:lineRule="auto"/>
              <w:ind w:left="-78" w:leftChars="-37" w:right="-73" w:rightChars="-35"/>
              <w:jc w:val="center"/>
              <w:rPr>
                <w:rFonts w:hint="eastAsia" w:ascii="宋体" w:hAnsi="宋体" w:eastAsia="宋体" w:cs="宋体"/>
                <w:b/>
                <w:color w:val="auto"/>
                <w:sz w:val="24"/>
                <w:szCs w:val="24"/>
                <w:highlight w:val="none"/>
                <w:u w:val="double"/>
              </w:rPr>
            </w:pPr>
            <w:r>
              <w:rPr>
                <w:rFonts w:hint="eastAsia" w:ascii="宋体" w:hAnsi="宋体" w:eastAsia="宋体" w:cs="宋体"/>
                <w:b/>
                <w:color w:val="auto"/>
                <w:sz w:val="24"/>
                <w:szCs w:val="24"/>
                <w:highlight w:val="none"/>
                <w:u w:val="double"/>
              </w:rPr>
              <w:t>合计</w:t>
            </w:r>
          </w:p>
        </w:tc>
        <w:tc>
          <w:tcPr>
            <w:tcW w:w="793" w:type="dxa"/>
            <w:noWrap w:val="0"/>
            <w:vAlign w:val="center"/>
          </w:tcPr>
          <w:p w14:paraId="7E5B8BD5">
            <w:pPr>
              <w:snapToGrid w:val="0"/>
              <w:spacing w:line="288" w:lineRule="auto"/>
              <w:ind w:left="-78" w:leftChars="-37" w:right="-73" w:rightChars="-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100分</w:t>
            </w:r>
          </w:p>
        </w:tc>
        <w:tc>
          <w:tcPr>
            <w:tcW w:w="751" w:type="dxa"/>
            <w:noWrap w:val="0"/>
            <w:vAlign w:val="center"/>
          </w:tcPr>
          <w:p w14:paraId="10A40402">
            <w:pPr>
              <w:snapToGrid w:val="0"/>
              <w:spacing w:line="288" w:lineRule="auto"/>
              <w:ind w:left="-78" w:leftChars="-37" w:right="-73" w:rightChars="-3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 </w:t>
            </w:r>
          </w:p>
        </w:tc>
      </w:tr>
    </w:tbl>
    <w:p w14:paraId="35A98BC3">
      <w:pPr>
        <w:rPr>
          <w:rFonts w:hint="eastAsia" w:ascii="宋体" w:hAnsi="宋体" w:cs="宋体"/>
          <w:b/>
          <w:color w:val="auto"/>
          <w:sz w:val="28"/>
          <w:szCs w:val="28"/>
        </w:rPr>
      </w:pPr>
    </w:p>
    <w:p w14:paraId="71CB28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zh-CN"/>
        </w:rPr>
        <w:t>注：1、各评委应认真了解本磋商文件和工程有关情况后，做出须自己负责的评审。</w:t>
      </w:r>
    </w:p>
    <w:p w14:paraId="19EAC3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rPr>
        <w:t>2、</w:t>
      </w:r>
      <w:r>
        <w:rPr>
          <w:rFonts w:hint="eastAsia" w:ascii="宋体" w:hAnsi="宋体" w:cs="宋体"/>
          <w:color w:val="auto"/>
          <w:sz w:val="24"/>
          <w:szCs w:val="24"/>
          <w:lang w:val="zh-CN"/>
        </w:rPr>
        <w:t>技术商务标在进行汇总时，分项项目评分进行算术平均，计算结果值在小数点后保留两位小数，后余位数四舍五入计。项目评审过程中，不得去掉最后报价中的最高报价和最低报价。</w:t>
      </w:r>
    </w:p>
    <w:p w14:paraId="5E5E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rPr>
        <w:t>4</w:t>
      </w:r>
      <w:r>
        <w:rPr>
          <w:rFonts w:hint="eastAsia" w:ascii="宋体" w:hAnsi="宋体" w:cs="宋体"/>
          <w:color w:val="auto"/>
          <w:sz w:val="24"/>
          <w:szCs w:val="24"/>
          <w:lang w:val="zh-CN"/>
        </w:rPr>
        <w:t>、供应商请认真阅读和理解上述内容，避免投标文件中有违背上述审查标准之一的情况发生而造成废标；评标中各评委若发生意见分歧，通过书面表决形式，以少数服从多数为原则决定。</w:t>
      </w:r>
    </w:p>
    <w:p w14:paraId="792DF0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rPr>
        <w:t>5</w:t>
      </w:r>
      <w:r>
        <w:rPr>
          <w:rFonts w:hint="eastAsia" w:ascii="宋体" w:hAnsi="宋体" w:cs="宋体"/>
          <w:color w:val="auto"/>
          <w:sz w:val="24"/>
          <w:szCs w:val="24"/>
          <w:lang w:val="zh-CN"/>
        </w:rPr>
        <w:t>在报价评审中，若磋商小组发现供应商以明显低于市场或成本的价格投标，而供应商又未在投标文件中提供有力证据证明其报价合理的，磋商小组可以认定该投标以低于成本的价格投标。被认定为低于成本价格的投标将按废标处理。</w:t>
      </w:r>
    </w:p>
    <w:p w14:paraId="7281E7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6、磋商小组应当根据</w:t>
      </w:r>
      <w:r>
        <w:rPr>
          <w:rFonts w:hint="eastAsia" w:ascii="宋体" w:hAnsi="宋体" w:cs="宋体"/>
          <w:color w:val="auto"/>
          <w:sz w:val="24"/>
          <w:szCs w:val="24"/>
        </w:rPr>
        <w:t>磋商报价</w:t>
      </w:r>
      <w:r>
        <w:rPr>
          <w:rFonts w:hint="eastAsia" w:ascii="宋体" w:hAnsi="宋体" w:cs="宋体"/>
          <w:color w:val="auto"/>
          <w:sz w:val="24"/>
          <w:szCs w:val="24"/>
          <w:lang w:val="zh-CN"/>
        </w:rPr>
        <w:t>情况，按照</w:t>
      </w:r>
      <w:r>
        <w:rPr>
          <w:rFonts w:hint="eastAsia" w:ascii="宋体" w:hAnsi="宋体" w:cs="宋体"/>
          <w:color w:val="auto"/>
          <w:sz w:val="24"/>
          <w:szCs w:val="24"/>
        </w:rPr>
        <w:t>最终报</w:t>
      </w:r>
      <w:r>
        <w:rPr>
          <w:rFonts w:hint="eastAsia" w:ascii="宋体" w:hAnsi="宋体" w:cs="宋体"/>
          <w:color w:val="auto"/>
          <w:sz w:val="24"/>
          <w:szCs w:val="24"/>
          <w:lang w:val="zh-CN"/>
        </w:rPr>
        <w:t>由</w:t>
      </w:r>
      <w:r>
        <w:rPr>
          <w:rFonts w:hint="eastAsia" w:ascii="宋体" w:hAnsi="宋体" w:cs="宋体"/>
          <w:color w:val="auto"/>
          <w:sz w:val="24"/>
          <w:szCs w:val="24"/>
        </w:rPr>
        <w:t>低</w:t>
      </w:r>
      <w:r>
        <w:rPr>
          <w:rFonts w:hint="eastAsia" w:ascii="宋体" w:hAnsi="宋体" w:cs="宋体"/>
          <w:color w:val="auto"/>
          <w:sz w:val="24"/>
          <w:szCs w:val="24"/>
          <w:lang w:val="zh-CN"/>
        </w:rPr>
        <w:t>到</w:t>
      </w:r>
      <w:r>
        <w:rPr>
          <w:rFonts w:hint="eastAsia" w:ascii="宋体" w:hAnsi="宋体" w:cs="宋体"/>
          <w:color w:val="auto"/>
          <w:sz w:val="24"/>
          <w:szCs w:val="24"/>
        </w:rPr>
        <w:t>高</w:t>
      </w:r>
      <w:r>
        <w:rPr>
          <w:rFonts w:hint="eastAsia" w:ascii="宋体" w:hAnsi="宋体" w:cs="宋体"/>
          <w:color w:val="auto"/>
          <w:sz w:val="24"/>
          <w:szCs w:val="24"/>
          <w:lang w:val="zh-CN"/>
        </w:rPr>
        <w:t>顺序推荐3名成交候选供应商。</w:t>
      </w:r>
    </w:p>
    <w:p w14:paraId="7CAC6C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7、采购人根据磋商小组推荐的成交候选供应商名单，根据相关法律法规的规定确定最终成交商。如果排名第一的成交候选供应商的实际情况与其磋商资料不相符，将取消其成交资格，由排名第二的成交候选供应商递补，以此类推。</w:t>
      </w:r>
    </w:p>
    <w:p w14:paraId="7DD3395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F  授予合同</w:t>
      </w:r>
      <w:bookmarkEnd w:id="57"/>
      <w:bookmarkEnd w:id="58"/>
      <w:bookmarkEnd w:id="59"/>
      <w:bookmarkEnd w:id="60"/>
      <w:bookmarkEnd w:id="61"/>
      <w:bookmarkEnd w:id="62"/>
    </w:p>
    <w:p w14:paraId="2B4B938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28．合同授予标准</w:t>
      </w:r>
    </w:p>
    <w:p w14:paraId="0D6667B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28.1合同将授予被确定为实质上响应磋商文件要求，符合采购需求、质量和服务相等且报综合得分最高的供应商。</w:t>
      </w:r>
    </w:p>
    <w:p w14:paraId="2CA4FB78">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28.2 未通过资格审查和符合性审查的最低报价不一定是被授予合同的保证。</w:t>
      </w:r>
    </w:p>
    <w:p w14:paraId="5050025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28.3排名第一的成交候选人放弃中标、因不可抗力不能履行合同、不按照磋商文件要求提交履约保证金，或者被查实存在影响中标结果的违法行为等情形，不符合成交条件的，采购人可以按照磋商小组提出的成交候选人名单排序依次确定其他中标候选人为成交供应商，也可以重新招标。</w:t>
      </w:r>
    </w:p>
    <w:p w14:paraId="28766B9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29．接受和拒绝任何或所有磋商的权力</w:t>
      </w:r>
    </w:p>
    <w:p w14:paraId="620B661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29.1为维护国家利益，买方在授予合同之前仍有选择或拒绝任何全部磋商的权力，并对所采取的行为不作任何解释。</w:t>
      </w:r>
    </w:p>
    <w:p w14:paraId="6A58441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30．成交通知书</w:t>
      </w:r>
    </w:p>
    <w:p w14:paraId="573907FC">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 .评标结束后在“新疆政府采购网”（网址：http://www.ccgp-xinjiang.gov.cn/）上予以公告。公告有效期1个工作日；</w:t>
      </w:r>
    </w:p>
    <w:p w14:paraId="41F4426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2.招标代理机构根据开标结果，在投标有效期届满前，以书面形式向中标单位发出中标通知书。</w:t>
      </w:r>
    </w:p>
    <w:p w14:paraId="52A3A2C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3.招标代理机构将开标结果及时通知未中标单位并退还投标保证金。无需解释落标原因。</w:t>
      </w:r>
    </w:p>
    <w:p w14:paraId="6AA7E1A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 招标人有权在定标之前拒绝任何有不正当行为或扰乱正常招标工作的投标人，由此对投标人造成的损失不负任何责任，同时对此无需做任何解释。</w:t>
      </w:r>
    </w:p>
    <w:p w14:paraId="458913E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 在成交通知书发出后五个工作日内退还未成交供应商的保证金，在采购合同签订后五个工作日内退还成交供应商的保证金。</w:t>
      </w:r>
    </w:p>
    <w:p w14:paraId="36CD099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31．签订合同</w:t>
      </w:r>
    </w:p>
    <w:p w14:paraId="72F4BD3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1.供应商收到《成交通知书》后，按《成交通知书》中规定的时间地点与买方签订合同。买方和成交方不得再订立背离合同实质性内容的其他协议。</w:t>
      </w:r>
    </w:p>
    <w:p w14:paraId="320ADF8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2.如成交方拒签合同，则按违约处理。招标代理机构没收其磋商保证金。</w:t>
      </w:r>
    </w:p>
    <w:p w14:paraId="662D6ED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3.磋商文件、成交方的磋商响应文件及其澄清文件等，均为签订经济合同的依据。</w:t>
      </w:r>
    </w:p>
    <w:p w14:paraId="78022E88">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32．履约保证金（如适用）</w:t>
      </w:r>
    </w:p>
    <w:p w14:paraId="06BFFDF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32.1成交方应按合同规定的方式、时间和金额向买方提交履约保证金。履约保证金为不超过合同价款的10%。（具体以与甲方协商约定为准）。</w:t>
      </w:r>
    </w:p>
    <w:p w14:paraId="0E7F79A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33．按差额定率累进法计算收取：100万元以下收取1.5%，100万-500万元收取0.8%，500万-1000万元收取0.45%，1000万-5000万元收取0.25%，5000万-1亿元收取0.1%，以此类推。（例如：中标金额为100.8万元，则招标代理服务收费额为（100万元X1.5%）+（0.8万元X1.1%）=15088.00元）。</w:t>
      </w:r>
    </w:p>
    <w:p w14:paraId="4B6AAB9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由中标单位在领取成交通知书时一次性支付。</w:t>
      </w:r>
    </w:p>
    <w:p w14:paraId="5646D631">
      <w:pPr>
        <w:pStyle w:val="3"/>
        <w:spacing w:before="100" w:beforeAutospacing="1" w:after="100" w:afterAutospacing="1" w:line="240" w:lineRule="auto"/>
        <w:rPr>
          <w:rFonts w:hint="eastAsia" w:ascii="宋体" w:hAnsi="宋体" w:cs="宋体"/>
          <w:bCs/>
          <w:color w:val="auto"/>
          <w:sz w:val="24"/>
          <w:szCs w:val="24"/>
        </w:rPr>
      </w:pPr>
      <w:bookmarkStart w:id="64" w:name="_Toc471489759"/>
      <w:bookmarkStart w:id="65" w:name="_Toc527642958"/>
      <w:bookmarkStart w:id="66" w:name="_Toc20829"/>
      <w:r>
        <w:rPr>
          <w:rFonts w:hint="eastAsia" w:ascii="宋体" w:hAnsi="宋体" w:cs="宋体"/>
          <w:color w:val="auto"/>
          <w:sz w:val="24"/>
          <w:szCs w:val="24"/>
        </w:rPr>
        <w:t>G  磋商失败条件</w:t>
      </w:r>
      <w:bookmarkEnd w:id="64"/>
      <w:bookmarkEnd w:id="65"/>
      <w:bookmarkEnd w:id="66"/>
    </w:p>
    <w:p w14:paraId="7693F10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34.出现影响采购公正的违法、违规行为的；</w:t>
      </w:r>
    </w:p>
    <w:p w14:paraId="2493D5C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35.因重大变故，采购任务取消的；</w:t>
      </w:r>
    </w:p>
    <w:p w14:paraId="567DA4A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36.磋商响应文件截止时间后，实际参与的供应商不足法定家数的；</w:t>
      </w:r>
    </w:p>
    <w:p w14:paraId="2D21DD8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37.最终报价均超过采购预算的；</w:t>
      </w:r>
    </w:p>
    <w:p w14:paraId="073C557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38.对磋商文件作出实质性响应的供应商不足法定家数的；</w:t>
      </w:r>
    </w:p>
    <w:p w14:paraId="30A88742">
      <w:pPr>
        <w:pStyle w:val="2"/>
        <w:numPr>
          <w:ilvl w:val="0"/>
          <w:numId w:val="0"/>
        </w:numPr>
        <w:spacing w:line="400" w:lineRule="atLeast"/>
        <w:jc w:val="center"/>
        <w:rPr>
          <w:rFonts w:hint="eastAsia" w:ascii="宋体" w:hAnsi="宋体" w:cs="宋体"/>
          <w:color w:val="auto"/>
          <w:sz w:val="24"/>
          <w:szCs w:val="24"/>
        </w:rPr>
      </w:pPr>
      <w:bookmarkStart w:id="67" w:name="_Toc21452"/>
      <w:bookmarkStart w:id="68" w:name="_Toc349573127"/>
      <w:bookmarkStart w:id="69" w:name="_Toc298240411"/>
      <w:bookmarkStart w:id="70" w:name="_Toc28010"/>
      <w:bookmarkStart w:id="71" w:name="_Toc349637926"/>
      <w:r>
        <w:rPr>
          <w:rFonts w:hint="eastAsia" w:ascii="宋体" w:hAnsi="宋体" w:cs="宋体"/>
          <w:color w:val="auto"/>
          <w:sz w:val="24"/>
          <w:szCs w:val="24"/>
        </w:rPr>
        <w:t>H 法律责任</w:t>
      </w:r>
      <w:bookmarkEnd w:id="67"/>
    </w:p>
    <w:p w14:paraId="4C59C99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39．法律责任</w:t>
      </w:r>
    </w:p>
    <w:p w14:paraId="2B968A4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39.1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 </w:t>
      </w:r>
    </w:p>
    <w:p w14:paraId="4944A8E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（一）提供虚假材料谋取中标的； </w:t>
      </w:r>
    </w:p>
    <w:p w14:paraId="6A0F91B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（二）采取不正当手段诋毁、排挤其他投标人的；</w:t>
      </w:r>
    </w:p>
    <w:p w14:paraId="7255C204">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（三）与招标人、采购人、其他投标人恶意串通的； </w:t>
      </w:r>
    </w:p>
    <w:p w14:paraId="5F00F78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（四）向招标人、采购人行贿或者提供其他不正当利益的； </w:t>
      </w:r>
    </w:p>
    <w:p w14:paraId="4325F63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（五）在招标过程中与招标人、采购人进行协商磋商、不按照招标文件、投标文件订立合同，或者与采购人另行订立背离合同实质性内容的协议的； </w:t>
      </w:r>
    </w:p>
    <w:p w14:paraId="2262E6C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（六）拒绝有关部门监督检查或者提供虚假情况的。 </w:t>
      </w:r>
    </w:p>
    <w:p w14:paraId="473C61D8">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投标人有前款第（一）至（五）项情形之一的，中标无效。 </w:t>
      </w:r>
    </w:p>
    <w:p w14:paraId="7282777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39.2</w:t>
      </w:r>
      <w:r>
        <w:rPr>
          <w:rFonts w:hint="eastAsia" w:ascii="宋体" w:hAnsi="宋体" w:cs="宋体"/>
          <w:color w:val="auto"/>
          <w:sz w:val="24"/>
          <w:szCs w:val="24"/>
        </w:rPr>
        <w:tab/>
      </w:r>
      <w:r>
        <w:rPr>
          <w:rFonts w:hint="eastAsia" w:ascii="宋体" w:hAnsi="宋体" w:cs="宋体"/>
          <w:color w:val="auto"/>
          <w:sz w:val="24"/>
          <w:szCs w:val="24"/>
        </w:rPr>
        <w:t>中标人有下列情形之一的，招标人不予退还其交纳的投标保证金；情节严重的，由财政部门将其列入不良行为记录名单，在一至三年内禁止参加政府采购活动，并予以通报：</w:t>
      </w:r>
    </w:p>
    <w:p w14:paraId="122E85A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（一）中标后无正当理由不与采购人签订合同的；</w:t>
      </w:r>
    </w:p>
    <w:p w14:paraId="1DC8F9C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（二）将中标项目转让给他人，或者在投标文件中未说明，且未经招标人同意，将中标项目分包给他人的；</w:t>
      </w:r>
    </w:p>
    <w:p w14:paraId="422433E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（三）拒绝履行合同义务的。</w:t>
      </w:r>
    </w:p>
    <w:p w14:paraId="01E7ACCA">
      <w:pPr>
        <w:pStyle w:val="2"/>
        <w:numPr>
          <w:ilvl w:val="0"/>
          <w:numId w:val="0"/>
        </w:numPr>
        <w:spacing w:line="400" w:lineRule="atLeast"/>
        <w:ind w:firstLine="1687" w:firstLineChars="700"/>
        <w:rPr>
          <w:rFonts w:hint="eastAsia" w:ascii="宋体" w:hAnsi="宋体" w:cs="宋体"/>
          <w:color w:val="auto"/>
          <w:sz w:val="24"/>
          <w:szCs w:val="24"/>
        </w:rPr>
      </w:pPr>
    </w:p>
    <w:p w14:paraId="2FDC77A2">
      <w:pPr>
        <w:pStyle w:val="2"/>
        <w:numPr>
          <w:ilvl w:val="0"/>
          <w:numId w:val="0"/>
        </w:numPr>
        <w:spacing w:line="400" w:lineRule="atLeast"/>
        <w:jc w:val="center"/>
        <w:rPr>
          <w:rFonts w:hint="eastAsia" w:ascii="宋体" w:hAnsi="宋体" w:cs="宋体"/>
          <w:color w:val="auto"/>
          <w:sz w:val="24"/>
          <w:szCs w:val="24"/>
        </w:rPr>
      </w:pPr>
      <w:bookmarkStart w:id="72" w:name="_Toc4714"/>
      <w:r>
        <w:rPr>
          <w:rFonts w:hint="eastAsia" w:ascii="宋体" w:hAnsi="宋体" w:cs="宋体"/>
          <w:color w:val="auto"/>
          <w:sz w:val="24"/>
          <w:szCs w:val="24"/>
        </w:rPr>
        <w:t>I   特别提示</w:t>
      </w:r>
      <w:bookmarkEnd w:id="72"/>
    </w:p>
    <w:p w14:paraId="37E648D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40、投标人应认真研读招标文件，充分考虑招标文件中的技术要求和合同条款后编制投标文件。</w:t>
      </w:r>
    </w:p>
    <w:p w14:paraId="18841E9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41、如招标文件中未提供的各类表格样式，投标人可另行设计表格样式，但力求内容完整，表达清晰、准确。</w:t>
      </w:r>
    </w:p>
    <w:p w14:paraId="1F9573B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42、本项目实行网上投标，采用电子投标文件。若供应商参与投标，自行承担投标一切费用。 </w:t>
      </w:r>
    </w:p>
    <w:p w14:paraId="4384576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43、各供应商应在开标前应确保成为新疆维吾尔自治区政府采购网正式注册入库供应商，并完成CA数字证书申领。因未注册入库、未办理CA数字证书等原因造成无法投标或投标失败等后果由供应商自行承担。 </w:t>
      </w:r>
    </w:p>
    <w:p w14:paraId="47198E7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44、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p>
    <w:p w14:paraId="3A7B3DB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24FBE1E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46、本招标文件是根据《中华人民共和国政府采购法》规定编制的，解释权属新疆君凯杰工程项目管理有限公司。</w:t>
      </w:r>
    </w:p>
    <w:p w14:paraId="6E1588B8">
      <w:pPr>
        <w:pStyle w:val="2"/>
        <w:numPr>
          <w:ilvl w:val="0"/>
          <w:numId w:val="0"/>
        </w:numPr>
        <w:spacing w:line="400" w:lineRule="atLeast"/>
        <w:ind w:firstLine="1687" w:firstLineChars="700"/>
        <w:rPr>
          <w:rFonts w:hint="eastAsia" w:ascii="宋体" w:hAnsi="宋体" w:cs="宋体"/>
          <w:color w:val="auto"/>
          <w:sz w:val="24"/>
          <w:szCs w:val="24"/>
        </w:rPr>
      </w:pPr>
    </w:p>
    <w:p w14:paraId="4B2AF115">
      <w:pPr>
        <w:pStyle w:val="2"/>
        <w:numPr>
          <w:ilvl w:val="0"/>
          <w:numId w:val="0"/>
        </w:numPr>
        <w:spacing w:line="400" w:lineRule="atLeast"/>
        <w:jc w:val="center"/>
        <w:rPr>
          <w:rFonts w:hint="eastAsia" w:ascii="宋体" w:hAnsi="宋体" w:cs="宋体"/>
          <w:color w:val="auto"/>
          <w:sz w:val="24"/>
          <w:szCs w:val="24"/>
        </w:rPr>
      </w:pPr>
      <w:bookmarkStart w:id="73" w:name="_Toc5443"/>
      <w:r>
        <w:rPr>
          <w:rFonts w:hint="eastAsia" w:ascii="宋体" w:hAnsi="宋体" w:cs="宋体"/>
          <w:color w:val="auto"/>
          <w:sz w:val="24"/>
          <w:szCs w:val="24"/>
        </w:rPr>
        <w:t>J  质疑及答复</w:t>
      </w:r>
      <w:bookmarkEnd w:id="73"/>
    </w:p>
    <w:p w14:paraId="496F7E6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47、质疑的提出</w:t>
      </w:r>
      <w:r>
        <w:rPr>
          <w:rFonts w:hint="eastAsia" w:ascii="宋体" w:hAnsi="宋体" w:cs="宋体"/>
          <w:color w:val="auto"/>
          <w:sz w:val="24"/>
          <w:szCs w:val="24"/>
        </w:rPr>
        <w:tab/>
      </w:r>
    </w:p>
    <w:p w14:paraId="55504194">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47.1 本采购文件中所称质疑及答复，是指参加本次采购活动的供应商对政府采购活动中的采购文件、采购过程和中标结果向采购方提出质疑，采购方答复质疑的行为。</w:t>
      </w:r>
    </w:p>
    <w:p w14:paraId="02F0ABA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47.2 供应商认为采购文件、采购过程和中标结果使自己的权益受到损害的，可以在知道或者应知其权益受到损害之日起 7 个工作日内，以书面形式向采购方提出质疑。</w:t>
      </w:r>
    </w:p>
    <w:p w14:paraId="65F5D3D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47.2.1供应商应知其权益受到损害之日，是指：</w:t>
      </w:r>
    </w:p>
    <w:p w14:paraId="22CC1B4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（一）对可以质疑的采购文件提出质疑的，为收到采购文件之日或者采购文件公告期限届满之日；</w:t>
      </w:r>
    </w:p>
    <w:p w14:paraId="0B4014B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（二）对采购过程提出质疑的，为各采购程序环节结束之日；</w:t>
      </w:r>
    </w:p>
    <w:p w14:paraId="34669B3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（三）对中标结果提出质疑的，为中标结果公告期限届满之日。</w:t>
      </w:r>
    </w:p>
    <w:p w14:paraId="5F5DBA2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47.3 对可以质疑的采购文件提出质疑的，质疑人为参与本项目的报价方或潜在报价方。可质疑的文件为采购公告以及采购文件（包括属于其组成部分的澄清、修改、补充文件和评审标准、合同文本等）。</w:t>
      </w:r>
    </w:p>
    <w:p w14:paraId="29BAC82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47.4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7D9D482C">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47.5   提出质疑应当符合下列条件：</w:t>
      </w:r>
    </w:p>
    <w:p w14:paraId="15E6AF2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（一）质疑主体应当符合有关规定；</w:t>
      </w:r>
    </w:p>
    <w:p w14:paraId="4DDB407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（二）在质疑法定期限内提出；</w:t>
      </w:r>
    </w:p>
    <w:p w14:paraId="6F44FD6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（三）属于可以提出质疑的政府采购事项受理范围和本项目采购人的管辖权范围；</w:t>
      </w:r>
    </w:p>
    <w:p w14:paraId="44B95E8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（四）政府采购法律、法规、规章规定的其他条件。</w:t>
      </w:r>
    </w:p>
    <w:p w14:paraId="166B8D3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714AD8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47.7 质疑人所提供的证明材料应当具有真实性、合法性以及与质疑事项的关联性和证明力，否则不能作为认定该质疑事项成立的依据。</w:t>
      </w:r>
    </w:p>
    <w:p w14:paraId="2F52D3C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47.8 质疑人提出质疑时应当提交质疑函。质疑函包括下列内容：</w:t>
      </w:r>
    </w:p>
    <w:p w14:paraId="1792BC0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（一）提出质疑的质疑人的名称、地址、邮编、联系人及联系电话等；</w:t>
      </w:r>
    </w:p>
    <w:p w14:paraId="734335D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（二）质疑项目的名称、编号；</w:t>
      </w:r>
    </w:p>
    <w:p w14:paraId="74769F1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（三）质疑事项；</w:t>
      </w:r>
    </w:p>
    <w:p w14:paraId="05C2824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（四）事实依据和证明材料；</w:t>
      </w:r>
    </w:p>
    <w:p w14:paraId="120CFC4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（五）法律依据；</w:t>
      </w:r>
    </w:p>
    <w:p w14:paraId="17369D1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（六）提出质疑的日期。</w:t>
      </w:r>
    </w:p>
    <w:p w14:paraId="253438E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47.9  质疑函采用实名制。质疑人为自然人的应当由本人签字，并附有效身份证明文件；质疑人为法人或者非法人组织的应当由法定代表人或者负责人签字并加盖公章，并附有效身份证明文件。</w:t>
      </w:r>
    </w:p>
    <w:p w14:paraId="5F785B7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47.10 质疑人可以委托代理人进行质疑。代理人应当提交授权委托书。授权委托书应当载明委托代理的具体权限、期限和相关事项。</w:t>
      </w:r>
    </w:p>
    <w:p w14:paraId="275B05F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48、质疑的审查和受理</w:t>
      </w:r>
    </w:p>
    <w:p w14:paraId="6A00544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48.1 采购方在收到质疑函后应当及时审查是否符合质疑受理条件，对符合质疑受理条件的，及时予以受理。</w:t>
      </w:r>
    </w:p>
    <w:p w14:paraId="29AE248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48.2对不符合质疑受理条件的，分别按照下列不同情形予以处理：</w:t>
      </w:r>
    </w:p>
    <w:p w14:paraId="18BCF94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（一）质疑函内容不符合规定的，告知质疑人进行修改并重新提出质疑。修改后质疑事项仍不具体、不明确或者最终递交质疑函的时间超过质疑法定期限的，不予受理；</w:t>
      </w:r>
    </w:p>
    <w:p w14:paraId="24B3301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（二）质疑主体不符合有关规定的，告知质疑人不予受理；</w:t>
      </w:r>
    </w:p>
    <w:p w14:paraId="0949D24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（三）超过质疑法定期限提出质疑的，告知质疑人不予受理；</w:t>
      </w:r>
    </w:p>
    <w:p w14:paraId="7013DBE8">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（四）对不属于可以提出质疑的政府采购事项提出质疑的，告知质疑人不予受理；</w:t>
      </w:r>
    </w:p>
    <w:p w14:paraId="44E83A6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（五）质疑不属于本项目采购方管辖的，告知质疑人向有管辖权的采购人提出质疑；</w:t>
      </w:r>
    </w:p>
    <w:p w14:paraId="1C14990C">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（六）质疑不符合其他条件的，告知质疑人不予受理。</w:t>
      </w:r>
    </w:p>
    <w:p w14:paraId="5D4013DC">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48、质疑的处理和答复</w:t>
      </w:r>
    </w:p>
    <w:p w14:paraId="7E46C91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48.1 按照《政府采购质疑和投诉办法（财政部94号令）》处理及答复质疑。</w:t>
      </w:r>
    </w:p>
    <w:p w14:paraId="7C9D865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48.2 采购方受理质疑后，将及时把质疑函发送给被质疑人，并要求其在一定限期人提交书面答复，同时提供有关证据、依据和相关材料。</w:t>
      </w:r>
    </w:p>
    <w:p w14:paraId="4236C12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48.3 对于质疑事项中涉及的问题较多、情况比较复杂的，为了全面查清事实、取得充分的证据，采购方认为有必要时，可以进行调查取证或者组织质证。</w:t>
      </w:r>
    </w:p>
    <w:p w14:paraId="499C7BB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48.4对评审过程、中标结果提出质疑的，采购方可以组织原评审委员会协助答复质疑。</w:t>
      </w:r>
    </w:p>
    <w:p w14:paraId="1341E13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48.5质疑处理过程中，质疑人书面申请撤回质疑的，将终止质疑处理程序。</w:t>
      </w:r>
    </w:p>
    <w:p w14:paraId="6169990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48.6质疑人拒绝配合采购方依法对质疑进行调查处理的，采购方将按质疑人自动撤回质疑处理；被质疑人拒绝配合采购方依法对质疑进行调查处理的，采购方将视同其认可质疑事项。</w:t>
      </w:r>
    </w:p>
    <w:p w14:paraId="2B20752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48.7 采购方将在正式受理质疑后 7 个工作日内作出答复，但处理质疑需要进行调查取证、组织专家评审、质疑人及被质疑人提交或补正材料等所需时间，不计算在质疑处理期限内。</w:t>
      </w:r>
    </w:p>
    <w:p w14:paraId="173B9B0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48.8 采购方经调查、论证、核实，认定质疑不能成立的，继续开展采购活动；认定质疑成立的，按照以下情况处理：</w:t>
      </w:r>
    </w:p>
    <w:p w14:paraId="64B671E4">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463C33A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0E97A41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48.9 采购方将书面答复质疑，质疑答复包括下列内容：</w:t>
      </w:r>
    </w:p>
    <w:p w14:paraId="6A7E757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（一）质疑人名称；</w:t>
      </w:r>
    </w:p>
    <w:p w14:paraId="106E680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（二）收到质疑函的日期、质疑项目名称及编号;</w:t>
      </w:r>
    </w:p>
    <w:p w14:paraId="769879D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（三）质疑事项、质疑答复的具体内容、事实依据和法律依据；</w:t>
      </w:r>
    </w:p>
    <w:p w14:paraId="52868BD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（四）告知质疑人依法投诉的权利；</w:t>
      </w:r>
    </w:p>
    <w:p w14:paraId="0EAF781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（五）质疑答复日期。</w:t>
      </w:r>
    </w:p>
    <w:p w14:paraId="7C9E108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48.10 质疑人有下列行为之一的，属于虚假、恶意质疑，将由采购方建议财政部门将其列入不良行为记录名单，禁止其 1 至 3 年内参加政府采购活动：</w:t>
      </w:r>
    </w:p>
    <w:p w14:paraId="56ECB12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（一）受理后发现投诉不符合法定受理条件；</w:t>
      </w:r>
    </w:p>
    <w:p w14:paraId="51561D1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（二）投诉事项缺乏事实依据，投诉事项不成立；</w:t>
      </w:r>
    </w:p>
    <w:p w14:paraId="6FA693A1">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（三）投诉人捏造事实或者提供虚假材料；</w:t>
      </w:r>
    </w:p>
    <w:p w14:paraId="647A81FF">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（四）投诉人以非法手段取得证明材料。证据来源的合法性存在明显疑问，投诉人无法证明其取得方式合法的，视为以非法手段取得证明材料。</w:t>
      </w:r>
    </w:p>
    <w:p w14:paraId="4AD9ECE0">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（五）法律法规规定的其他违法情形。</w:t>
      </w:r>
    </w:p>
    <w:p w14:paraId="25613407">
      <w:pPr>
        <w:rPr>
          <w:rFonts w:hint="eastAsia" w:ascii="宋体" w:hAnsi="宋体" w:cs="宋体"/>
          <w:b/>
          <w:color w:val="auto"/>
          <w:sz w:val="28"/>
          <w:szCs w:val="28"/>
        </w:rPr>
      </w:pPr>
      <w:bookmarkStart w:id="74" w:name="_Toc24397"/>
      <w:r>
        <w:rPr>
          <w:rFonts w:hint="eastAsia" w:ascii="宋体" w:hAnsi="宋体" w:cs="宋体"/>
          <w:b/>
          <w:color w:val="auto"/>
          <w:sz w:val="28"/>
          <w:szCs w:val="28"/>
        </w:rPr>
        <w:br w:type="page"/>
      </w:r>
    </w:p>
    <w:p w14:paraId="1D15C48A">
      <w:pPr>
        <w:pStyle w:val="2"/>
        <w:numPr>
          <w:ilvl w:val="0"/>
          <w:numId w:val="0"/>
        </w:numPr>
        <w:spacing w:line="400" w:lineRule="atLeast"/>
        <w:jc w:val="center"/>
        <w:rPr>
          <w:rFonts w:hint="eastAsia" w:ascii="宋体" w:hAnsi="宋体" w:cs="宋体"/>
          <w:color w:val="auto"/>
          <w:sz w:val="28"/>
          <w:szCs w:val="28"/>
        </w:rPr>
      </w:pPr>
      <w:r>
        <w:rPr>
          <w:rFonts w:hint="eastAsia" w:ascii="宋体" w:hAnsi="宋体" w:cs="宋体"/>
          <w:color w:val="auto"/>
          <w:sz w:val="28"/>
          <w:szCs w:val="28"/>
        </w:rPr>
        <w:t>质疑函</w:t>
      </w:r>
      <w:bookmarkEnd w:id="74"/>
    </w:p>
    <w:p w14:paraId="6721AD5C">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75" w:name="_Toc7522"/>
      <w:r>
        <w:rPr>
          <w:rFonts w:hint="eastAsia" w:ascii="宋体" w:hAnsi="宋体" w:cs="宋体"/>
          <w:b w:val="0"/>
          <w:bCs/>
          <w:color w:val="auto"/>
          <w:sz w:val="24"/>
          <w:szCs w:val="24"/>
        </w:rPr>
        <w:t>致：</w:t>
      </w:r>
      <w:bookmarkEnd w:id="75"/>
      <w:r>
        <w:rPr>
          <w:rFonts w:hint="eastAsia" w:ascii="宋体" w:hAnsi="宋体" w:cs="宋体"/>
          <w:b w:val="0"/>
          <w:bCs/>
          <w:color w:val="auto"/>
          <w:sz w:val="24"/>
          <w:szCs w:val="24"/>
        </w:rPr>
        <w:t xml:space="preserve">               </w:t>
      </w:r>
    </w:p>
    <w:p w14:paraId="12048A5A">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76" w:name="_Toc4792"/>
      <w:r>
        <w:rPr>
          <w:rFonts w:hint="eastAsia" w:ascii="宋体" w:hAnsi="宋体" w:cs="宋体"/>
          <w:b w:val="0"/>
          <w:bCs/>
          <w:color w:val="auto"/>
          <w:sz w:val="24"/>
          <w:szCs w:val="24"/>
        </w:rPr>
        <w:t>依据政府采购相关法规，我公司对</w:t>
      </w:r>
      <w:r>
        <w:rPr>
          <w:rFonts w:hint="eastAsia" w:ascii="宋体" w:hAnsi="宋体" w:cs="宋体"/>
          <w:b w:val="0"/>
          <w:bCs/>
          <w:color w:val="auto"/>
          <w:sz w:val="24"/>
          <w:szCs w:val="24"/>
        </w:rPr>
        <w:tab/>
      </w:r>
      <w:r>
        <w:rPr>
          <w:rFonts w:hint="eastAsia" w:ascii="宋体" w:hAnsi="宋体" w:cs="宋体"/>
          <w:b w:val="0"/>
          <w:bCs/>
          <w:color w:val="auto"/>
          <w:sz w:val="24"/>
          <w:szCs w:val="24"/>
        </w:rPr>
        <w:t xml:space="preserve">           的项目（项目编号：           </w:t>
      </w:r>
      <w:r>
        <w:rPr>
          <w:rFonts w:hint="eastAsia" w:ascii="宋体" w:hAnsi="宋体" w:cs="宋体"/>
          <w:b w:val="0"/>
          <w:bCs/>
          <w:color w:val="auto"/>
          <w:sz w:val="24"/>
          <w:szCs w:val="24"/>
        </w:rPr>
        <w:tab/>
      </w:r>
      <w:r>
        <w:rPr>
          <w:rFonts w:hint="eastAsia" w:ascii="宋体" w:hAnsi="宋体" w:cs="宋体"/>
          <w:b w:val="0"/>
          <w:bCs/>
          <w:color w:val="auto"/>
          <w:sz w:val="24"/>
          <w:szCs w:val="24"/>
        </w:rPr>
        <w:t>）评审活动存在疑问，特提出质疑（详见下表）。</w:t>
      </w:r>
      <w:bookmarkEnd w:id="76"/>
    </w:p>
    <w:p w14:paraId="533C4FB3">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77" w:name="_Toc22372"/>
      <w:r>
        <w:rPr>
          <w:rFonts w:hint="eastAsia" w:ascii="宋体" w:hAnsi="宋体" w:cs="宋体"/>
          <w:b w:val="0"/>
          <w:bCs/>
          <w:color w:val="auto"/>
          <w:sz w:val="24"/>
          <w:szCs w:val="24"/>
        </w:rPr>
        <w:t>我公司和本人对此质疑函内容的真实性负责，并愿意承担由此引起的相应处理和法律责任。</w:t>
      </w:r>
      <w:bookmarkEnd w:id="77"/>
    </w:p>
    <w:p w14:paraId="4BCA57EC">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78" w:name="_Toc16648"/>
      <w:r>
        <w:rPr>
          <w:rFonts w:hint="eastAsia" w:ascii="宋体" w:hAnsi="宋体" w:cs="宋体"/>
          <w:b w:val="0"/>
          <w:bCs/>
          <w:color w:val="auto"/>
          <w:sz w:val="24"/>
          <w:szCs w:val="24"/>
        </w:rPr>
        <w:t>法定代表人（签字并盖名章）：</w:t>
      </w:r>
      <w:bookmarkEnd w:id="78"/>
    </w:p>
    <w:p w14:paraId="2C9BE708">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79" w:name="_Toc11285"/>
      <w:r>
        <w:rPr>
          <w:rFonts w:hint="eastAsia" w:ascii="宋体" w:hAnsi="宋体" w:cs="宋体"/>
          <w:b w:val="0"/>
          <w:bCs/>
          <w:color w:val="auto"/>
          <w:sz w:val="24"/>
          <w:szCs w:val="24"/>
        </w:rPr>
        <w:t>身份证号码：</w:t>
      </w:r>
      <w:bookmarkEnd w:id="79"/>
    </w:p>
    <w:p w14:paraId="73FADFC4">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80" w:name="_Toc17966"/>
      <w:r>
        <w:rPr>
          <w:rFonts w:hint="eastAsia" w:ascii="宋体" w:hAnsi="宋体" w:cs="宋体"/>
          <w:b w:val="0"/>
          <w:bCs/>
          <w:color w:val="auto"/>
          <w:sz w:val="24"/>
          <w:szCs w:val="24"/>
        </w:rPr>
        <w:t>固话：</w:t>
      </w:r>
      <w:bookmarkEnd w:id="80"/>
      <w:r>
        <w:rPr>
          <w:rFonts w:hint="eastAsia" w:ascii="宋体" w:hAnsi="宋体" w:cs="宋体"/>
          <w:b w:val="0"/>
          <w:bCs/>
          <w:color w:val="auto"/>
          <w:sz w:val="24"/>
          <w:szCs w:val="24"/>
        </w:rPr>
        <w:tab/>
      </w:r>
    </w:p>
    <w:p w14:paraId="7A675571">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81" w:name="_Toc11415"/>
      <w:r>
        <w:rPr>
          <w:rFonts w:hint="eastAsia" w:ascii="宋体" w:hAnsi="宋体" w:cs="宋体"/>
          <w:b w:val="0"/>
          <w:bCs/>
          <w:color w:val="auto"/>
          <w:sz w:val="24"/>
          <w:szCs w:val="24"/>
        </w:rPr>
        <w:t>传真：</w:t>
      </w:r>
      <w:bookmarkEnd w:id="81"/>
      <w:r>
        <w:rPr>
          <w:rFonts w:hint="eastAsia" w:ascii="宋体" w:hAnsi="宋体" w:cs="宋体"/>
          <w:b w:val="0"/>
          <w:bCs/>
          <w:color w:val="auto"/>
          <w:sz w:val="24"/>
          <w:szCs w:val="24"/>
        </w:rPr>
        <w:tab/>
      </w:r>
    </w:p>
    <w:p w14:paraId="6945B7F9">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82" w:name="_Toc18418"/>
      <w:r>
        <w:rPr>
          <w:rFonts w:hint="eastAsia" w:ascii="宋体" w:hAnsi="宋体" w:cs="宋体"/>
          <w:b w:val="0"/>
          <w:bCs/>
          <w:color w:val="auto"/>
          <w:sz w:val="24"/>
          <w:szCs w:val="24"/>
        </w:rPr>
        <w:t>手机：</w:t>
      </w:r>
      <w:bookmarkEnd w:id="82"/>
    </w:p>
    <w:p w14:paraId="32AFC943">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83" w:name="_Toc1039"/>
      <w:r>
        <w:rPr>
          <w:rFonts w:hint="eastAsia" w:ascii="宋体" w:hAnsi="宋体" w:cs="宋体"/>
          <w:b w:val="0"/>
          <w:bCs/>
          <w:color w:val="auto"/>
          <w:sz w:val="24"/>
          <w:szCs w:val="24"/>
        </w:rPr>
        <w:t>本项目授权委托人（签字并盖名章）：</w:t>
      </w:r>
      <w:bookmarkEnd w:id="83"/>
    </w:p>
    <w:p w14:paraId="1CC8E835">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84" w:name="_Toc30556"/>
      <w:r>
        <w:rPr>
          <w:rFonts w:hint="eastAsia" w:ascii="宋体" w:hAnsi="宋体" w:cs="宋体"/>
          <w:b w:val="0"/>
          <w:bCs/>
          <w:color w:val="auto"/>
          <w:sz w:val="24"/>
          <w:szCs w:val="24"/>
        </w:rPr>
        <w:t>身份证号码：</w:t>
      </w:r>
      <w:bookmarkEnd w:id="84"/>
    </w:p>
    <w:p w14:paraId="6280FD10">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85" w:name="_Toc28667"/>
      <w:r>
        <w:rPr>
          <w:rFonts w:hint="eastAsia" w:ascii="宋体" w:hAnsi="宋体" w:cs="宋体"/>
          <w:b w:val="0"/>
          <w:bCs/>
          <w:color w:val="auto"/>
          <w:sz w:val="24"/>
          <w:szCs w:val="24"/>
        </w:rPr>
        <w:t>固话：</w:t>
      </w:r>
      <w:bookmarkEnd w:id="85"/>
      <w:r>
        <w:rPr>
          <w:rFonts w:hint="eastAsia" w:ascii="宋体" w:hAnsi="宋体" w:cs="宋体"/>
          <w:b w:val="0"/>
          <w:bCs/>
          <w:color w:val="auto"/>
          <w:sz w:val="24"/>
          <w:szCs w:val="24"/>
        </w:rPr>
        <w:tab/>
      </w:r>
    </w:p>
    <w:p w14:paraId="0979376B">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86" w:name="_Toc29246"/>
      <w:r>
        <w:rPr>
          <w:rFonts w:hint="eastAsia" w:ascii="宋体" w:hAnsi="宋体" w:cs="宋体"/>
          <w:b w:val="0"/>
          <w:bCs/>
          <w:color w:val="auto"/>
          <w:sz w:val="24"/>
          <w:szCs w:val="24"/>
        </w:rPr>
        <w:t>传真：</w:t>
      </w:r>
      <w:bookmarkEnd w:id="86"/>
    </w:p>
    <w:p w14:paraId="0A4FA6DE">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87" w:name="_Toc15364"/>
      <w:r>
        <w:rPr>
          <w:rFonts w:hint="eastAsia" w:ascii="宋体" w:hAnsi="宋体" w:cs="宋体"/>
          <w:b w:val="0"/>
          <w:bCs/>
          <w:color w:val="auto"/>
          <w:sz w:val="24"/>
          <w:szCs w:val="24"/>
        </w:rPr>
        <w:t>手机：</w:t>
      </w:r>
      <w:bookmarkEnd w:id="87"/>
    </w:p>
    <w:p w14:paraId="2CC13F75">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88" w:name="_Toc28214"/>
      <w:r>
        <w:rPr>
          <w:rFonts w:hint="eastAsia" w:ascii="宋体" w:hAnsi="宋体" w:cs="宋体"/>
          <w:b w:val="0"/>
          <w:bCs/>
          <w:color w:val="auto"/>
          <w:sz w:val="24"/>
          <w:szCs w:val="24"/>
        </w:rPr>
        <w:t>公司地址：</w:t>
      </w:r>
      <w:bookmarkEnd w:id="88"/>
      <w:r>
        <w:rPr>
          <w:rFonts w:hint="eastAsia" w:ascii="宋体" w:hAnsi="宋体" w:cs="宋体"/>
          <w:b w:val="0"/>
          <w:bCs/>
          <w:color w:val="auto"/>
          <w:sz w:val="24"/>
          <w:szCs w:val="24"/>
        </w:rPr>
        <w:tab/>
      </w:r>
    </w:p>
    <w:p w14:paraId="0CAC36CF">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89" w:name="_Toc25986"/>
      <w:r>
        <w:rPr>
          <w:rFonts w:hint="eastAsia" w:ascii="宋体" w:hAnsi="宋体" w:cs="宋体"/>
          <w:b w:val="0"/>
          <w:bCs/>
          <w:color w:val="auto"/>
          <w:sz w:val="24"/>
          <w:szCs w:val="24"/>
        </w:rPr>
        <w:t>邮编：</w:t>
      </w:r>
      <w:bookmarkEnd w:id="89"/>
    </w:p>
    <w:p w14:paraId="45BF6BBB">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90" w:name="_Toc24742"/>
      <w:r>
        <w:rPr>
          <w:rFonts w:hint="eastAsia" w:ascii="宋体" w:hAnsi="宋体" w:cs="宋体"/>
          <w:b w:val="0"/>
          <w:bCs/>
          <w:color w:val="auto"/>
          <w:sz w:val="24"/>
          <w:szCs w:val="24"/>
        </w:rPr>
        <w:t>质疑人（公章）</w:t>
      </w:r>
      <w:bookmarkEnd w:id="90"/>
    </w:p>
    <w:p w14:paraId="5B94B82D">
      <w:pPr>
        <w:pStyle w:val="2"/>
        <w:numPr>
          <w:ilvl w:val="0"/>
          <w:numId w:val="0"/>
        </w:numPr>
        <w:spacing w:line="360" w:lineRule="auto"/>
        <w:ind w:firstLine="480" w:firstLineChars="200"/>
        <w:jc w:val="left"/>
        <w:rPr>
          <w:rFonts w:hint="eastAsia" w:ascii="宋体" w:hAnsi="宋体" w:cs="宋体"/>
          <w:b w:val="0"/>
          <w:bCs/>
          <w:color w:val="auto"/>
          <w:sz w:val="24"/>
          <w:szCs w:val="24"/>
        </w:rPr>
      </w:pPr>
      <w:bookmarkStart w:id="91" w:name="_Toc27668"/>
      <w:r>
        <w:rPr>
          <w:rFonts w:hint="eastAsia" w:ascii="宋体" w:hAnsi="宋体" w:cs="宋体"/>
          <w:b w:val="0"/>
          <w:bCs/>
          <w:color w:val="auto"/>
          <w:sz w:val="24"/>
          <w:szCs w:val="24"/>
        </w:rPr>
        <w:t>年</w:t>
      </w:r>
      <w:r>
        <w:rPr>
          <w:rFonts w:hint="eastAsia" w:ascii="宋体" w:hAnsi="宋体" w:cs="宋体"/>
          <w:b w:val="0"/>
          <w:bCs/>
          <w:color w:val="auto"/>
          <w:sz w:val="24"/>
          <w:szCs w:val="24"/>
        </w:rPr>
        <w:tab/>
      </w:r>
      <w:r>
        <w:rPr>
          <w:rFonts w:hint="eastAsia" w:ascii="宋体" w:hAnsi="宋体" w:cs="宋体"/>
          <w:b w:val="0"/>
          <w:bCs/>
          <w:color w:val="auto"/>
          <w:sz w:val="24"/>
          <w:szCs w:val="24"/>
        </w:rPr>
        <w:t xml:space="preserve">  月 </w:t>
      </w:r>
      <w:r>
        <w:rPr>
          <w:rFonts w:hint="eastAsia" w:ascii="宋体" w:hAnsi="宋体" w:cs="宋体"/>
          <w:b w:val="0"/>
          <w:bCs/>
          <w:color w:val="auto"/>
          <w:sz w:val="24"/>
          <w:szCs w:val="24"/>
        </w:rPr>
        <w:tab/>
      </w:r>
      <w:r>
        <w:rPr>
          <w:rFonts w:hint="eastAsia" w:ascii="宋体" w:hAnsi="宋体" w:cs="宋体"/>
          <w:b w:val="0"/>
          <w:bCs/>
          <w:color w:val="auto"/>
          <w:sz w:val="24"/>
          <w:szCs w:val="24"/>
        </w:rPr>
        <w:t>日</w:t>
      </w:r>
      <w:bookmarkEnd w:id="91"/>
    </w:p>
    <w:p w14:paraId="736A8EFB">
      <w:pPr>
        <w:pStyle w:val="2"/>
        <w:numPr>
          <w:ilvl w:val="0"/>
          <w:numId w:val="0"/>
        </w:numPr>
        <w:spacing w:line="400" w:lineRule="atLeast"/>
        <w:ind w:firstLine="1968" w:firstLineChars="700"/>
        <w:rPr>
          <w:rFonts w:hint="eastAsia" w:ascii="宋体" w:hAnsi="宋体" w:cs="宋体"/>
          <w:color w:val="auto"/>
          <w:sz w:val="28"/>
          <w:szCs w:val="28"/>
        </w:rPr>
      </w:pPr>
    </w:p>
    <w:p w14:paraId="59FC1DF5">
      <w:pPr>
        <w:pStyle w:val="2"/>
        <w:numPr>
          <w:ilvl w:val="0"/>
          <w:numId w:val="0"/>
        </w:numPr>
        <w:spacing w:line="400" w:lineRule="atLeast"/>
        <w:ind w:firstLine="1968" w:firstLineChars="700"/>
        <w:rPr>
          <w:rFonts w:hint="eastAsia" w:ascii="宋体" w:hAnsi="宋体" w:cs="宋体"/>
          <w:color w:val="auto"/>
          <w:sz w:val="28"/>
          <w:szCs w:val="28"/>
        </w:rPr>
      </w:pPr>
    </w:p>
    <w:p w14:paraId="381613B3">
      <w:pPr>
        <w:rPr>
          <w:rFonts w:hint="eastAsia" w:ascii="宋体" w:hAnsi="宋体" w:cs="宋体"/>
          <w:color w:val="auto"/>
          <w:sz w:val="28"/>
          <w:szCs w:val="28"/>
        </w:rPr>
      </w:pPr>
      <w:r>
        <w:rPr>
          <w:rFonts w:hint="eastAsia" w:ascii="宋体" w:hAnsi="宋体" w:cs="宋体"/>
          <w:color w:val="auto"/>
          <w:sz w:val="28"/>
          <w:szCs w:val="28"/>
        </w:rPr>
        <w:br w:type="page"/>
      </w:r>
    </w:p>
    <w:p w14:paraId="41FE8FBF">
      <w:pPr>
        <w:pStyle w:val="2"/>
        <w:numPr>
          <w:ilvl w:val="0"/>
          <w:numId w:val="0"/>
        </w:numPr>
        <w:spacing w:line="400" w:lineRule="atLeast"/>
        <w:jc w:val="center"/>
        <w:rPr>
          <w:rFonts w:hint="eastAsia" w:ascii="宋体" w:hAnsi="宋体" w:cs="宋体"/>
          <w:color w:val="auto"/>
          <w:sz w:val="28"/>
          <w:szCs w:val="28"/>
        </w:rPr>
      </w:pPr>
      <w:bookmarkStart w:id="92" w:name="_Toc13162"/>
      <w:r>
        <w:rPr>
          <w:rFonts w:hint="eastAsia" w:ascii="宋体" w:hAnsi="宋体" w:cs="宋体"/>
          <w:color w:val="auto"/>
          <w:sz w:val="28"/>
          <w:szCs w:val="28"/>
        </w:rPr>
        <w:t>质疑内容</w:t>
      </w:r>
      <w:bookmarkEnd w:id="92"/>
    </w:p>
    <w:p w14:paraId="5DDD646F">
      <w:pPr>
        <w:pStyle w:val="2"/>
        <w:numPr>
          <w:ilvl w:val="0"/>
          <w:numId w:val="0"/>
        </w:numPr>
        <w:spacing w:line="400" w:lineRule="atLeast"/>
        <w:rPr>
          <w:rFonts w:hint="eastAsia" w:ascii="宋体" w:hAnsi="宋体" w:cs="宋体"/>
          <w:b w:val="0"/>
          <w:bCs/>
          <w:color w:val="auto"/>
          <w:sz w:val="24"/>
          <w:szCs w:val="24"/>
        </w:rPr>
      </w:pPr>
      <w:bookmarkStart w:id="93" w:name="_Toc16373"/>
      <w:r>
        <w:rPr>
          <w:rFonts w:hint="eastAsia" w:ascii="宋体" w:hAnsi="宋体" w:cs="宋体"/>
          <w:b w:val="0"/>
          <w:bCs/>
          <w:color w:val="auto"/>
          <w:sz w:val="24"/>
          <w:szCs w:val="24"/>
        </w:rPr>
        <w:t>项目名称：</w:t>
      </w:r>
      <w:bookmarkEnd w:id="93"/>
      <w:r>
        <w:rPr>
          <w:rFonts w:hint="eastAsia" w:ascii="宋体" w:hAnsi="宋体" w:cs="宋体"/>
          <w:b w:val="0"/>
          <w:bCs/>
          <w:color w:val="auto"/>
          <w:sz w:val="24"/>
          <w:szCs w:val="24"/>
        </w:rPr>
        <w:t xml:space="preserve">                         </w:t>
      </w:r>
    </w:p>
    <w:p w14:paraId="1162CC32">
      <w:pPr>
        <w:pStyle w:val="2"/>
        <w:numPr>
          <w:ilvl w:val="0"/>
          <w:numId w:val="0"/>
        </w:numPr>
        <w:spacing w:line="400" w:lineRule="atLeast"/>
        <w:rPr>
          <w:rFonts w:hint="eastAsia" w:ascii="宋体" w:hAnsi="宋体" w:cs="宋体"/>
          <w:b w:val="0"/>
          <w:bCs/>
          <w:color w:val="auto"/>
          <w:sz w:val="24"/>
          <w:szCs w:val="24"/>
        </w:rPr>
      </w:pPr>
      <w:bookmarkStart w:id="94" w:name="_Toc21599"/>
      <w:r>
        <w:rPr>
          <w:rFonts w:hint="eastAsia" w:ascii="宋体" w:hAnsi="宋体" w:cs="宋体"/>
          <w:b w:val="0"/>
          <w:bCs/>
          <w:color w:val="auto"/>
          <w:sz w:val="24"/>
          <w:szCs w:val="24"/>
        </w:rPr>
        <w:t>项目编号：</w:t>
      </w:r>
      <w:bookmarkEnd w:id="94"/>
    </w:p>
    <w:tbl>
      <w:tblPr>
        <w:tblStyle w:val="26"/>
        <w:tblpPr w:leftFromText="180" w:rightFromText="180" w:vertAnchor="text" w:horzAnchor="page" w:tblpX="1490" w:tblpY="407"/>
        <w:tblOverlap w:val="never"/>
        <w:tblW w:w="90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8154"/>
      </w:tblGrid>
      <w:tr w14:paraId="3B8D8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905" w:type="dxa"/>
            <w:vMerge w:val="restart"/>
            <w:vAlign w:val="center"/>
          </w:tcPr>
          <w:p w14:paraId="164053C9">
            <w:pPr>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具体内容</w:t>
            </w:r>
          </w:p>
        </w:tc>
        <w:tc>
          <w:tcPr>
            <w:tcW w:w="8154" w:type="dxa"/>
            <w:vAlign w:val="center"/>
          </w:tcPr>
          <w:p w14:paraId="3CDB13A5">
            <w:pPr>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质疑事项：</w:t>
            </w:r>
          </w:p>
        </w:tc>
      </w:tr>
      <w:tr w14:paraId="4A21B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905" w:type="dxa"/>
            <w:vMerge w:val="continue"/>
            <w:vAlign w:val="center"/>
          </w:tcPr>
          <w:p w14:paraId="3EB4906E">
            <w:pPr>
              <w:spacing w:line="360" w:lineRule="auto"/>
              <w:jc w:val="center"/>
              <w:rPr>
                <w:rFonts w:hint="eastAsia" w:ascii="宋体" w:hAnsi="宋体" w:cs="宋体"/>
                <w:color w:val="auto"/>
                <w:kern w:val="0"/>
                <w:sz w:val="24"/>
                <w:szCs w:val="24"/>
              </w:rPr>
            </w:pPr>
          </w:p>
        </w:tc>
        <w:tc>
          <w:tcPr>
            <w:tcW w:w="8154" w:type="dxa"/>
            <w:vAlign w:val="center"/>
          </w:tcPr>
          <w:p w14:paraId="3015A9D9">
            <w:pPr>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主要内容：</w:t>
            </w:r>
          </w:p>
        </w:tc>
      </w:tr>
      <w:tr w14:paraId="55C39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905" w:type="dxa"/>
            <w:vMerge w:val="continue"/>
            <w:vAlign w:val="center"/>
          </w:tcPr>
          <w:p w14:paraId="0A0969EE">
            <w:pPr>
              <w:spacing w:line="360" w:lineRule="auto"/>
              <w:jc w:val="center"/>
              <w:rPr>
                <w:rFonts w:hint="eastAsia" w:ascii="宋体" w:hAnsi="宋体" w:cs="宋体"/>
                <w:color w:val="auto"/>
                <w:kern w:val="0"/>
                <w:sz w:val="24"/>
                <w:szCs w:val="24"/>
              </w:rPr>
            </w:pPr>
          </w:p>
        </w:tc>
        <w:tc>
          <w:tcPr>
            <w:tcW w:w="8154" w:type="dxa"/>
            <w:vAlign w:val="center"/>
          </w:tcPr>
          <w:p w14:paraId="26318B8E">
            <w:pPr>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事实依据：</w:t>
            </w:r>
          </w:p>
        </w:tc>
      </w:tr>
      <w:tr w14:paraId="0AAF8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905" w:type="dxa"/>
            <w:vMerge w:val="continue"/>
            <w:vAlign w:val="center"/>
          </w:tcPr>
          <w:p w14:paraId="4B111CBD">
            <w:pPr>
              <w:spacing w:line="360" w:lineRule="auto"/>
              <w:jc w:val="center"/>
              <w:rPr>
                <w:rFonts w:hint="eastAsia" w:ascii="宋体" w:hAnsi="宋体" w:cs="宋体"/>
                <w:color w:val="auto"/>
                <w:kern w:val="0"/>
                <w:sz w:val="24"/>
                <w:szCs w:val="24"/>
              </w:rPr>
            </w:pPr>
          </w:p>
        </w:tc>
        <w:tc>
          <w:tcPr>
            <w:tcW w:w="8154" w:type="dxa"/>
            <w:vAlign w:val="center"/>
          </w:tcPr>
          <w:p w14:paraId="6A88519A">
            <w:pPr>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适应法规条款：</w:t>
            </w:r>
          </w:p>
        </w:tc>
      </w:tr>
      <w:tr w14:paraId="6372A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trPr>
        <w:tc>
          <w:tcPr>
            <w:tcW w:w="905" w:type="dxa"/>
            <w:vMerge w:val="continue"/>
            <w:vAlign w:val="center"/>
          </w:tcPr>
          <w:p w14:paraId="0A6A7B70">
            <w:pPr>
              <w:spacing w:line="360" w:lineRule="auto"/>
              <w:jc w:val="center"/>
              <w:rPr>
                <w:rFonts w:hint="eastAsia" w:ascii="宋体" w:hAnsi="宋体" w:cs="宋体"/>
                <w:color w:val="auto"/>
                <w:kern w:val="0"/>
                <w:sz w:val="24"/>
                <w:szCs w:val="24"/>
              </w:rPr>
            </w:pPr>
          </w:p>
        </w:tc>
        <w:tc>
          <w:tcPr>
            <w:tcW w:w="8154" w:type="dxa"/>
          </w:tcPr>
          <w:p w14:paraId="320E2372">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佐证材料：</w:t>
            </w:r>
          </w:p>
        </w:tc>
      </w:tr>
    </w:tbl>
    <w:p w14:paraId="40D3D81D">
      <w:pPr>
        <w:rPr>
          <w:rFonts w:hint="eastAsia" w:ascii="宋体" w:hAnsi="宋体" w:cs="宋体"/>
          <w:color w:val="auto"/>
          <w:sz w:val="24"/>
          <w:szCs w:val="24"/>
        </w:rPr>
      </w:pPr>
    </w:p>
    <w:p w14:paraId="1A169E8A">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备注：</w:t>
      </w:r>
    </w:p>
    <w:p w14:paraId="70CCCAFA">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1、质疑人的法定代表人办理质疑事务的，在提交质疑函（无需填写授权委托人）的同时，还应提交加盖质疑人公章的营业执照副本复印件和法定代表人的身份证复印件。请持身份证原件用于核对。</w:t>
      </w:r>
    </w:p>
    <w:p w14:paraId="7B93D785">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授权本项目评审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71C00F83">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3、“具体的质疑事项及事实依据”一栏填写不下时，质疑人可另附页（A4），但附纸要求加盖质疑人公章。</w:t>
      </w:r>
    </w:p>
    <w:p w14:paraId="701FFAB7">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4、与质疑事项有关的材料应与质疑函合并装订。</w:t>
      </w:r>
    </w:p>
    <w:p w14:paraId="15E22E80">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5、质疑函一式三份。</w:t>
      </w:r>
    </w:p>
    <w:p w14:paraId="211EAD42">
      <w:pPr>
        <w:rPr>
          <w:rFonts w:hint="eastAsia" w:ascii="宋体" w:hAnsi="宋体" w:cs="宋体"/>
          <w:color w:val="auto"/>
          <w:kern w:val="0"/>
          <w:sz w:val="24"/>
          <w:szCs w:val="24"/>
        </w:rPr>
      </w:pPr>
      <w:r>
        <w:rPr>
          <w:rFonts w:hint="eastAsia" w:ascii="宋体" w:hAnsi="宋体" w:cs="宋体"/>
          <w:color w:val="auto"/>
          <w:kern w:val="0"/>
          <w:sz w:val="24"/>
          <w:szCs w:val="24"/>
        </w:rPr>
        <w:br w:type="page"/>
      </w:r>
    </w:p>
    <w:p w14:paraId="30E97EC4">
      <w:pPr>
        <w:pStyle w:val="4"/>
        <w:numPr>
          <w:ilvl w:val="0"/>
          <w:numId w:val="12"/>
        </w:numPr>
        <w:spacing w:before="0" w:after="0" w:line="360" w:lineRule="auto"/>
        <w:jc w:val="center"/>
        <w:rPr>
          <w:rFonts w:hint="eastAsia" w:ascii="宋体" w:hAnsi="宋体" w:cs="宋体"/>
          <w:color w:val="auto"/>
        </w:rPr>
      </w:pPr>
      <w:r>
        <w:rPr>
          <w:rFonts w:hint="eastAsia" w:ascii="宋体" w:hAnsi="宋体" w:cs="宋体"/>
          <w:color w:val="auto"/>
          <w:sz w:val="28"/>
          <w:szCs w:val="28"/>
        </w:rPr>
        <w:t xml:space="preserve">  </w:t>
      </w:r>
      <w:bookmarkEnd w:id="63"/>
      <w:bookmarkEnd w:id="68"/>
      <w:bookmarkEnd w:id="69"/>
      <w:bookmarkEnd w:id="70"/>
      <w:bookmarkEnd w:id="71"/>
      <w:bookmarkStart w:id="95" w:name="_Toc1011"/>
      <w:bookmarkStart w:id="96" w:name="_Toc10290"/>
      <w:r>
        <w:rPr>
          <w:rFonts w:hint="eastAsia" w:ascii="宋体" w:hAnsi="宋体" w:cs="宋体"/>
          <w:color w:val="auto"/>
        </w:rPr>
        <w:t>服务要求及需求</w:t>
      </w:r>
      <w:bookmarkEnd w:id="95"/>
    </w:p>
    <w:p w14:paraId="753B45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、审计目标</w:t>
      </w:r>
    </w:p>
    <w:p w14:paraId="243500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为强化内部管理制约机制，规范</w:t>
      </w:r>
      <w:r>
        <w:rPr>
          <w:rFonts w:hint="eastAsia" w:ascii="宋体" w:hAnsi="宋体" w:eastAsia="宋体" w:cs="宋体"/>
          <w:color w:val="auto"/>
          <w:sz w:val="24"/>
          <w:szCs w:val="24"/>
          <w:lang w:eastAsia="zh-CN"/>
        </w:rPr>
        <w:t>企业职工</w:t>
      </w:r>
      <w:r>
        <w:rPr>
          <w:rFonts w:hint="eastAsia" w:ascii="宋体" w:hAnsi="宋体" w:eastAsia="宋体" w:cs="宋体"/>
          <w:color w:val="auto"/>
          <w:sz w:val="24"/>
          <w:szCs w:val="24"/>
        </w:rPr>
        <w:t>保险业务</w:t>
      </w:r>
      <w:r>
        <w:rPr>
          <w:rFonts w:hint="eastAsia" w:ascii="宋体" w:hAnsi="宋体" w:eastAsia="宋体" w:cs="宋体"/>
          <w:color w:val="auto"/>
          <w:sz w:val="24"/>
          <w:szCs w:val="24"/>
          <w:lang w:eastAsia="zh-CN"/>
        </w:rPr>
        <w:t>经办</w:t>
      </w:r>
      <w:r>
        <w:rPr>
          <w:rFonts w:hint="eastAsia" w:ascii="宋体" w:hAnsi="宋体" w:eastAsia="宋体" w:cs="宋体"/>
          <w:color w:val="auto"/>
          <w:sz w:val="24"/>
          <w:szCs w:val="24"/>
        </w:rPr>
        <w:t>及</w:t>
      </w:r>
      <w:r>
        <w:rPr>
          <w:rFonts w:hint="eastAsia" w:ascii="宋体" w:hAnsi="宋体" w:eastAsia="宋体" w:cs="宋体"/>
          <w:color w:val="auto"/>
          <w:sz w:val="24"/>
          <w:szCs w:val="24"/>
          <w:lang w:eastAsia="zh-CN"/>
        </w:rPr>
        <w:t>基金</w:t>
      </w:r>
      <w:r>
        <w:rPr>
          <w:rFonts w:hint="eastAsia" w:ascii="宋体" w:hAnsi="宋体" w:eastAsia="宋体" w:cs="宋体"/>
          <w:color w:val="auto"/>
          <w:sz w:val="24"/>
          <w:szCs w:val="24"/>
        </w:rPr>
        <w:t>管理</w:t>
      </w:r>
      <w:r>
        <w:rPr>
          <w:rFonts w:hint="eastAsia" w:ascii="宋体" w:hAnsi="宋体" w:eastAsia="宋体" w:cs="宋体"/>
          <w:color w:val="auto"/>
          <w:sz w:val="24"/>
          <w:szCs w:val="24"/>
          <w:lang w:eastAsia="zh-CN"/>
        </w:rPr>
        <w:t>真实、合规、合法，有效</w:t>
      </w:r>
      <w:r>
        <w:rPr>
          <w:rFonts w:hint="eastAsia" w:ascii="宋体" w:hAnsi="宋体" w:eastAsia="宋体" w:cs="宋体"/>
          <w:color w:val="auto"/>
          <w:sz w:val="24"/>
          <w:szCs w:val="24"/>
        </w:rPr>
        <w:t>防范</w:t>
      </w:r>
      <w:r>
        <w:rPr>
          <w:rFonts w:hint="eastAsia" w:ascii="宋体" w:hAnsi="宋体" w:eastAsia="宋体" w:cs="宋体"/>
          <w:color w:val="auto"/>
          <w:sz w:val="24"/>
          <w:szCs w:val="24"/>
          <w:lang w:eastAsia="zh-CN"/>
        </w:rPr>
        <w:t>化解</w:t>
      </w:r>
      <w:r>
        <w:rPr>
          <w:rFonts w:hint="eastAsia" w:ascii="宋体" w:hAnsi="宋体" w:eastAsia="宋体" w:cs="宋体"/>
          <w:color w:val="auto"/>
          <w:sz w:val="24"/>
          <w:szCs w:val="24"/>
        </w:rPr>
        <w:t>风险，确保社保基金安全</w:t>
      </w:r>
      <w:r>
        <w:rPr>
          <w:rFonts w:hint="eastAsia" w:ascii="宋体" w:hAnsi="宋体" w:eastAsia="宋体" w:cs="宋体"/>
          <w:color w:val="auto"/>
          <w:sz w:val="24"/>
          <w:szCs w:val="24"/>
          <w:lang w:eastAsia="zh-CN"/>
        </w:rPr>
        <w:t>规范运行</w:t>
      </w:r>
      <w:r>
        <w:rPr>
          <w:rFonts w:hint="eastAsia" w:ascii="宋体" w:hAnsi="宋体" w:eastAsia="宋体" w:cs="宋体"/>
          <w:color w:val="auto"/>
          <w:sz w:val="24"/>
          <w:szCs w:val="24"/>
        </w:rPr>
        <w:t>，揭示存在的困难和问题，提出完善制度、规范管理的建议。</w:t>
      </w:r>
    </w:p>
    <w:p w14:paraId="6CC8EFF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二、审计范围</w:t>
      </w:r>
    </w:p>
    <w:p w14:paraId="35BAD1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对克州本级、吐鲁番市本级、克拉玛依市本级、博州本级社保经办机构2024年企业职工基本养老保险基金运行管理进行审计。</w:t>
      </w:r>
    </w:p>
    <w:p w14:paraId="4ECAB3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三、审计依据</w:t>
      </w:r>
    </w:p>
    <w:p w14:paraId="7A132F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1、《中华人民共和国</w:t>
      </w:r>
      <w:r>
        <w:rPr>
          <w:rFonts w:hint="eastAsia" w:ascii="宋体" w:hAnsi="宋体" w:eastAsia="宋体" w:cs="宋体"/>
          <w:color w:val="auto"/>
          <w:sz w:val="24"/>
          <w:szCs w:val="24"/>
          <w:lang w:eastAsia="zh-CN"/>
        </w:rPr>
        <w:t>社会</w:t>
      </w:r>
      <w:r>
        <w:rPr>
          <w:rFonts w:hint="eastAsia" w:ascii="宋体" w:hAnsi="宋体" w:eastAsia="宋体" w:cs="宋体"/>
          <w:color w:val="auto"/>
          <w:sz w:val="24"/>
          <w:szCs w:val="24"/>
        </w:rPr>
        <w:t>保险法》</w:t>
      </w:r>
    </w:p>
    <w:p w14:paraId="26B701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社会</w:t>
      </w:r>
      <w:r>
        <w:rPr>
          <w:rFonts w:hint="eastAsia" w:ascii="宋体" w:hAnsi="宋体" w:eastAsia="宋体" w:cs="宋体"/>
          <w:color w:val="auto"/>
          <w:sz w:val="24"/>
          <w:szCs w:val="24"/>
        </w:rPr>
        <w:t>保险审计暂行条例》</w:t>
      </w:r>
    </w:p>
    <w:p w14:paraId="560524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社会保险经办审计办法</w:t>
      </w:r>
      <w:r>
        <w:rPr>
          <w:rFonts w:hint="eastAsia" w:ascii="宋体" w:hAnsi="宋体" w:eastAsia="宋体" w:cs="宋体"/>
          <w:color w:val="auto"/>
          <w:sz w:val="24"/>
          <w:szCs w:val="24"/>
        </w:rPr>
        <w:t>》</w:t>
      </w:r>
    </w:p>
    <w:p w14:paraId="7C1077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社会保险</w:t>
      </w:r>
      <w:r>
        <w:rPr>
          <w:rFonts w:hint="eastAsia" w:ascii="宋体" w:hAnsi="宋体" w:eastAsia="宋体" w:cs="宋体"/>
          <w:color w:val="auto"/>
          <w:sz w:val="24"/>
          <w:szCs w:val="24"/>
          <w:lang w:val="en-US" w:eastAsia="zh-CN"/>
        </w:rPr>
        <w:t>经办机构内部控制暂行办法》</w:t>
      </w:r>
    </w:p>
    <w:p w14:paraId="00B904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《社会保险内部控制规范》</w:t>
      </w:r>
    </w:p>
    <w:p w14:paraId="620CAB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社会</w:t>
      </w:r>
      <w:r>
        <w:rPr>
          <w:rFonts w:hint="eastAsia" w:ascii="宋体" w:hAnsi="宋体" w:eastAsia="宋体" w:cs="宋体"/>
          <w:color w:val="auto"/>
          <w:sz w:val="24"/>
          <w:szCs w:val="24"/>
          <w:lang w:val="en-US" w:eastAsia="zh-CN"/>
        </w:rPr>
        <w:t>基本养老保险基金预算绩效管理办法》</w:t>
      </w:r>
    </w:p>
    <w:p w14:paraId="23E254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社会保险</w:t>
      </w:r>
      <w:r>
        <w:rPr>
          <w:rFonts w:hint="eastAsia" w:ascii="宋体" w:hAnsi="宋体" w:eastAsia="宋体" w:cs="宋体"/>
          <w:color w:val="auto"/>
          <w:sz w:val="24"/>
          <w:szCs w:val="24"/>
        </w:rPr>
        <w:t>费征缴暂行条例》</w:t>
      </w:r>
    </w:p>
    <w:p w14:paraId="460A51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社会基本养老保险基金</w:t>
      </w:r>
      <w:r>
        <w:rPr>
          <w:rFonts w:hint="eastAsia" w:ascii="宋体" w:hAnsi="宋体" w:eastAsia="宋体" w:cs="宋体"/>
          <w:color w:val="auto"/>
          <w:sz w:val="24"/>
          <w:szCs w:val="24"/>
        </w:rPr>
        <w:t>账务制度》</w:t>
      </w:r>
    </w:p>
    <w:p w14:paraId="38C02E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《社会基本养老保险基金</w:t>
      </w:r>
      <w:r>
        <w:rPr>
          <w:rFonts w:hint="eastAsia" w:ascii="宋体" w:hAnsi="宋体" w:eastAsia="宋体" w:cs="宋体"/>
          <w:color w:val="auto"/>
          <w:sz w:val="24"/>
          <w:szCs w:val="24"/>
        </w:rPr>
        <w:t>会计制度》</w:t>
      </w:r>
    </w:p>
    <w:p w14:paraId="759D23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四、主要审计内容</w:t>
      </w:r>
    </w:p>
    <w:p w14:paraId="351504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（一）企业职工基本养老保险基金收入的审计</w:t>
      </w:r>
    </w:p>
    <w:p w14:paraId="3DD765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是否全部通过税务部门征收，社保自收企业职工保险费征缴是否通过全程电子化系统批量代扣。有无脱离业务系统或使用非业务系统打印单据进行征缴结算情况；企业职工保险费收入在业务系统回单登记与实际进账是否目符，有无先于到账做回单登记或未到账做回单登记情况。</w:t>
      </w:r>
    </w:p>
    <w:p w14:paraId="6BEF50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检查</w:t>
      </w:r>
      <w:r>
        <w:rPr>
          <w:rFonts w:hint="eastAsia" w:ascii="宋体" w:hAnsi="宋体" w:eastAsia="宋体" w:cs="宋体"/>
          <w:color w:val="auto"/>
          <w:sz w:val="24"/>
          <w:szCs w:val="24"/>
          <w:highlight w:val="none"/>
          <w:lang w:eastAsia="zh-CN"/>
        </w:rPr>
        <w:t>企业职工基本养老保险基金补缴是否按规定审批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除按规定补缴外，是否还按规定交纳了滞纳金，滞纳金是否并入了企业职工基本养老保险基金。</w:t>
      </w:r>
    </w:p>
    <w:p w14:paraId="334454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3、有无未收款做基金收入等虚列收入情况；</w:t>
      </w:r>
    </w:p>
    <w:p w14:paraId="72A84A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4、应检查是否及时</w:t>
      </w:r>
      <w:r>
        <w:rPr>
          <w:rFonts w:hint="eastAsia" w:ascii="宋体" w:hAnsi="宋体" w:eastAsia="宋体" w:cs="宋体"/>
          <w:color w:val="auto"/>
          <w:sz w:val="24"/>
          <w:szCs w:val="24"/>
          <w:highlight w:val="none"/>
        </w:rPr>
        <w:t>足额地划转到基金管理机构，</w:t>
      </w:r>
      <w:r>
        <w:rPr>
          <w:rFonts w:hint="eastAsia" w:ascii="宋体" w:hAnsi="宋体" w:eastAsia="宋体" w:cs="宋体"/>
          <w:color w:val="auto"/>
          <w:sz w:val="24"/>
          <w:szCs w:val="24"/>
          <w:highlight w:val="none"/>
          <w:lang w:val="en-US" w:eastAsia="zh-CN"/>
        </w:rPr>
        <w:t>是否做到收入户月末无余额</w:t>
      </w:r>
      <w:r>
        <w:rPr>
          <w:rFonts w:hint="eastAsia" w:ascii="宋体" w:hAnsi="宋体" w:eastAsia="宋体" w:cs="宋体"/>
          <w:color w:val="auto"/>
          <w:sz w:val="24"/>
          <w:szCs w:val="24"/>
          <w:highlight w:val="none"/>
        </w:rPr>
        <w:t>。</w:t>
      </w:r>
    </w:p>
    <w:p w14:paraId="69E2B68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(二)对企业职工基本养老保险基金支出的审计</w:t>
      </w:r>
    </w:p>
    <w:p w14:paraId="258D3A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检查企业职工基本养老保险基金的开支范围，是否符合专款专用的规定。主要是检查企业职工基本养老保险基金是否严格按照国家规定的开支范围，正确组织支付。有无扩大开支范围，把不属于基金负担的支出列入基金支出 ，而属于基金负担的支出却没有开支。各级主管部门和经办机构有无采取虚列支出、转移资金等手法，损害、侵蚀基金的问题。</w:t>
      </w:r>
    </w:p>
    <w:p w14:paraId="5AF706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检查企业职工基本养老保险基金的开支标准。主要是监督检查各项杜会保障基金的开支是否按法定的标准执行。有无违反国家规定擅自提高或降低开支标准的问题。养老保险基金的支付中，是否在同一地区执行不同的标准，执行行业自定的标准等问题。</w:t>
      </w:r>
    </w:p>
    <w:p w14:paraId="2BF3C7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是否符合待遇审核支付规定。领取人缴费年限是否符合规定，未达到法定退休年龄的领取人是否符合规定的条件，丧葬费、一次性抚恤费的发放是否按照规定足额支付，是否有重复享受养老保险待遇的情况，是否存在机关事业单位养老保险基金挤占基本养老保险基金的情况；是否存在以购买他人档案、冒用他人身份办理退休的方式骗取基本养老保险待遇的情况；是否存在监狱服刑人员在服刑期间存在缴纳养老保险费记录；是否向死亡人员发放发放居民养老保险待遇；是否向不符合条件的人员发放遗属补助。</w:t>
      </w:r>
    </w:p>
    <w:p w14:paraId="1CB4952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（三）对企业职工基本养老保险基金管理的审计</w:t>
      </w:r>
    </w:p>
    <w:p w14:paraId="6816E2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1、检査办理是否存在违规办理特定人员参保、一次性补缴、退费、个人权益补录等问题。</w:t>
      </w:r>
    </w:p>
    <w:p w14:paraId="4DDCC3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检査企业职工基本养老保险基金收入专户储存情况。企业职工基金收入是否坚持收支两条线原则按时上缴财政专户储存。有无多头开户储蓄存款、公款私存等问题，是否符合在国有商业银行开立财政专户、收入户、支付户，以及在同一国有商业银行只能各开设一个账户的规定。</w:t>
      </w:r>
    </w:p>
    <w:p w14:paraId="768FB6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3、部分企业职工保险基金活期存款未按规定享受优惠利率。</w:t>
      </w:r>
    </w:p>
    <w:p w14:paraId="508A80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color w:val="auto"/>
          <w:sz w:val="24"/>
          <w:szCs w:val="24"/>
          <w:highlight w:val="none"/>
          <w:lang w:val="en-US" w:eastAsia="zh-CN"/>
        </w:rPr>
        <w:t>4、</w:t>
      </w:r>
      <w:r>
        <w:rPr>
          <w:rFonts w:hint="eastAsia" w:ascii="宋体" w:hAnsi="宋体" w:eastAsia="宋体" w:cs="宋体"/>
          <w:i w:val="0"/>
          <w:caps w:val="0"/>
          <w:color w:val="auto"/>
          <w:spacing w:val="0"/>
          <w:kern w:val="0"/>
          <w:sz w:val="24"/>
          <w:szCs w:val="24"/>
          <w:shd w:val="clear" w:fill="FFFFFF"/>
          <w:lang w:val="en-US" w:eastAsia="zh-CN" w:bidi="ar"/>
        </w:rPr>
        <w:t>财务管理。社保基金收支会计核算情况：企业职工保险基金统一使用用友A+＋集中财务系统进行会计核算，有无手工核算情况；业务系统和非业务系统管理的基金财务收支是否全部在财务系统总账平台自动生成凭证，有无手工修改凭证或手工录入凭证情况；各项基金收支会计核算是否规范，财务核算是否及时、准确（税务征缴收入核算情况；逾期缴纳企业职工保险费所收利息和滞纳金是否按规定入账核算；其他收入、其他支出核算是否合规、准确；各项基金是否存在暂收款、暂付款长期挂账情况（是否合规，是否及时进行清理）；基金各险种间有无相互挤占、挪用情况，是否存在统筹外代发资金在基金账户支付，在基金账套核算情况；是否严格落实“三个全面取消”，有无工作人员经办现金业务或使用POS机追回待遇资金问题。职业年金是否存在长期未做账实匹配，未及时归集上解情况。企业职工保险基金预、决算编报及执行情况；</w:t>
      </w:r>
      <w:r>
        <w:rPr>
          <w:rFonts w:hint="eastAsia" w:ascii="宋体" w:hAnsi="宋体" w:eastAsia="宋体" w:cs="宋体"/>
          <w:i w:val="0"/>
          <w:caps w:val="0"/>
          <w:color w:val="auto"/>
          <w:spacing w:val="0"/>
          <w:kern w:val="0"/>
          <w:sz w:val="24"/>
          <w:szCs w:val="24"/>
          <w:highlight w:val="none"/>
          <w:shd w:val="clear" w:fill="FFFFFF"/>
          <w:lang w:val="en-US" w:eastAsia="zh-CN" w:bidi="ar"/>
        </w:rPr>
        <w:t>各项企业职工保险有无基金当期收不抵支，</w:t>
      </w:r>
      <w:r>
        <w:rPr>
          <w:rFonts w:hint="eastAsia" w:ascii="宋体" w:hAnsi="宋体" w:eastAsia="宋体" w:cs="宋体"/>
          <w:i w:val="0"/>
          <w:caps w:val="0"/>
          <w:color w:val="auto"/>
          <w:spacing w:val="0"/>
          <w:kern w:val="0"/>
          <w:sz w:val="24"/>
          <w:szCs w:val="24"/>
          <w:shd w:val="clear" w:fill="FFFFFF"/>
          <w:lang w:val="en-US" w:eastAsia="zh-CN" w:bidi="ar"/>
        </w:rPr>
        <w:t>是否建立基金运行风险预警报告制度；落实社保基金预警机制和失败信息反馈机制情况。是否设置单独的基金财务部门；基金财务人员是否使用本人权限和配套密钥操作业务；基金印章和密钥管理是否规范。</w:t>
      </w:r>
    </w:p>
    <w:p w14:paraId="52FA74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5、企业职工基本养老保险基金结余的安全性。主要检查企业职工基本养老保险基金的结余账面数字是否准确，以及结余基金的具体分布情况，是否账实相符。</w:t>
      </w:r>
    </w:p>
    <w:p w14:paraId="24C46E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（四）对企业职工基本养老保险基金内部控制建设的审计</w:t>
      </w:r>
    </w:p>
    <w:p w14:paraId="1DA2A3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bookmarkStart w:id="97" w:name="_Toc7944"/>
      <w:bookmarkStart w:id="98" w:name="_Toc4646"/>
      <w:bookmarkStart w:id="99" w:name="_Toc32412"/>
      <w:r>
        <w:rPr>
          <w:rFonts w:hint="eastAsia" w:ascii="宋体" w:hAnsi="宋体" w:eastAsia="宋体" w:cs="宋体"/>
          <w:color w:val="auto"/>
          <w:sz w:val="24"/>
          <w:szCs w:val="24"/>
          <w:highlight w:val="none"/>
          <w:lang w:val="en-US" w:eastAsia="zh-CN"/>
        </w:rPr>
        <w:t>、组织机构控制</w:t>
      </w:r>
      <w:bookmarkEnd w:id="97"/>
      <w:bookmarkEnd w:id="98"/>
      <w:bookmarkEnd w:id="99"/>
      <w:r>
        <w:rPr>
          <w:rFonts w:hint="eastAsia" w:ascii="宋体" w:hAnsi="宋体" w:eastAsia="宋体" w:cs="宋体"/>
          <w:color w:val="auto"/>
          <w:sz w:val="24"/>
          <w:szCs w:val="24"/>
          <w:highlight w:val="none"/>
          <w:lang w:val="en-US" w:eastAsia="zh-CN"/>
        </w:rPr>
        <w:t>：是否建立决策控制制度、岗位权限管理制度、轮岗制度、任职回避制度、重大问题风险报告制度、奖惩制度。是否开展诚信教育、合规教育、风险教育、廉政教育、警示教育。</w:t>
      </w:r>
    </w:p>
    <w:p w14:paraId="7F64B1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业务经办控制：是否建立并执行业务经办审核制度，严格授权管理，经办人员按其岗位权限开展工作；是否存在非在编人员经办基金财务会计、出纳业务工作；是否建立岗位权限管理台账；对人员轮岗、交流、长期休假、离职、退休等情况发生时，是否及时调整和清理操作权限，进行账户冻结和注销；岗位权限配置、新增、变更、冻结、注销申请程序是否规范</w:t>
      </w:r>
      <w:r>
        <w:rPr>
          <w:rFonts w:hint="eastAsia" w:ascii="宋体" w:hAnsi="宋体" w:eastAsia="宋体" w:cs="宋体"/>
          <w:color w:val="auto"/>
          <w:sz w:val="24"/>
          <w:szCs w:val="24"/>
          <w:highlight w:val="none"/>
          <w:lang w:val="en" w:eastAsia="zh-CN"/>
        </w:rPr>
        <w:t>；</w:t>
      </w:r>
      <w:r>
        <w:rPr>
          <w:rFonts w:hint="eastAsia" w:ascii="宋体" w:hAnsi="宋体" w:eastAsia="宋体" w:cs="宋体"/>
          <w:color w:val="auto"/>
          <w:sz w:val="24"/>
          <w:szCs w:val="24"/>
          <w:highlight w:val="none"/>
          <w:lang w:val="en-US" w:eastAsia="zh-CN"/>
        </w:rPr>
        <w:t>业务运行岗位、基金财务岗位、数据管理岗位、稽核内控岗位的人员是否相互兼任；待遇核定人员是否兼任个人账户管理、资格认证、关系转移接续相关工作；同一笔业务初审、复核、审核人员是否相互兼任，是否一人通办；个人代缴代付申报（非本人银行卡），实收退费核定，待遇特殊补退发，待遇零星调整，个人权益补录，退休待遇重核&lt;零星&gt;（养老保险），同时变更参保人员姓名和公民身份证号码（企业职工保障号码），变更参保人员出生日期、变更参加工作时间，个人中断补收（一次性补缴养老保险费超过3年）等高风险是否实行初审、复核、审核三级管理；复核、审核人员是否为正式在编人员；办理参保登记、个人账户管理、关系转移接续、待遇核定、待遇支付等业务时，是否对参保对象的参保、缴费、待遇状态及待遇领取资格进行核验；业务档案移交管理是否规范。</w:t>
      </w:r>
    </w:p>
    <w:p w14:paraId="6D9E31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基金财务控制：是否建立并执行基金财务管理制度、会计操作规程及分工明确的岗位责任制、合理的职责分离制度；基金财务收支审批是否严格执行分级授权，资金收支的审批与具体业务办理是否相分离，资金受理发放或待遇支付与审查相是否分离，信息数据处理与业务办理及会计处理是否相分离；是否严格执行会计与出纳不得兼任，制单和审核不得兼任，出纳不得兼任会计档案保管和收入、支出、费用、债权债务账目的登记工作要求；是否严格会计控制，实行企业职工保险基金“收支两条线”管理，分账核算、分别计息、专款专用，各险种基金不得相互挤占和调剂；是否严格执行基金支付审批预警机制，是否建立并执行财务与业务部门，财务与银行、财政等部门定期对账制度;领取待遇银行账户信息维护和变更是否实行双岗复核，并与财务结算岗相分离。</w:t>
      </w:r>
    </w:p>
    <w:p w14:paraId="54D161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信息系统控制：是否实现企业职工保险信息系统与银行、税务等信息系统实时对接；是否将所有经办事项、经办环节纳入企业职工保险信息系统管理；企业职工保险经办人员是否使用电子社保卡扫码、数字证书或其他生物识别技术认证方式实名实人登录企业职工保险信息系统，同一工作人员是否同时拥有两个及两个以上的用户账号；系统管理员、安全员、操作员是否实现“三员”分立；系统维护人员、稽核内控人员是否拥业务办理权限；</w:t>
      </w:r>
    </w:p>
    <w:p w14:paraId="61F0DF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100" w:name="_Toc22207"/>
      <w:bookmarkStart w:id="101" w:name="_Toc24846"/>
      <w:bookmarkStart w:id="102" w:name="_Toc23751"/>
      <w:bookmarkStart w:id="103" w:name="_Toc50"/>
      <w:bookmarkStart w:id="104" w:name="_Toc29007"/>
      <w:r>
        <w:rPr>
          <w:rFonts w:hint="eastAsia" w:ascii="宋体" w:hAnsi="宋体" w:eastAsia="宋体" w:cs="宋体"/>
          <w:color w:val="auto"/>
          <w:sz w:val="24"/>
          <w:szCs w:val="24"/>
          <w:highlight w:val="none"/>
          <w:lang w:val="en-US" w:eastAsia="zh-CN"/>
        </w:rPr>
        <w:t>5、内部控制监督检查</w:t>
      </w:r>
      <w:bookmarkEnd w:id="100"/>
      <w:bookmarkEnd w:id="101"/>
      <w:bookmarkEnd w:id="102"/>
      <w:bookmarkEnd w:id="103"/>
      <w:bookmarkEnd w:id="104"/>
      <w:r>
        <w:rPr>
          <w:rFonts w:hint="eastAsia" w:ascii="宋体" w:hAnsi="宋体" w:eastAsia="宋体" w:cs="宋体"/>
          <w:color w:val="auto"/>
          <w:sz w:val="24"/>
          <w:szCs w:val="24"/>
          <w:highlight w:val="none"/>
          <w:lang w:val="en-US" w:eastAsia="zh-CN"/>
        </w:rPr>
        <w:t>：各业务部门是否根据自身职责和权限按季对本部门履行职责的状况进行自查，形成自查报告，送内控部门，对自查发现的问题是否及时整改，并向内控部门反馈整改报告及相关佐证材料；稽核内控部门是否跟踪核实整改情况，报内部控制工作领导小组；内控部门是否组织开展日常、专项监督检查；内控部门是否组织各业务部门按年度开展内部控制评价工作；是否将评价结果与被评价部门的绩效考评等挂钩。</w:t>
      </w:r>
    </w:p>
    <w:p w14:paraId="19E4097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（四）历年审计整改情况。</w:t>
      </w:r>
    </w:p>
    <w:p w14:paraId="1D319C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检查以前年度审计发现的问题，是否得到纠正，被挤占挪用的基金是否按规定清理收回，是否存在整改不到位或反复的情况。</w:t>
      </w:r>
    </w:p>
    <w:p w14:paraId="4EBCA113">
      <w:pPr>
        <w:pageBreakBefore w:val="0"/>
        <w:kinsoku/>
        <w:wordWrap/>
        <w:overflowPunct/>
        <w:topLinePunct w:val="0"/>
        <w:bidi w:val="0"/>
        <w:spacing w:line="360" w:lineRule="auto"/>
        <w:ind w:left="0" w:firstLine="482" w:firstLineChars="200"/>
        <w:rPr>
          <w:rFonts w:hint="eastAsia" w:ascii="宋体" w:hAnsi="宋体" w:cs="宋体"/>
          <w:color w:val="auto"/>
          <w:sz w:val="24"/>
          <w:szCs w:val="24"/>
        </w:rPr>
      </w:pPr>
      <w:r>
        <w:rPr>
          <w:rFonts w:hint="eastAsia" w:ascii="宋体" w:hAnsi="宋体" w:cs="宋体"/>
          <w:b/>
          <w:bCs/>
          <w:color w:val="auto"/>
          <w:sz w:val="24"/>
          <w:szCs w:val="24"/>
        </w:rPr>
        <w:t>三、商务要求</w:t>
      </w:r>
      <w:r>
        <w:rPr>
          <w:rFonts w:hint="eastAsia" w:ascii="宋体" w:hAnsi="宋体" w:cs="宋体"/>
          <w:color w:val="auto"/>
          <w:sz w:val="24"/>
          <w:szCs w:val="24"/>
        </w:rPr>
        <w:t xml:space="preserve"> </w:t>
      </w:r>
    </w:p>
    <w:p w14:paraId="357C373C">
      <w:pPr>
        <w:pageBreakBefore w:val="0"/>
        <w:numPr>
          <w:ilvl w:val="0"/>
          <w:numId w:val="13"/>
        </w:numPr>
        <w:kinsoku/>
        <w:wordWrap/>
        <w:overflowPunct/>
        <w:topLinePunct w:val="0"/>
        <w:bidi w:val="0"/>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★报价要求</w:t>
      </w:r>
    </w:p>
    <w:p w14:paraId="795FD0C2">
      <w:pPr>
        <w:pageBreakBefore w:val="0"/>
        <w:numPr>
          <w:ilvl w:val="0"/>
          <w:numId w:val="14"/>
        </w:numPr>
        <w:kinsoku/>
        <w:wordWrap/>
        <w:overflowPunct/>
        <w:topLinePunct w:val="0"/>
        <w:bidi w:val="0"/>
        <w:spacing w:line="360" w:lineRule="auto"/>
        <w:ind w:left="0" w:leftChars="0" w:firstLine="480" w:firstLineChars="200"/>
        <w:rPr>
          <w:rFonts w:hint="eastAsia" w:ascii="宋体" w:hAnsi="宋体" w:cs="宋体"/>
          <w:color w:val="auto"/>
          <w:sz w:val="24"/>
          <w:szCs w:val="24"/>
        </w:rPr>
      </w:pPr>
      <w:r>
        <w:rPr>
          <w:rFonts w:hint="eastAsia" w:ascii="宋体" w:hAnsi="宋体" w:cs="宋体"/>
          <w:color w:val="auto"/>
          <w:sz w:val="24"/>
          <w:szCs w:val="24"/>
        </w:rPr>
        <w:t>总报价应包括各种人力成本、设备成本、资料费、服务费、税费及合同实施过程中的所有费用。</w:t>
      </w:r>
    </w:p>
    <w:p w14:paraId="6BD8AC1E">
      <w:pPr>
        <w:pageBreakBefore w:val="0"/>
        <w:kinsoku/>
        <w:wordWrap/>
        <w:overflowPunct/>
        <w:topLinePunct w:val="0"/>
        <w:bidi w:val="0"/>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2、报价不能超过该项目的最高限价，须精确到小数点后两位，如未按要求报价则为无效投标文件处理。</w:t>
      </w:r>
    </w:p>
    <w:p w14:paraId="724FEEA9">
      <w:pPr>
        <w:pageBreakBefore w:val="0"/>
        <w:numPr>
          <w:ilvl w:val="0"/>
          <w:numId w:val="13"/>
        </w:numPr>
        <w:kinsoku/>
        <w:wordWrap/>
        <w:overflowPunct/>
        <w:topLinePunct w:val="0"/>
        <w:bidi w:val="0"/>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投标报价风险</w:t>
      </w:r>
    </w:p>
    <w:p w14:paraId="7F83BBA8">
      <w:pPr>
        <w:pageBreakBefore w:val="0"/>
        <w:kinsoku/>
        <w:wordWrap/>
        <w:overflowPunct/>
        <w:topLinePunct w:val="0"/>
        <w:bidi w:val="0"/>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★投标报价已包含完成本项目所需的人力成本、投入成本、利润、税金、交通、中标服务费及其他相关费用等，采购人将不予支付除招标文件及承包合同约定的由投标人承担的风险因素之外的任何补偿。</w:t>
      </w:r>
    </w:p>
    <w:p w14:paraId="7BC31C61">
      <w:pPr>
        <w:pStyle w:val="11"/>
        <w:pageBreakBefore w:val="0"/>
        <w:kinsoku/>
        <w:wordWrap/>
        <w:overflowPunct/>
        <w:topLinePunct w:val="0"/>
        <w:bidi w:val="0"/>
        <w:adjustRightInd w:val="0"/>
        <w:spacing w:line="360" w:lineRule="auto"/>
        <w:ind w:left="0" w:firstLine="480" w:firstLineChars="200"/>
        <w:textAlignment w:val="baseline"/>
        <w:rPr>
          <w:rFonts w:hint="eastAsia" w:ascii="宋体" w:hAnsi="宋体" w:cs="宋体"/>
          <w:color w:val="auto"/>
          <w:szCs w:val="24"/>
        </w:rPr>
      </w:pPr>
      <w:r>
        <w:rPr>
          <w:rFonts w:hint="eastAsia" w:ascii="宋体" w:hAnsi="宋体" w:cs="宋体"/>
          <w:color w:val="auto"/>
          <w:szCs w:val="24"/>
        </w:rPr>
        <w:t>本项目周围环境等客观因素对项目实施影响巨大，难以将具体情况描述到位，投标人可通过自行现场踏勘掌握本项目的客观资料，便于制定科学的实施方案和风险分析，也可以准确拟定投标价格标准。投标人因未进行现场踏勘影响投标报价、方案编制的，由投标人自行承担。</w:t>
      </w:r>
    </w:p>
    <w:p w14:paraId="0724BB4A">
      <w:pPr>
        <w:pageBreakBefore w:val="0"/>
        <w:numPr>
          <w:ilvl w:val="0"/>
          <w:numId w:val="13"/>
        </w:numPr>
        <w:kinsoku/>
        <w:wordWrap/>
        <w:overflowPunct/>
        <w:topLinePunct w:val="0"/>
        <w:bidi w:val="0"/>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管理要求</w:t>
      </w:r>
    </w:p>
    <w:p w14:paraId="2731B7B6">
      <w:pPr>
        <w:pStyle w:val="5"/>
        <w:pageBreakBefore w:val="0"/>
        <w:tabs>
          <w:tab w:val="left" w:pos="1281"/>
        </w:tabs>
        <w:kinsoku/>
        <w:wordWrap/>
        <w:overflowPunct/>
        <w:topLinePunct w:val="0"/>
        <w:bidi w:val="0"/>
        <w:spacing w:before="0" w:after="0" w:line="360" w:lineRule="auto"/>
        <w:ind w:lef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★成交供应商不得将本项目的全部或任何部分分包和转包给他人，如在项目实施过程中，经采购人发现有此情况，采购人有权终止合同，由此造成的责任由成交供应商负责。（响应时须提供承诺函 ，格式自定）</w:t>
      </w:r>
    </w:p>
    <w:p w14:paraId="396192F1">
      <w:pPr>
        <w:pStyle w:val="61"/>
        <w:pageBreakBefore w:val="0"/>
        <w:tabs>
          <w:tab w:val="left" w:pos="1281"/>
        </w:tabs>
        <w:kinsoku/>
        <w:wordWrap/>
        <w:overflowPunct/>
        <w:topLinePunct w:val="0"/>
        <w:bidi w:val="0"/>
        <w:spacing w:line="360" w:lineRule="auto"/>
        <w:ind w:left="0" w:firstLine="480" w:firstLineChars="200"/>
        <w:jc w:val="left"/>
        <w:rPr>
          <w:rFonts w:hint="eastAsia"/>
          <w:color w:val="auto"/>
          <w:sz w:val="24"/>
          <w:szCs w:val="24"/>
          <w:lang w:val="en-US" w:bidi="ar-SA"/>
        </w:rPr>
      </w:pPr>
      <w:r>
        <w:rPr>
          <w:rFonts w:hint="eastAsia"/>
          <w:color w:val="auto"/>
          <w:sz w:val="24"/>
          <w:szCs w:val="24"/>
          <w:lang w:val="en-US" w:bidi="ar-SA"/>
        </w:rPr>
        <w:t>付款方式</w:t>
      </w:r>
    </w:p>
    <w:p w14:paraId="6F4EE883">
      <w:pPr>
        <w:pStyle w:val="61"/>
        <w:pageBreakBefore w:val="0"/>
        <w:tabs>
          <w:tab w:val="left" w:pos="1281"/>
        </w:tabs>
        <w:kinsoku/>
        <w:wordWrap/>
        <w:overflowPunct/>
        <w:topLinePunct w:val="0"/>
        <w:bidi w:val="0"/>
        <w:spacing w:line="360" w:lineRule="auto"/>
        <w:ind w:left="0" w:firstLine="480" w:firstLineChars="200"/>
        <w:jc w:val="left"/>
        <w:rPr>
          <w:rFonts w:hint="eastAsia"/>
          <w:color w:val="auto"/>
          <w:sz w:val="24"/>
          <w:szCs w:val="24"/>
          <w:lang w:val="en-US" w:bidi="ar-SA"/>
        </w:rPr>
      </w:pPr>
      <w:r>
        <w:rPr>
          <w:rFonts w:hint="eastAsia"/>
          <w:color w:val="auto"/>
          <w:sz w:val="24"/>
          <w:szCs w:val="24"/>
          <w:lang w:val="en-US" w:bidi="ar-SA"/>
        </w:rPr>
        <w:t>合同签订10个工作日内付合同金额80%，剩余20%根据项目进度支付；</w:t>
      </w:r>
    </w:p>
    <w:p w14:paraId="413AD5F0">
      <w:pPr>
        <w:pStyle w:val="61"/>
        <w:pageBreakBefore w:val="0"/>
        <w:tabs>
          <w:tab w:val="left" w:pos="1281"/>
        </w:tabs>
        <w:kinsoku/>
        <w:wordWrap/>
        <w:overflowPunct/>
        <w:topLinePunct w:val="0"/>
        <w:bidi w:val="0"/>
        <w:spacing w:line="360" w:lineRule="auto"/>
        <w:ind w:left="0" w:firstLine="480" w:firstLineChars="200"/>
        <w:jc w:val="left"/>
        <w:rPr>
          <w:rFonts w:hint="eastAsia"/>
          <w:color w:val="auto"/>
          <w:sz w:val="24"/>
          <w:szCs w:val="24"/>
          <w:lang w:val="en-US" w:bidi="ar-SA"/>
        </w:rPr>
      </w:pPr>
      <w:r>
        <w:rPr>
          <w:rFonts w:hint="eastAsia"/>
          <w:color w:val="auto"/>
          <w:sz w:val="24"/>
          <w:szCs w:val="24"/>
          <w:lang w:val="en-US" w:bidi="ar-SA"/>
        </w:rPr>
        <w:t>中标人凭以下有效文件与采购人结算：</w:t>
      </w:r>
    </w:p>
    <w:p w14:paraId="092E24D8">
      <w:pPr>
        <w:pStyle w:val="61"/>
        <w:pageBreakBefore w:val="0"/>
        <w:tabs>
          <w:tab w:val="left" w:pos="1281"/>
        </w:tabs>
        <w:kinsoku/>
        <w:wordWrap/>
        <w:overflowPunct/>
        <w:topLinePunct w:val="0"/>
        <w:bidi w:val="0"/>
        <w:spacing w:line="360" w:lineRule="auto"/>
        <w:ind w:left="0" w:firstLine="480" w:firstLineChars="200"/>
        <w:jc w:val="left"/>
        <w:rPr>
          <w:rFonts w:hint="eastAsia"/>
          <w:color w:val="auto"/>
          <w:sz w:val="24"/>
          <w:szCs w:val="24"/>
          <w:lang w:val="en-US" w:bidi="ar-SA"/>
        </w:rPr>
      </w:pPr>
      <w:r>
        <w:rPr>
          <w:rFonts w:hint="eastAsia"/>
          <w:color w:val="auto"/>
          <w:sz w:val="24"/>
          <w:szCs w:val="24"/>
          <w:lang w:val="en-US" w:bidi="ar-SA"/>
        </w:rPr>
        <w:t>合同；</w:t>
      </w:r>
    </w:p>
    <w:p w14:paraId="4A481EFA">
      <w:pPr>
        <w:pStyle w:val="61"/>
        <w:pageBreakBefore w:val="0"/>
        <w:tabs>
          <w:tab w:val="left" w:pos="1281"/>
        </w:tabs>
        <w:kinsoku/>
        <w:wordWrap/>
        <w:overflowPunct/>
        <w:topLinePunct w:val="0"/>
        <w:bidi w:val="0"/>
        <w:spacing w:line="360" w:lineRule="auto"/>
        <w:ind w:left="0" w:firstLine="480" w:firstLineChars="200"/>
        <w:jc w:val="left"/>
        <w:rPr>
          <w:rFonts w:hint="eastAsia"/>
          <w:color w:val="auto"/>
          <w:sz w:val="24"/>
          <w:szCs w:val="24"/>
          <w:lang w:val="en-US" w:bidi="ar-SA"/>
        </w:rPr>
      </w:pPr>
      <w:r>
        <w:rPr>
          <w:rFonts w:hint="eastAsia"/>
          <w:color w:val="auto"/>
          <w:sz w:val="24"/>
          <w:szCs w:val="24"/>
          <w:lang w:val="en-US" w:bidi="ar-SA"/>
        </w:rPr>
        <w:t>中标人开具的正式发票；</w:t>
      </w:r>
    </w:p>
    <w:p w14:paraId="4BD9329D">
      <w:pPr>
        <w:pStyle w:val="61"/>
        <w:pageBreakBefore w:val="0"/>
        <w:tabs>
          <w:tab w:val="left" w:pos="1281"/>
        </w:tabs>
        <w:kinsoku/>
        <w:wordWrap/>
        <w:overflowPunct/>
        <w:topLinePunct w:val="0"/>
        <w:bidi w:val="0"/>
        <w:spacing w:line="360" w:lineRule="auto"/>
        <w:ind w:left="0" w:firstLine="480" w:firstLineChars="200"/>
        <w:jc w:val="left"/>
        <w:rPr>
          <w:rFonts w:hint="eastAsia"/>
          <w:color w:val="auto"/>
          <w:sz w:val="24"/>
          <w:szCs w:val="24"/>
          <w:lang w:val="en-US" w:bidi="ar-SA"/>
        </w:rPr>
      </w:pPr>
      <w:r>
        <w:rPr>
          <w:rFonts w:hint="eastAsia"/>
          <w:color w:val="auto"/>
          <w:sz w:val="24"/>
          <w:szCs w:val="24"/>
          <w:lang w:val="en-US" w:bidi="ar-SA"/>
        </w:rPr>
        <w:t>中标通知书。</w:t>
      </w:r>
    </w:p>
    <w:p w14:paraId="66778A0C">
      <w:pPr>
        <w:pStyle w:val="61"/>
        <w:pageBreakBefore w:val="0"/>
        <w:tabs>
          <w:tab w:val="left" w:pos="1281"/>
        </w:tabs>
        <w:kinsoku/>
        <w:wordWrap/>
        <w:overflowPunct/>
        <w:topLinePunct w:val="0"/>
        <w:bidi w:val="0"/>
        <w:spacing w:line="360" w:lineRule="auto"/>
        <w:ind w:left="0" w:firstLine="480" w:firstLineChars="200"/>
        <w:jc w:val="left"/>
        <w:rPr>
          <w:rFonts w:hint="eastAsia"/>
          <w:color w:val="auto"/>
          <w:sz w:val="24"/>
          <w:szCs w:val="24"/>
          <w:lang w:val="en-US" w:bidi="ar-SA"/>
        </w:rPr>
      </w:pPr>
      <w:r>
        <w:rPr>
          <w:rFonts w:hint="eastAsia"/>
          <w:color w:val="auto"/>
          <w:sz w:val="24"/>
          <w:szCs w:val="24"/>
          <w:lang w:val="en-US" w:bidi="ar-SA"/>
        </w:rPr>
        <w:t>★备注：因采购人使用的是财政资金，采购人在前款规定的付款时间为向政府采购支付部门提出办理财政支付申请手续的时间（不含政府财政支付部门审核的时间），在规定时间内提出支付申请手续后即视为采购人已经按期支付。本项目为连续服务项目，中标供应商不得因财政拨付资金不到位而停止服务，须在投标文件中针对此提供书面承诺函。</w:t>
      </w:r>
    </w:p>
    <w:p w14:paraId="12F7E679">
      <w:pPr>
        <w:pageBreakBefore w:val="0"/>
        <w:numPr>
          <w:ilvl w:val="0"/>
          <w:numId w:val="13"/>
        </w:numPr>
        <w:kinsoku/>
        <w:wordWrap/>
        <w:overflowPunct/>
        <w:topLinePunct w:val="0"/>
        <w:bidi w:val="0"/>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履约保证金</w:t>
      </w:r>
    </w:p>
    <w:p w14:paraId="4B5169F3">
      <w:pPr>
        <w:pageBreakBefore w:val="0"/>
        <w:kinsoku/>
        <w:wordWrap/>
        <w:overflowPunct/>
        <w:topLinePunct w:val="0"/>
        <w:bidi w:val="0"/>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无。</w:t>
      </w:r>
    </w:p>
    <w:p w14:paraId="0D5A7FC0">
      <w:pPr>
        <w:pageBreakBefore w:val="0"/>
        <w:numPr>
          <w:ilvl w:val="0"/>
          <w:numId w:val="13"/>
        </w:numPr>
        <w:kinsoku/>
        <w:wordWrap/>
        <w:overflowPunct/>
        <w:topLinePunct w:val="0"/>
        <w:bidi w:val="0"/>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其他</w:t>
      </w:r>
    </w:p>
    <w:p w14:paraId="63E38E83">
      <w:pPr>
        <w:keepNext w:val="0"/>
        <w:keepLines w:val="0"/>
        <w:pageBreakBefore w:val="0"/>
        <w:kinsoku/>
        <w:wordWrap/>
        <w:overflowPunct/>
        <w:topLinePunct w:val="0"/>
        <w:bidi w:val="0"/>
        <w:spacing w:line="360" w:lineRule="auto"/>
        <w:ind w:lef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★为确保本项目顺利完成，供应商必须承诺：承诺在中标后所投入的专业技术人员为本企业项目工期要求人专业技术人员，并与投标文件提供的专业技术人员一致的承诺书。</w:t>
      </w:r>
      <w:bookmarkStart w:id="105" w:name="_Toc40707973"/>
      <w:bookmarkStart w:id="106" w:name="_Toc28027334"/>
      <w:bookmarkStart w:id="107" w:name="_Toc21881156"/>
      <w:bookmarkStart w:id="108" w:name="_Toc37256331"/>
      <w:bookmarkStart w:id="109" w:name="_Toc40204644"/>
      <w:bookmarkStart w:id="110" w:name="_Toc34774407"/>
      <w:bookmarkStart w:id="111" w:name="_Toc20305409"/>
      <w:bookmarkStart w:id="112" w:name="_Toc34315577"/>
    </w:p>
    <w:bookmarkEnd w:id="105"/>
    <w:bookmarkEnd w:id="106"/>
    <w:bookmarkEnd w:id="107"/>
    <w:bookmarkEnd w:id="108"/>
    <w:bookmarkEnd w:id="109"/>
    <w:bookmarkEnd w:id="110"/>
    <w:bookmarkEnd w:id="111"/>
    <w:bookmarkEnd w:id="112"/>
    <w:p w14:paraId="2BDF2669">
      <w:pPr>
        <w:keepNext w:val="0"/>
        <w:keepLines w:val="0"/>
        <w:pageBreakBefore w:val="0"/>
        <w:widowControl/>
        <w:tabs>
          <w:tab w:val="left" w:pos="360"/>
          <w:tab w:val="left" w:pos="1030"/>
        </w:tabs>
        <w:kinsoku/>
        <w:wordWrap/>
        <w:overflowPunct/>
        <w:topLinePunct w:val="0"/>
        <w:bidi w:val="0"/>
        <w:snapToGrid w:val="0"/>
        <w:spacing w:line="360" w:lineRule="auto"/>
        <w:ind w:left="0" w:firstLine="482" w:firstLineChars="200"/>
        <w:textAlignment w:val="auto"/>
        <w:rPr>
          <w:rFonts w:hint="eastAsia" w:ascii="宋体" w:hAnsi="宋体" w:cs="宋体"/>
          <w:b/>
          <w:bCs/>
          <w:color w:val="auto"/>
          <w:sz w:val="24"/>
          <w:szCs w:val="24"/>
        </w:rPr>
      </w:pPr>
      <w:bookmarkStart w:id="113" w:name="五、违约责任"/>
      <w:bookmarkEnd w:id="113"/>
      <w:r>
        <w:rPr>
          <w:rFonts w:hint="eastAsia" w:ascii="宋体" w:hAnsi="宋体" w:cs="宋体"/>
          <w:b/>
          <w:bCs/>
          <w:color w:val="auto"/>
          <w:sz w:val="24"/>
          <w:szCs w:val="24"/>
        </w:rPr>
        <w:t>四、违约责任</w:t>
      </w:r>
    </w:p>
    <w:p w14:paraId="2AD1566C">
      <w:pPr>
        <w:keepNext w:val="0"/>
        <w:keepLines w:val="0"/>
        <w:pageBreakBefore w:val="0"/>
        <w:widowControl/>
        <w:tabs>
          <w:tab w:val="left" w:pos="360"/>
          <w:tab w:val="left" w:pos="1030"/>
        </w:tabs>
        <w:kinsoku/>
        <w:wordWrap/>
        <w:overflowPunct/>
        <w:topLinePunct w:val="0"/>
        <w:bidi w:val="0"/>
        <w:snapToGrid w:val="0"/>
        <w:spacing w:line="360" w:lineRule="auto"/>
        <w:ind w:lef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在执行项目过程中如出现下列情形，采购人有权即时终止合同并要求中标人赔偿损失：</w:t>
      </w:r>
    </w:p>
    <w:p w14:paraId="3BED43A1">
      <w:pPr>
        <w:keepNext w:val="0"/>
        <w:keepLines w:val="0"/>
        <w:pageBreakBefore w:val="0"/>
        <w:widowControl/>
        <w:tabs>
          <w:tab w:val="left" w:pos="360"/>
          <w:tab w:val="left" w:pos="1030"/>
        </w:tabs>
        <w:kinsoku/>
        <w:wordWrap/>
        <w:overflowPunct/>
        <w:topLinePunct w:val="0"/>
        <w:bidi w:val="0"/>
        <w:snapToGrid w:val="0"/>
        <w:spacing w:line="360" w:lineRule="auto"/>
        <w:ind w:lef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中标人未能按合同规定的时间提供服务逾期半个月以上的，采购人除有权提前终止合同外，每逾期一天，由此造成的采购人经济损失由中标人承担；</w:t>
      </w:r>
    </w:p>
    <w:p w14:paraId="18483B87">
      <w:pPr>
        <w:keepNext w:val="0"/>
        <w:keepLines w:val="0"/>
        <w:pageBreakBefore w:val="0"/>
        <w:widowControl/>
        <w:tabs>
          <w:tab w:val="left" w:pos="360"/>
          <w:tab w:val="left" w:pos="1030"/>
        </w:tabs>
        <w:kinsoku/>
        <w:wordWrap/>
        <w:overflowPunct/>
        <w:topLinePunct w:val="0"/>
        <w:bidi w:val="0"/>
        <w:snapToGrid w:val="0"/>
        <w:spacing w:line="360" w:lineRule="auto"/>
        <w:ind w:lef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中标人在合同履行期间，除法律另行规定外，未经采购人同意，将采购人提供的资料泄外，并在社会上造成不良影响及严重后果的。采购人有权终止合同，由此造成的采购人经济损失由中标人承担；</w:t>
      </w:r>
    </w:p>
    <w:p w14:paraId="26205AD3">
      <w:pPr>
        <w:keepNext w:val="0"/>
        <w:keepLines w:val="0"/>
        <w:pageBreakBefore w:val="0"/>
        <w:widowControl/>
        <w:tabs>
          <w:tab w:val="left" w:pos="360"/>
          <w:tab w:val="left" w:pos="1030"/>
        </w:tabs>
        <w:kinsoku/>
        <w:wordWrap/>
        <w:overflowPunct/>
        <w:topLinePunct w:val="0"/>
        <w:bidi w:val="0"/>
        <w:snapToGrid w:val="0"/>
        <w:spacing w:line="360" w:lineRule="auto"/>
        <w:ind w:lef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中标人提供的法务服务不符合招标文件及其投标承诺， 经过整改后仍未能满足相关规定的，采购人有权终止合同， 由此造成的采购人经济损失由中标人承担。</w:t>
      </w:r>
    </w:p>
    <w:p w14:paraId="42490DA5">
      <w:pPr>
        <w:keepNext w:val="0"/>
        <w:keepLines w:val="0"/>
        <w:pageBreakBefore w:val="0"/>
        <w:widowControl/>
        <w:tabs>
          <w:tab w:val="left" w:pos="360"/>
          <w:tab w:val="left" w:pos="1030"/>
        </w:tabs>
        <w:kinsoku/>
        <w:wordWrap/>
        <w:overflowPunct/>
        <w:topLinePunct w:val="0"/>
        <w:bidi w:val="0"/>
        <w:snapToGrid w:val="0"/>
        <w:spacing w:line="360" w:lineRule="auto"/>
        <w:ind w:lef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中标人出现上述情形的，采购人有权要求中标人按合同5%支付违约金。</w:t>
      </w:r>
    </w:p>
    <w:p w14:paraId="079D473D">
      <w:pPr>
        <w:keepNext w:val="0"/>
        <w:keepLines w:val="0"/>
        <w:pageBreakBefore w:val="0"/>
        <w:kinsoku/>
        <w:wordWrap/>
        <w:overflowPunct/>
        <w:topLinePunct w:val="0"/>
        <w:autoSpaceDE w:val="0"/>
        <w:autoSpaceDN w:val="0"/>
        <w:bidi w:val="0"/>
        <w:adjustRightInd w:val="0"/>
        <w:snapToGrid w:val="0"/>
        <w:spacing w:line="360" w:lineRule="auto"/>
        <w:ind w:left="0" w:firstLine="480" w:firstLineChars="200"/>
        <w:textAlignment w:val="auto"/>
        <w:outlineLvl w:val="0"/>
        <w:rPr>
          <w:rFonts w:hint="eastAsia" w:ascii="宋体" w:hAnsi="宋体" w:cs="宋体"/>
          <w:color w:val="auto"/>
          <w:sz w:val="24"/>
          <w:szCs w:val="24"/>
        </w:rPr>
      </w:pPr>
      <w:bookmarkStart w:id="114" w:name="_Toc1956"/>
      <w:r>
        <w:rPr>
          <w:rFonts w:hint="eastAsia" w:ascii="宋体" w:hAnsi="宋体" w:cs="宋体"/>
          <w:color w:val="auto"/>
          <w:sz w:val="24"/>
          <w:szCs w:val="24"/>
        </w:rPr>
        <w:t>其它违约责任按《中华人民共和国合同法》处理。</w:t>
      </w:r>
      <w:bookmarkEnd w:id="114"/>
    </w:p>
    <w:p w14:paraId="37C2AFE6">
      <w:pPr>
        <w:keepNext w:val="0"/>
        <w:keepLines w:val="0"/>
        <w:pageBreakBefore w:val="0"/>
        <w:kinsoku/>
        <w:wordWrap/>
        <w:overflowPunct/>
        <w:topLinePunct w:val="0"/>
        <w:autoSpaceDE w:val="0"/>
        <w:autoSpaceDN w:val="0"/>
        <w:bidi w:val="0"/>
        <w:adjustRightInd w:val="0"/>
        <w:snapToGrid w:val="0"/>
        <w:spacing w:line="360" w:lineRule="auto"/>
        <w:ind w:left="0" w:firstLine="480" w:firstLineChars="200"/>
        <w:textAlignment w:val="auto"/>
        <w:outlineLvl w:val="0"/>
        <w:rPr>
          <w:rFonts w:hint="eastAsia" w:ascii="宋体" w:hAnsi="宋体" w:cs="宋体"/>
          <w:color w:val="auto"/>
          <w:sz w:val="24"/>
          <w:szCs w:val="24"/>
        </w:rPr>
      </w:pPr>
      <w:bookmarkStart w:id="115" w:name="_Toc32212"/>
      <w:r>
        <w:rPr>
          <w:rFonts w:hint="eastAsia" w:ascii="宋体" w:hAnsi="宋体" w:cs="宋体"/>
          <w:color w:val="auto"/>
          <w:sz w:val="24"/>
          <w:szCs w:val="24"/>
        </w:rPr>
        <w:t>争端的解决∶ 合同执行过程中发生的任何争议，如双方不能通过友好协商解决，按相关法律法规处理。</w:t>
      </w:r>
      <w:bookmarkEnd w:id="115"/>
    </w:p>
    <w:p w14:paraId="42E2E1FF">
      <w:pPr>
        <w:keepNext w:val="0"/>
        <w:keepLines w:val="0"/>
        <w:pageBreakBefore w:val="0"/>
        <w:kinsoku/>
        <w:wordWrap/>
        <w:overflowPunct/>
        <w:topLinePunct w:val="0"/>
        <w:autoSpaceDE w:val="0"/>
        <w:autoSpaceDN w:val="0"/>
        <w:bidi w:val="0"/>
        <w:adjustRightInd w:val="0"/>
        <w:snapToGrid w:val="0"/>
        <w:spacing w:line="360" w:lineRule="auto"/>
        <w:ind w:left="0" w:firstLine="480" w:firstLineChars="200"/>
        <w:textAlignment w:val="auto"/>
        <w:outlineLvl w:val="0"/>
        <w:rPr>
          <w:rFonts w:hint="eastAsia" w:ascii="宋体" w:hAnsi="宋体" w:cs="宋体"/>
          <w:color w:val="auto"/>
          <w:sz w:val="24"/>
          <w:szCs w:val="24"/>
        </w:rPr>
      </w:pPr>
      <w:bookmarkStart w:id="116" w:name="_Toc30389"/>
      <w:r>
        <w:rPr>
          <w:rFonts w:hint="eastAsia" w:ascii="宋体" w:hAnsi="宋体" w:cs="宋体"/>
          <w:color w:val="auto"/>
          <w:sz w:val="24"/>
          <w:szCs w:val="24"/>
        </w:rPr>
        <w:t>不可抗力∶任何一方由于不可抗力原因不能履行合同时，应在不可抗力事件结束后1 日内向对方通报，以减轻可能给对方造成的损失，在取得有关机构的不可抗力证明或双方谅解确认后，允许延期履行或修订合同，并根据情况可部分或全部免于承担违约责任。</w:t>
      </w:r>
      <w:bookmarkEnd w:id="116"/>
    </w:p>
    <w:p w14:paraId="1504CC81">
      <w:pPr>
        <w:keepNext w:val="0"/>
        <w:keepLines w:val="0"/>
        <w:pageBreakBefore w:val="0"/>
        <w:kinsoku/>
        <w:wordWrap/>
        <w:overflowPunct/>
        <w:topLinePunct w:val="0"/>
        <w:autoSpaceDE w:val="0"/>
        <w:autoSpaceDN w:val="0"/>
        <w:bidi w:val="0"/>
        <w:adjustRightInd w:val="0"/>
        <w:snapToGrid w:val="0"/>
        <w:spacing w:line="360" w:lineRule="auto"/>
        <w:ind w:left="0" w:firstLine="480" w:firstLineChars="200"/>
        <w:textAlignment w:val="auto"/>
        <w:outlineLvl w:val="0"/>
        <w:rPr>
          <w:rFonts w:hint="eastAsia" w:ascii="宋体" w:hAnsi="宋体" w:cs="宋体"/>
          <w:b/>
          <w:bCs/>
          <w:color w:val="auto"/>
          <w:sz w:val="24"/>
          <w:szCs w:val="24"/>
        </w:rPr>
      </w:pPr>
      <w:r>
        <w:rPr>
          <w:rFonts w:hint="eastAsia" w:ascii="宋体" w:hAnsi="宋体" w:cs="宋体"/>
          <w:color w:val="auto"/>
          <w:sz w:val="24"/>
          <w:szCs w:val="24"/>
        </w:rPr>
        <w:t xml:space="preserve">   </w:t>
      </w:r>
      <w:bookmarkStart w:id="117" w:name="_Toc26163"/>
      <w:r>
        <w:rPr>
          <w:rFonts w:hint="eastAsia" w:ascii="宋体" w:hAnsi="宋体" w:cs="宋体"/>
          <w:b/>
          <w:bCs/>
          <w:color w:val="auto"/>
          <w:sz w:val="24"/>
          <w:szCs w:val="24"/>
        </w:rPr>
        <w:t>★五、诚信履约</w:t>
      </w:r>
      <w:bookmarkEnd w:id="117"/>
    </w:p>
    <w:p w14:paraId="742634AC">
      <w:pPr>
        <w:keepNext w:val="0"/>
        <w:keepLines w:val="0"/>
        <w:pageBreakBefore w:val="0"/>
        <w:kinsoku/>
        <w:wordWrap/>
        <w:overflowPunct/>
        <w:topLinePunct w:val="0"/>
        <w:autoSpaceDE w:val="0"/>
        <w:autoSpaceDN w:val="0"/>
        <w:bidi w:val="0"/>
        <w:adjustRightInd w:val="0"/>
        <w:snapToGrid w:val="0"/>
        <w:spacing w:line="360" w:lineRule="auto"/>
        <w:ind w:left="0" w:firstLine="480" w:firstLineChars="200"/>
        <w:textAlignment w:val="auto"/>
        <w:outlineLvl w:val="0"/>
        <w:rPr>
          <w:rFonts w:hint="eastAsia" w:ascii="宋体" w:hAnsi="宋体" w:cs="宋体"/>
          <w:color w:val="auto"/>
          <w:sz w:val="24"/>
          <w:szCs w:val="24"/>
        </w:rPr>
      </w:pPr>
      <w:bookmarkStart w:id="118" w:name="_Toc1036"/>
      <w:r>
        <w:rPr>
          <w:rFonts w:hint="eastAsia" w:ascii="宋体" w:hAnsi="宋体" w:cs="宋体"/>
          <w:color w:val="auto"/>
          <w:sz w:val="24"/>
          <w:szCs w:val="24"/>
        </w:rPr>
        <w:t>诚信履约要求：（1）评标委员会认为此报价有可能影响产品质量或者不能诚信履约的，投标方的投标文件提供书面说明和成本清单等相关证明材料，评标委员会认定投标文件对此报价的书面说明或证明可以佐证此报价的产品质量和具有合理履约能力予以通过审查。报价人须在评标现场合理的时间内提供书面说明，书面说明材料必须按照国家财务会计制度的规定要求，逐项就供应商提供的货物、工程和服务的主营业务成本、税金及附加、销售费用、管理费用、财务费用等成本构成事项详细陈述，并由法定代表人或者其授权代表签字确认。报价人不能合理说明或者提供相关证明材料将被评标委员会认定为以低于成本报价竞标的，作无效投标处理。（简称“有效报价提示一”）</w:t>
      </w:r>
      <w:bookmarkEnd w:id="118"/>
    </w:p>
    <w:p w14:paraId="78BF9315">
      <w:pPr>
        <w:keepNext w:val="0"/>
        <w:keepLines w:val="0"/>
        <w:pageBreakBefore w:val="0"/>
        <w:kinsoku/>
        <w:wordWrap/>
        <w:overflowPunct/>
        <w:topLinePunct w:val="0"/>
        <w:autoSpaceDE w:val="0"/>
        <w:autoSpaceDN w:val="0"/>
        <w:bidi w:val="0"/>
        <w:adjustRightInd w:val="0"/>
        <w:snapToGrid w:val="0"/>
        <w:spacing w:line="360" w:lineRule="auto"/>
        <w:ind w:left="0" w:firstLine="480" w:firstLineChars="200"/>
        <w:textAlignment w:val="auto"/>
        <w:outlineLvl w:val="0"/>
        <w:rPr>
          <w:rFonts w:hint="eastAsia" w:ascii="宋体" w:hAnsi="宋体" w:cs="宋体"/>
          <w:color w:val="auto"/>
          <w:sz w:val="24"/>
          <w:szCs w:val="24"/>
        </w:rPr>
      </w:pPr>
      <w:bookmarkStart w:id="119" w:name="_Toc13688"/>
      <w:r>
        <w:rPr>
          <w:rFonts w:hint="eastAsia" w:ascii="宋体" w:hAnsi="宋体" w:cs="宋体"/>
          <w:color w:val="auto"/>
          <w:sz w:val="24"/>
          <w:szCs w:val="24"/>
        </w:rPr>
        <w:t>（2）评标委员会认为投标方的报价明显低于其他通过符合性审查投标方的报价，此情形是评标委员会根据市场竞争的现场情况来认为此报价有可能影响产品质量或者不能诚信履约的，投标方按评标委员的要求在评标现场合理的时间内提供书面说明，必要时提交相关证明材料。评标委员会认定投标方对此报价的书面说明或证明可以佐证此报价的产品质量和具有合理履约能力予以通过审查。（简称“有效报价提示二”）</w:t>
      </w:r>
      <w:bookmarkEnd w:id="119"/>
    </w:p>
    <w:p w14:paraId="687A7C58">
      <w:pPr>
        <w:keepNext w:val="0"/>
        <w:keepLines w:val="0"/>
        <w:pageBreakBefore w:val="0"/>
        <w:kinsoku/>
        <w:wordWrap/>
        <w:overflowPunct/>
        <w:topLinePunct w:val="0"/>
        <w:bidi w:val="0"/>
        <w:spacing w:line="360" w:lineRule="auto"/>
        <w:ind w:lef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投标方可以有预见地参照“有效报价提示一”情形的要求， 投标文件预先提供书面说明和成本清单等相关证明材料，也可以预先准备好书面说明和必要的相关证明材料。如果评标委员会认为此报价有可能影响产品质量或者不能诚信履约而要求投标方作出书面说明或必要时提交相关证明材料，投标方能够在评标现场合理的时间内提供。如果投标方不能证明其报价合理性的，评标委员会应当将其作为无效投标处理。</w:t>
      </w:r>
    </w:p>
    <w:p w14:paraId="3E013594">
      <w:pPr>
        <w:pageBreakBefore w:val="0"/>
        <w:kinsoku/>
        <w:wordWrap/>
        <w:overflowPunct/>
        <w:topLinePunct w:val="0"/>
        <w:bidi w:val="0"/>
        <w:spacing w:line="360" w:lineRule="auto"/>
        <w:ind w:left="0" w:firstLine="482" w:firstLineChars="200"/>
        <w:jc w:val="left"/>
        <w:rPr>
          <w:rFonts w:hint="eastAsia" w:ascii="宋体" w:hAnsi="宋体" w:cs="宋体"/>
          <w:b/>
          <w:bCs/>
          <w:color w:val="auto"/>
          <w:sz w:val="24"/>
          <w:szCs w:val="24"/>
        </w:rPr>
      </w:pPr>
      <w:r>
        <w:rPr>
          <w:rFonts w:hint="eastAsia" w:ascii="宋体" w:hAnsi="宋体" w:cs="宋体"/>
          <w:b/>
          <w:bCs/>
          <w:color w:val="auto"/>
          <w:sz w:val="24"/>
          <w:szCs w:val="24"/>
        </w:rPr>
        <w:t>六、替补候选人的设定与使用</w:t>
      </w:r>
    </w:p>
    <w:p w14:paraId="4F714109">
      <w:pPr>
        <w:pStyle w:val="62"/>
        <w:pageBreakBefore w:val="0"/>
        <w:kinsoku/>
        <w:wordWrap/>
        <w:overflowPunct/>
        <w:topLinePunct w:val="0"/>
        <w:bidi w:val="0"/>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位的投标供应商为中标供应商或依法重新招标。</w:t>
      </w:r>
    </w:p>
    <w:p w14:paraId="46D8E10B">
      <w:pPr>
        <w:pStyle w:val="11"/>
        <w:pageBreakBefore w:val="0"/>
        <w:kinsoku/>
        <w:wordWrap/>
        <w:overflowPunct/>
        <w:topLinePunct w:val="0"/>
        <w:bidi w:val="0"/>
        <w:spacing w:line="360" w:lineRule="auto"/>
        <w:ind w:left="0" w:firstLine="480" w:firstLineChars="200"/>
        <w:jc w:val="left"/>
        <w:outlineLvl w:val="0"/>
        <w:rPr>
          <w:rFonts w:hint="eastAsia" w:ascii="宋体" w:hAnsi="宋体" w:cs="宋体"/>
          <w:b/>
          <w:bCs/>
          <w:color w:val="auto"/>
          <w:szCs w:val="24"/>
        </w:rPr>
      </w:pPr>
      <w:bookmarkStart w:id="120" w:name="_Toc20609"/>
      <w:r>
        <w:rPr>
          <w:rFonts w:hint="eastAsia" w:ascii="宋体" w:hAnsi="宋体" w:cs="宋体"/>
          <w:color w:val="auto"/>
          <w:szCs w:val="24"/>
        </w:rPr>
        <w:t>2.★如果所有中标候选人均无法签订合同，采购人将依法重新招标或更改采购形式，对受影响的响应供应商不承担任何责任。</w:t>
      </w:r>
      <w:bookmarkEnd w:id="120"/>
    </w:p>
    <w:p w14:paraId="093E369F">
      <w:pPr>
        <w:rPr>
          <w:rFonts w:hint="eastAsia" w:ascii="宋体" w:hAnsi="宋体" w:cs="宋体"/>
          <w:b/>
          <w:bCs/>
          <w:color w:val="auto"/>
          <w:sz w:val="32"/>
          <w:szCs w:val="32"/>
        </w:rPr>
      </w:pPr>
      <w:r>
        <w:rPr>
          <w:rFonts w:hint="eastAsia" w:ascii="宋体" w:hAnsi="宋体" w:cs="宋体"/>
          <w:b/>
          <w:bCs/>
          <w:color w:val="auto"/>
          <w:sz w:val="32"/>
          <w:szCs w:val="32"/>
        </w:rPr>
        <w:br w:type="page"/>
      </w:r>
    </w:p>
    <w:p w14:paraId="32C21A26">
      <w:pPr>
        <w:pStyle w:val="2"/>
        <w:numPr>
          <w:ilvl w:val="0"/>
          <w:numId w:val="0"/>
        </w:numPr>
        <w:spacing w:line="360" w:lineRule="auto"/>
        <w:jc w:val="center"/>
        <w:rPr>
          <w:rFonts w:hint="eastAsia" w:ascii="宋体" w:hAnsi="宋体" w:cs="宋体"/>
          <w:bCs/>
          <w:color w:val="auto"/>
          <w:sz w:val="32"/>
          <w:szCs w:val="32"/>
        </w:rPr>
      </w:pPr>
      <w:bookmarkStart w:id="121" w:name="_Toc16621"/>
      <w:r>
        <w:rPr>
          <w:rFonts w:hint="eastAsia" w:ascii="宋体" w:hAnsi="宋体" w:cs="宋体"/>
          <w:bCs/>
          <w:color w:val="auto"/>
          <w:sz w:val="32"/>
          <w:szCs w:val="32"/>
        </w:rPr>
        <w:t>第四部分 合同条款及格式</w:t>
      </w:r>
      <w:bookmarkEnd w:id="96"/>
      <w:bookmarkEnd w:id="121"/>
    </w:p>
    <w:p w14:paraId="5B71F9F9">
      <w:pPr>
        <w:pStyle w:val="13"/>
        <w:spacing w:line="360" w:lineRule="auto"/>
        <w:ind w:firstLine="480" w:firstLineChars="200"/>
        <w:rPr>
          <w:rFonts w:hint="eastAsia" w:hAnsi="宋体" w:cs="宋体"/>
          <w:color w:val="auto"/>
          <w:sz w:val="24"/>
          <w:szCs w:val="24"/>
        </w:rPr>
      </w:pPr>
      <w:bookmarkStart w:id="122" w:name="_Toc372_WPSOffice_Level1"/>
      <w:bookmarkStart w:id="123" w:name="_Toc7342_WPSOffice_Level1"/>
      <w:bookmarkStart w:id="124" w:name="_Toc3044_WPSOffice_Level1"/>
      <w:bookmarkStart w:id="125" w:name="_Toc267301296"/>
      <w:bookmarkStart w:id="126" w:name="_Toc349637937"/>
      <w:bookmarkStart w:id="127" w:name="_Toc349573138"/>
      <w:bookmarkStart w:id="128" w:name="_Toc298240423"/>
      <w:bookmarkStart w:id="129" w:name="_Toc298240429"/>
      <w:bookmarkStart w:id="130" w:name="_Toc507690272"/>
      <w:bookmarkStart w:id="131" w:name="_Toc349637943"/>
      <w:bookmarkStart w:id="132" w:name="_Toc13252"/>
      <w:bookmarkStart w:id="133" w:name="_Toc349573144"/>
      <w:r>
        <w:rPr>
          <w:rFonts w:hint="eastAsia" w:hAnsi="宋体" w:cs="宋体"/>
          <w:color w:val="auto"/>
          <w:sz w:val="24"/>
          <w:szCs w:val="24"/>
        </w:rPr>
        <w:t>以下为中标后签定本项目合同的通用条款，中标人不得提出实质性的修改。关于专用条款将由采购人与中标人结合本项目具体情况协商后补充，但补充内容对竞争性磋商文件和投标文件以及通用条款，不得作实质性修改。</w:t>
      </w:r>
    </w:p>
    <w:p w14:paraId="3E8F9AF3">
      <w:pPr>
        <w:pStyle w:val="13"/>
        <w:rPr>
          <w:rFonts w:hint="eastAsia" w:hAnsi="宋体" w:cs="宋体"/>
          <w:color w:val="auto"/>
          <w:szCs w:val="21"/>
        </w:rPr>
      </w:pPr>
      <w:r>
        <w:rPr>
          <w:rFonts w:hint="eastAsia" w:hAnsi="宋体" w:cs="宋体"/>
          <w:color w:val="auto"/>
          <w:sz w:val="24"/>
          <w:szCs w:val="24"/>
        </w:rPr>
        <w:t xml:space="preserve"> </w:t>
      </w:r>
      <w:bookmarkEnd w:id="122"/>
      <w:bookmarkEnd w:id="123"/>
      <w:bookmarkEnd w:id="124"/>
    </w:p>
    <w:bookmarkEnd w:id="125"/>
    <w:bookmarkEnd w:id="126"/>
    <w:bookmarkEnd w:id="127"/>
    <w:bookmarkEnd w:id="128"/>
    <w:p w14:paraId="26383FC9">
      <w:pPr>
        <w:spacing w:line="360" w:lineRule="auto"/>
        <w:rPr>
          <w:rFonts w:hint="eastAsia" w:ascii="宋体" w:hAnsi="宋体" w:cs="宋体"/>
          <w:b/>
          <w:color w:val="auto"/>
          <w:sz w:val="44"/>
        </w:rPr>
      </w:pPr>
    </w:p>
    <w:p w14:paraId="56F3BDE3">
      <w:pPr>
        <w:spacing w:line="360" w:lineRule="auto"/>
        <w:rPr>
          <w:rFonts w:hint="eastAsia" w:ascii="宋体" w:hAnsi="宋体" w:cs="宋体"/>
          <w:color w:val="auto"/>
          <w:sz w:val="24"/>
          <w:szCs w:val="24"/>
        </w:rPr>
      </w:pPr>
      <w:r>
        <w:rPr>
          <w:rFonts w:hint="eastAsia" w:ascii="宋体" w:hAnsi="宋体" w:cs="宋体"/>
          <w:b/>
          <w:color w:val="auto"/>
          <w:sz w:val="44"/>
        </w:rPr>
        <w:t xml:space="preserve">   </w:t>
      </w:r>
      <w:r>
        <w:rPr>
          <w:rFonts w:hint="eastAsia" w:ascii="宋体" w:hAnsi="宋体" w:cs="宋体"/>
          <w:color w:val="auto"/>
          <w:sz w:val="24"/>
          <w:szCs w:val="24"/>
        </w:rPr>
        <w:t xml:space="preserve">项目名称：   </w:t>
      </w:r>
      <w:r>
        <w:rPr>
          <w:rFonts w:hint="eastAsia" w:ascii="宋体" w:hAnsi="宋体" w:cs="宋体"/>
          <w:b/>
          <w:bCs/>
          <w:color w:val="auto"/>
          <w:sz w:val="24"/>
          <w:szCs w:val="24"/>
          <w:u w:val="single"/>
        </w:rPr>
        <w:t xml:space="preserve">                               </w:t>
      </w:r>
    </w:p>
    <w:p w14:paraId="5FC88C53">
      <w:pPr>
        <w:spacing w:line="360" w:lineRule="auto"/>
        <w:jc w:val="center"/>
        <w:rPr>
          <w:rFonts w:hint="eastAsia" w:ascii="宋体" w:hAnsi="宋体" w:cs="宋体"/>
          <w:b/>
          <w:color w:val="auto"/>
          <w:sz w:val="24"/>
          <w:szCs w:val="24"/>
          <w:u w:val="single"/>
        </w:rPr>
      </w:pPr>
    </w:p>
    <w:p w14:paraId="2BBC2458">
      <w:pPr>
        <w:spacing w:line="360" w:lineRule="auto"/>
        <w:jc w:val="center"/>
        <w:rPr>
          <w:rFonts w:hint="eastAsia" w:ascii="宋体" w:hAnsi="宋体" w:cs="宋体"/>
          <w:b/>
          <w:color w:val="auto"/>
          <w:sz w:val="24"/>
          <w:szCs w:val="24"/>
        </w:rPr>
      </w:pPr>
    </w:p>
    <w:p w14:paraId="6BCB15CA">
      <w:pPr>
        <w:spacing w:line="360" w:lineRule="auto"/>
        <w:jc w:val="center"/>
        <w:rPr>
          <w:rFonts w:hint="eastAsia" w:ascii="宋体" w:hAnsi="宋体" w:cs="宋体"/>
          <w:b/>
          <w:color w:val="auto"/>
          <w:sz w:val="24"/>
          <w:szCs w:val="24"/>
        </w:rPr>
      </w:pPr>
    </w:p>
    <w:p w14:paraId="690FCDB5">
      <w:pPr>
        <w:spacing w:line="360" w:lineRule="auto"/>
        <w:jc w:val="center"/>
        <w:rPr>
          <w:rFonts w:hint="eastAsia" w:ascii="宋体" w:hAnsi="宋体" w:cs="宋体"/>
          <w:b/>
          <w:color w:val="auto"/>
          <w:sz w:val="24"/>
          <w:szCs w:val="24"/>
        </w:rPr>
      </w:pPr>
    </w:p>
    <w:p w14:paraId="1E53852D">
      <w:pPr>
        <w:pStyle w:val="11"/>
        <w:spacing w:line="360" w:lineRule="auto"/>
        <w:ind w:firstLine="425"/>
        <w:rPr>
          <w:rFonts w:hint="eastAsia" w:ascii="宋体" w:hAnsi="宋体" w:cs="宋体"/>
          <w:b/>
          <w:bCs/>
          <w:color w:val="auto"/>
          <w:szCs w:val="24"/>
        </w:rPr>
      </w:pPr>
      <w:r>
        <w:rPr>
          <w:rFonts w:hint="eastAsia" w:ascii="宋体" w:hAnsi="宋体" w:cs="宋体"/>
          <w:b/>
          <w:color w:val="auto"/>
          <w:szCs w:val="24"/>
        </w:rPr>
        <w:t xml:space="preserve"> </w:t>
      </w:r>
      <w:r>
        <w:rPr>
          <w:rFonts w:hint="eastAsia" w:ascii="宋体" w:hAnsi="宋体" w:cs="宋体"/>
          <w:color w:val="auto"/>
          <w:szCs w:val="24"/>
        </w:rPr>
        <w:t>委托方（甲方）：</w:t>
      </w:r>
      <w:r>
        <w:rPr>
          <w:rFonts w:hint="eastAsia" w:ascii="宋体" w:hAnsi="宋体" w:cs="宋体"/>
          <w:b/>
          <w:bCs/>
          <w:color w:val="auto"/>
          <w:szCs w:val="24"/>
          <w:u w:val="single"/>
        </w:rPr>
        <w:t xml:space="preserve">                                           </w:t>
      </w:r>
    </w:p>
    <w:p w14:paraId="0528E2D2">
      <w:pPr>
        <w:pStyle w:val="11"/>
        <w:spacing w:line="360" w:lineRule="auto"/>
        <w:ind w:firstLine="425"/>
        <w:rPr>
          <w:rFonts w:hint="eastAsia" w:ascii="宋体" w:hAnsi="宋体" w:cs="宋体"/>
          <w:b/>
          <w:color w:val="auto"/>
          <w:szCs w:val="24"/>
          <w:u w:val="single"/>
        </w:rPr>
      </w:pPr>
      <w:r>
        <w:rPr>
          <w:rFonts w:hint="eastAsia" w:ascii="宋体" w:hAnsi="宋体" w:cs="宋体"/>
          <w:color w:val="auto"/>
          <w:szCs w:val="24"/>
        </w:rPr>
        <w:t xml:space="preserve"> 承揽方（乙方）：</w:t>
      </w:r>
      <w:r>
        <w:rPr>
          <w:rFonts w:hint="eastAsia" w:ascii="宋体" w:hAnsi="宋体" w:cs="宋体"/>
          <w:b/>
          <w:color w:val="auto"/>
          <w:szCs w:val="24"/>
          <w:u w:val="single"/>
        </w:rPr>
        <w:t xml:space="preserve">                                   </w:t>
      </w:r>
      <w:r>
        <w:rPr>
          <w:rFonts w:hint="eastAsia" w:ascii="宋体" w:hAnsi="宋体" w:cs="宋体"/>
          <w:b/>
          <w:bCs/>
          <w:color w:val="auto"/>
          <w:szCs w:val="24"/>
          <w:u w:val="single"/>
        </w:rPr>
        <w:t xml:space="preserve">  </w:t>
      </w:r>
    </w:p>
    <w:p w14:paraId="0C92531B">
      <w:pPr>
        <w:spacing w:line="360" w:lineRule="auto"/>
        <w:jc w:val="center"/>
        <w:rPr>
          <w:rFonts w:hint="eastAsia" w:ascii="宋体" w:hAnsi="宋体" w:cs="宋体"/>
          <w:b/>
          <w:color w:val="auto"/>
          <w:sz w:val="44"/>
        </w:rPr>
      </w:pPr>
    </w:p>
    <w:p w14:paraId="648AEADA">
      <w:pPr>
        <w:spacing w:line="360" w:lineRule="auto"/>
        <w:jc w:val="center"/>
        <w:rPr>
          <w:rFonts w:hint="eastAsia" w:ascii="宋体" w:hAnsi="宋体" w:cs="宋体"/>
          <w:b/>
          <w:color w:val="auto"/>
          <w:sz w:val="44"/>
        </w:rPr>
      </w:pPr>
    </w:p>
    <w:p w14:paraId="4060A84E">
      <w:pPr>
        <w:spacing w:line="360" w:lineRule="auto"/>
        <w:jc w:val="center"/>
        <w:rPr>
          <w:rFonts w:hint="eastAsia" w:ascii="宋体" w:hAnsi="宋体" w:cs="宋体"/>
          <w:b/>
          <w:color w:val="auto"/>
          <w:sz w:val="44"/>
        </w:rPr>
      </w:pPr>
    </w:p>
    <w:p w14:paraId="57257C85">
      <w:pPr>
        <w:spacing w:line="360" w:lineRule="auto"/>
        <w:rPr>
          <w:rFonts w:hint="eastAsia" w:ascii="宋体" w:hAnsi="宋体" w:cs="宋体"/>
          <w:b/>
          <w:color w:val="auto"/>
          <w:sz w:val="44"/>
        </w:rPr>
      </w:pPr>
    </w:p>
    <w:p w14:paraId="5426DF65">
      <w:pPr>
        <w:spacing w:line="415" w:lineRule="exact"/>
        <w:rPr>
          <w:rFonts w:hint="eastAsia" w:ascii="宋体" w:hAnsi="宋体" w:cs="宋体"/>
          <w:color w:val="auto"/>
        </w:rPr>
      </w:pPr>
      <w:r>
        <w:rPr>
          <w:rFonts w:hint="eastAsia" w:ascii="宋体" w:hAnsi="宋体" w:cs="宋体"/>
          <w:color w:val="auto"/>
          <w:sz w:val="32"/>
        </w:rPr>
        <w:t xml:space="preserve">  </w:t>
      </w:r>
    </w:p>
    <w:p w14:paraId="725500CD">
      <w:pPr>
        <w:spacing w:line="415" w:lineRule="exact"/>
        <w:jc w:val="center"/>
        <w:rPr>
          <w:rFonts w:hint="eastAsia" w:ascii="宋体" w:hAnsi="宋体" w:cs="宋体"/>
          <w:color w:val="auto"/>
          <w:sz w:val="30"/>
          <w:szCs w:val="30"/>
        </w:rPr>
      </w:pPr>
      <w:r>
        <w:rPr>
          <w:rFonts w:hint="eastAsia" w:ascii="宋体" w:hAnsi="宋体" w:cs="宋体"/>
          <w:color w:val="auto"/>
          <w:sz w:val="30"/>
          <w:szCs w:val="30"/>
        </w:rPr>
        <w:t>二〇XX年四月</w:t>
      </w:r>
    </w:p>
    <w:p w14:paraId="420CB3E1">
      <w:pPr>
        <w:spacing w:line="415" w:lineRule="exact"/>
        <w:rPr>
          <w:rFonts w:hint="eastAsia" w:ascii="宋体" w:hAnsi="宋体" w:cs="宋体"/>
          <w:color w:val="auto"/>
        </w:rPr>
      </w:pPr>
    </w:p>
    <w:p w14:paraId="7C5D9EDE">
      <w:pPr>
        <w:spacing w:line="360" w:lineRule="auto"/>
        <w:jc w:val="left"/>
        <w:rPr>
          <w:rFonts w:hint="eastAsia" w:ascii="宋体" w:hAnsi="宋体" w:cs="宋体"/>
          <w:b/>
          <w:color w:val="auto"/>
          <w:sz w:val="24"/>
          <w:szCs w:val="24"/>
        </w:rPr>
      </w:pPr>
    </w:p>
    <w:p w14:paraId="2EA4AC93">
      <w:pPr>
        <w:spacing w:before="77" w:beforeLines="20" w:line="360" w:lineRule="auto"/>
        <w:jc w:val="left"/>
        <w:rPr>
          <w:rFonts w:hint="eastAsia" w:ascii="宋体" w:hAnsi="宋体" w:cs="宋体"/>
          <w:b/>
          <w:color w:val="auto"/>
          <w:sz w:val="24"/>
          <w:szCs w:val="24"/>
        </w:rPr>
      </w:pPr>
    </w:p>
    <w:p w14:paraId="7E7D5C0A">
      <w:pPr>
        <w:spacing w:before="77" w:beforeLines="20" w:line="360" w:lineRule="auto"/>
        <w:jc w:val="left"/>
        <w:rPr>
          <w:rFonts w:hint="eastAsia" w:ascii="宋体" w:hAnsi="宋体" w:cs="宋体"/>
          <w:b/>
          <w:color w:val="auto"/>
          <w:sz w:val="24"/>
          <w:szCs w:val="24"/>
        </w:rPr>
      </w:pPr>
    </w:p>
    <w:p w14:paraId="2A40E744">
      <w:pPr>
        <w:spacing w:before="77" w:beforeLines="20" w:line="360" w:lineRule="auto"/>
        <w:jc w:val="left"/>
        <w:rPr>
          <w:rFonts w:hint="eastAsia" w:ascii="宋体" w:hAnsi="宋体" w:cs="宋体"/>
          <w:b/>
          <w:color w:val="auto"/>
          <w:sz w:val="24"/>
          <w:szCs w:val="24"/>
        </w:rPr>
      </w:pPr>
      <w:r>
        <w:rPr>
          <w:rFonts w:hint="eastAsia" w:ascii="宋体" w:hAnsi="宋体" w:cs="宋体"/>
          <w:b/>
          <w:color w:val="auto"/>
          <w:sz w:val="24"/>
          <w:szCs w:val="24"/>
        </w:rPr>
        <w:t>一、合同标的</w:t>
      </w:r>
    </w:p>
    <w:p w14:paraId="16F4EA75">
      <w:pPr>
        <w:pStyle w:val="21"/>
        <w:spacing w:before="77" w:beforeLines="20"/>
        <w:ind w:firstLine="480"/>
        <w:rPr>
          <w:rFonts w:hint="eastAsia" w:ascii="宋体" w:hAnsi="宋体" w:cs="宋体"/>
          <w:color w:val="auto"/>
          <w:szCs w:val="24"/>
        </w:rPr>
      </w:pPr>
      <w:r>
        <w:rPr>
          <w:rFonts w:hint="eastAsia" w:ascii="宋体" w:hAnsi="宋体" w:cs="宋体"/>
          <w:color w:val="auto"/>
          <w:szCs w:val="24"/>
        </w:rPr>
        <w:t>本协议签订后，甲乙双方达成技术服务合作伙伴关系，甲方委托乙方提供</w:t>
      </w:r>
      <w:r>
        <w:rPr>
          <w:rFonts w:hint="eastAsia" w:ascii="宋体" w:hAnsi="宋体" w:cs="宋体"/>
          <w:color w:val="auto"/>
          <w:szCs w:val="24"/>
          <w:u w:val="single"/>
        </w:rPr>
        <w:t xml:space="preserve">     </w:t>
      </w:r>
      <w:r>
        <w:rPr>
          <w:rFonts w:hint="eastAsia" w:ascii="宋体" w:hAnsi="宋体" w:cs="宋体"/>
          <w:color w:val="auto"/>
          <w:szCs w:val="24"/>
        </w:rPr>
        <w:t>项目技术支持和咨询服务，乙方将委派技术人员甲方项目现场提供线路检测、验收、设备安装及维护、网络抢修等相关技术咨询及服务。甲方经营项目所需技术支持及咨询服务均委托乙方承接，乙方自愿接受甲方的委托，并努力提升服务质量，合作期间的具体的服务内容、报价、完成指标等具体细节，双方以附件形式约定，以附件为准。</w:t>
      </w:r>
    </w:p>
    <w:p w14:paraId="4CD33A4F">
      <w:pPr>
        <w:spacing w:before="77" w:beforeLines="20" w:line="360" w:lineRule="auto"/>
        <w:rPr>
          <w:rFonts w:hint="eastAsia" w:ascii="宋体" w:hAnsi="宋体" w:cs="宋体"/>
          <w:color w:val="auto"/>
          <w:sz w:val="24"/>
          <w:szCs w:val="24"/>
        </w:rPr>
      </w:pPr>
      <w:r>
        <w:rPr>
          <w:rFonts w:hint="eastAsia" w:ascii="宋体" w:hAnsi="宋体" w:cs="宋体"/>
          <w:b/>
          <w:color w:val="auto"/>
          <w:sz w:val="24"/>
          <w:szCs w:val="24"/>
        </w:rPr>
        <w:t>二、双方责任</w:t>
      </w:r>
    </w:p>
    <w:p w14:paraId="5E70BE31">
      <w:pPr>
        <w:spacing w:before="77" w:beforeLines="20" w:line="360" w:lineRule="auto"/>
        <w:ind w:left="360" w:hanging="360"/>
        <w:rPr>
          <w:rFonts w:hint="eastAsia" w:ascii="宋体" w:hAnsi="宋体" w:cs="宋体"/>
          <w:color w:val="auto"/>
          <w:sz w:val="24"/>
          <w:szCs w:val="24"/>
        </w:rPr>
      </w:pPr>
      <w:r>
        <w:rPr>
          <w:rFonts w:hint="eastAsia" w:ascii="宋体" w:hAnsi="宋体" w:cs="宋体"/>
          <w:color w:val="auto"/>
          <w:sz w:val="24"/>
          <w:szCs w:val="24"/>
        </w:rPr>
        <w:t>1、甲方负责提出经营项目相关技术支持及咨询服务需求，并定期组织对项目成果进行验收。</w:t>
      </w:r>
    </w:p>
    <w:p w14:paraId="263D414F">
      <w:pPr>
        <w:spacing w:before="77" w:beforeLines="20" w:line="360" w:lineRule="auto"/>
        <w:ind w:left="360" w:hanging="360"/>
        <w:rPr>
          <w:rFonts w:hint="eastAsia" w:ascii="宋体" w:hAnsi="宋体" w:cs="宋体"/>
          <w:color w:val="auto"/>
          <w:sz w:val="24"/>
          <w:szCs w:val="24"/>
        </w:rPr>
      </w:pPr>
      <w:r>
        <w:rPr>
          <w:rFonts w:hint="eastAsia" w:ascii="宋体" w:hAnsi="宋体" w:cs="宋体"/>
          <w:color w:val="auto"/>
          <w:sz w:val="24"/>
          <w:szCs w:val="24"/>
        </w:rPr>
        <w:t>2、乙方负责软件安装调试等技术服务，保证按照甲方提出的技术支持及咨询服务需求为甲方提供优质的技术支持及咨询服务。</w:t>
      </w:r>
    </w:p>
    <w:p w14:paraId="16FF2F92">
      <w:pPr>
        <w:spacing w:before="77" w:beforeLines="20" w:line="360" w:lineRule="auto"/>
        <w:ind w:left="360" w:hanging="360"/>
        <w:rPr>
          <w:rFonts w:hint="eastAsia" w:ascii="宋体" w:hAnsi="宋体" w:cs="宋体"/>
          <w:color w:val="auto"/>
          <w:sz w:val="24"/>
          <w:szCs w:val="24"/>
        </w:rPr>
      </w:pPr>
      <w:r>
        <w:rPr>
          <w:rFonts w:hint="eastAsia" w:ascii="宋体" w:hAnsi="宋体" w:cs="宋体"/>
          <w:color w:val="auto"/>
          <w:sz w:val="24"/>
          <w:szCs w:val="24"/>
        </w:rPr>
        <w:t>3、为使项目运营过程中能更好地满足用户的需要等，在项目实施过程中，甲方指派项目负责人，并组织有关人员参与本项目的组织管理，向乙方提供实施本项目所需的数据、文件和其它必要信息，负责协调乙方在技术服务地点的活动实施，系统安装调试和业务培训等一系列工作。</w:t>
      </w:r>
    </w:p>
    <w:p w14:paraId="56D0AC89">
      <w:pPr>
        <w:spacing w:before="77" w:beforeLines="20" w:line="360" w:lineRule="auto"/>
        <w:ind w:left="360" w:hanging="360"/>
        <w:rPr>
          <w:rFonts w:hint="eastAsia" w:ascii="宋体" w:hAnsi="宋体" w:cs="宋体"/>
          <w:color w:val="auto"/>
          <w:sz w:val="24"/>
          <w:szCs w:val="24"/>
        </w:rPr>
      </w:pPr>
      <w:r>
        <w:rPr>
          <w:rFonts w:hint="eastAsia" w:ascii="宋体" w:hAnsi="宋体" w:cs="宋体"/>
          <w:color w:val="auto"/>
          <w:sz w:val="24"/>
          <w:szCs w:val="24"/>
        </w:rPr>
        <w:t>4、根据甲方的实际情况，乙方为甲方提供可行性技术解决方案，并组织己方相关专业人员进行项目实施，或配合甲方进行项目实施。</w:t>
      </w:r>
    </w:p>
    <w:p w14:paraId="1E77DBF6">
      <w:pPr>
        <w:spacing w:before="77" w:beforeLines="20" w:line="360" w:lineRule="auto"/>
        <w:ind w:left="360" w:hanging="360"/>
        <w:rPr>
          <w:rFonts w:hint="eastAsia" w:ascii="宋体" w:hAnsi="宋体" w:cs="宋体"/>
          <w:color w:val="auto"/>
          <w:sz w:val="24"/>
          <w:szCs w:val="24"/>
        </w:rPr>
      </w:pPr>
      <w:r>
        <w:rPr>
          <w:rFonts w:hint="eastAsia" w:ascii="宋体" w:hAnsi="宋体" w:cs="宋体"/>
          <w:color w:val="auto"/>
          <w:sz w:val="24"/>
          <w:szCs w:val="24"/>
        </w:rPr>
        <w:t>5、甲方在合同有效期内发生需求变更较大，引起合同中乙方实施方案和内容调整时，双方对变更内容进行协商，协同解决，并形成备忘录。</w:t>
      </w:r>
    </w:p>
    <w:p w14:paraId="773E3E30">
      <w:pPr>
        <w:numPr>
          <w:ilvl w:val="0"/>
          <w:numId w:val="15"/>
        </w:numPr>
        <w:spacing w:before="77" w:beforeLines="20" w:line="360" w:lineRule="auto"/>
        <w:rPr>
          <w:rFonts w:hint="eastAsia" w:ascii="宋体" w:hAnsi="宋体" w:cs="宋体"/>
          <w:b/>
          <w:color w:val="auto"/>
          <w:sz w:val="24"/>
          <w:szCs w:val="24"/>
        </w:rPr>
      </w:pPr>
      <w:r>
        <w:rPr>
          <w:rFonts w:hint="eastAsia" w:ascii="宋体" w:hAnsi="宋体" w:cs="宋体"/>
          <w:b/>
          <w:color w:val="auto"/>
          <w:sz w:val="24"/>
          <w:szCs w:val="24"/>
        </w:rPr>
        <w:t>服务内容和费用及付款方式</w:t>
      </w:r>
    </w:p>
    <w:p w14:paraId="29E49EC4">
      <w:pPr>
        <w:snapToGrid w:val="0"/>
        <w:spacing w:line="360" w:lineRule="auto"/>
        <w:ind w:firstLine="480" w:firstLineChars="200"/>
        <w:jc w:val="left"/>
        <w:rPr>
          <w:rFonts w:hint="eastAsia" w:ascii="宋体" w:hAnsi="宋体" w:cs="宋体"/>
          <w:b/>
          <w:color w:val="auto"/>
          <w:sz w:val="24"/>
          <w:szCs w:val="24"/>
        </w:rPr>
      </w:pPr>
      <w:r>
        <w:rPr>
          <w:rFonts w:hint="eastAsia" w:ascii="宋体" w:hAnsi="宋体" w:cs="宋体"/>
          <w:color w:val="auto"/>
          <w:sz w:val="24"/>
          <w:szCs w:val="24"/>
        </w:rPr>
        <w:t>1.项目专项经费：人民币</w:t>
      </w:r>
      <w:r>
        <w:rPr>
          <w:rFonts w:hint="eastAsia" w:ascii="宋体" w:hAnsi="宋体" w:cs="宋体"/>
          <w:color w:val="auto"/>
          <w:sz w:val="24"/>
          <w:szCs w:val="24"/>
          <w:u w:val="single"/>
        </w:rPr>
        <w:t xml:space="preserve">        </w:t>
      </w:r>
      <w:r>
        <w:rPr>
          <w:rFonts w:hint="eastAsia" w:ascii="宋体" w:hAnsi="宋体" w:cs="宋体"/>
          <w:color w:val="auto"/>
          <w:sz w:val="24"/>
          <w:szCs w:val="24"/>
          <w:lang w:val="zh-CN"/>
        </w:rPr>
        <w:t>元（大写：</w:t>
      </w:r>
      <w:r>
        <w:rPr>
          <w:rFonts w:hint="eastAsia" w:ascii="宋体" w:hAnsi="宋体" w:cs="宋体"/>
          <w:color w:val="auto"/>
          <w:sz w:val="24"/>
          <w:szCs w:val="24"/>
          <w:u w:val="single"/>
        </w:rPr>
        <w:t xml:space="preserve">            </w:t>
      </w:r>
      <w:r>
        <w:rPr>
          <w:rFonts w:hint="eastAsia" w:ascii="宋体" w:hAnsi="宋体" w:cs="宋体"/>
          <w:color w:val="auto"/>
          <w:sz w:val="24"/>
          <w:szCs w:val="24"/>
          <w:lang w:val="zh-CN"/>
        </w:rPr>
        <w:t>）</w:t>
      </w:r>
      <w:r>
        <w:rPr>
          <w:rFonts w:hint="eastAsia" w:ascii="宋体" w:hAnsi="宋体" w:cs="宋体"/>
          <w:color w:val="auto"/>
          <w:sz w:val="24"/>
          <w:szCs w:val="24"/>
        </w:rPr>
        <w:t>。</w:t>
      </w:r>
    </w:p>
    <w:p w14:paraId="42AB8B43">
      <w:pPr>
        <w:spacing w:before="77" w:beforeLines="20" w:line="360" w:lineRule="auto"/>
        <w:rPr>
          <w:rFonts w:hint="eastAsia" w:ascii="宋体" w:hAnsi="宋体" w:cs="宋体"/>
          <w:color w:val="auto"/>
          <w:sz w:val="24"/>
          <w:szCs w:val="24"/>
        </w:rPr>
      </w:pPr>
      <w:r>
        <w:rPr>
          <w:rFonts w:hint="eastAsia" w:ascii="宋体" w:hAnsi="宋体" w:cs="宋体"/>
          <w:color w:val="auto"/>
          <w:sz w:val="24"/>
          <w:szCs w:val="24"/>
        </w:rPr>
        <w:t>2支付方式：本合同签订后10日内甲方支付80%预付款</w:t>
      </w:r>
      <w:r>
        <w:rPr>
          <w:rFonts w:hint="eastAsia" w:ascii="宋体" w:hAnsi="宋体" w:cs="宋体"/>
          <w:color w:val="auto"/>
          <w:sz w:val="24"/>
          <w:szCs w:val="24"/>
          <w:u w:val="single"/>
        </w:rPr>
        <w:t xml:space="preserve">       </w:t>
      </w:r>
      <w:r>
        <w:rPr>
          <w:rFonts w:hint="eastAsia" w:ascii="宋体" w:hAnsi="宋体" w:cs="宋体"/>
          <w:color w:val="auto"/>
          <w:sz w:val="24"/>
          <w:szCs w:val="24"/>
          <w:lang w:val="zh-CN"/>
        </w:rPr>
        <w:t>元（大写：</w:t>
      </w:r>
      <w:r>
        <w:rPr>
          <w:rFonts w:hint="eastAsia" w:ascii="宋体" w:hAnsi="宋体" w:cs="宋体"/>
          <w:color w:val="auto"/>
          <w:sz w:val="24"/>
          <w:szCs w:val="24"/>
          <w:u w:val="single"/>
        </w:rPr>
        <w:t xml:space="preserve">           </w:t>
      </w:r>
      <w:r>
        <w:rPr>
          <w:rFonts w:hint="eastAsia" w:ascii="宋体" w:hAnsi="宋体" w:cs="宋体"/>
          <w:color w:val="auto"/>
          <w:sz w:val="24"/>
          <w:szCs w:val="24"/>
          <w:lang w:val="zh-CN"/>
        </w:rPr>
        <w:t>），</w:t>
      </w:r>
      <w:r>
        <w:rPr>
          <w:rFonts w:hint="eastAsia" w:ascii="宋体" w:hAnsi="宋体" w:cs="宋体"/>
          <w:color w:val="auto"/>
          <w:sz w:val="24"/>
          <w:szCs w:val="24"/>
        </w:rPr>
        <w:t>待最终成果按要求提交给甲方后，甲方支付剩余20%合同款</w:t>
      </w:r>
      <w:r>
        <w:rPr>
          <w:rFonts w:hint="eastAsia" w:ascii="宋体" w:hAnsi="宋体" w:cs="宋体"/>
          <w:color w:val="auto"/>
          <w:sz w:val="24"/>
          <w:szCs w:val="24"/>
          <w:u w:val="single"/>
        </w:rPr>
        <w:t xml:space="preserve">        </w:t>
      </w:r>
      <w:r>
        <w:rPr>
          <w:rFonts w:hint="eastAsia" w:ascii="宋体" w:hAnsi="宋体" w:cs="宋体"/>
          <w:color w:val="auto"/>
          <w:sz w:val="24"/>
          <w:szCs w:val="24"/>
          <w:lang w:val="zh-CN"/>
        </w:rPr>
        <w:t>元（大写：</w:t>
      </w:r>
      <w:r>
        <w:rPr>
          <w:rFonts w:hint="eastAsia" w:ascii="宋体" w:hAnsi="宋体" w:cs="宋体"/>
          <w:color w:val="auto"/>
          <w:sz w:val="24"/>
          <w:szCs w:val="24"/>
          <w:u w:val="single"/>
        </w:rPr>
        <w:t xml:space="preserve">          </w:t>
      </w:r>
      <w:r>
        <w:rPr>
          <w:rFonts w:hint="eastAsia" w:ascii="宋体" w:hAnsi="宋体" w:cs="宋体"/>
          <w:color w:val="auto"/>
          <w:sz w:val="24"/>
          <w:szCs w:val="24"/>
          <w:lang w:val="zh-CN"/>
        </w:rPr>
        <w:t>）</w:t>
      </w:r>
      <w:r>
        <w:rPr>
          <w:rFonts w:hint="eastAsia" w:ascii="宋体" w:hAnsi="宋体" w:cs="宋体"/>
          <w:color w:val="auto"/>
          <w:sz w:val="24"/>
          <w:szCs w:val="24"/>
        </w:rPr>
        <w:t>。</w:t>
      </w:r>
    </w:p>
    <w:p w14:paraId="4A0A5CCF">
      <w:pPr>
        <w:spacing w:before="77" w:beforeLines="20" w:line="360" w:lineRule="auto"/>
        <w:rPr>
          <w:rFonts w:hint="eastAsia" w:ascii="宋体" w:hAnsi="宋体" w:cs="宋体"/>
          <w:b/>
          <w:color w:val="auto"/>
          <w:sz w:val="24"/>
          <w:szCs w:val="24"/>
        </w:rPr>
      </w:pPr>
      <w:r>
        <w:rPr>
          <w:rFonts w:hint="eastAsia" w:ascii="宋体" w:hAnsi="宋体" w:cs="宋体"/>
          <w:b/>
          <w:color w:val="auto"/>
          <w:sz w:val="24"/>
          <w:szCs w:val="24"/>
        </w:rPr>
        <w:t>四、服务支持</w:t>
      </w:r>
    </w:p>
    <w:p w14:paraId="0A975861">
      <w:pPr>
        <w:spacing w:before="77" w:beforeLines="20" w:line="360" w:lineRule="auto"/>
        <w:ind w:left="360" w:hanging="360"/>
        <w:rPr>
          <w:rFonts w:hint="eastAsia" w:ascii="宋体" w:hAnsi="宋体" w:cs="宋体"/>
          <w:color w:val="auto"/>
          <w:sz w:val="24"/>
          <w:szCs w:val="24"/>
        </w:rPr>
      </w:pPr>
      <w:r>
        <w:rPr>
          <w:rFonts w:hint="eastAsia" w:ascii="宋体" w:hAnsi="宋体" w:cs="宋体"/>
          <w:color w:val="auto"/>
          <w:sz w:val="24"/>
          <w:szCs w:val="24"/>
        </w:rPr>
        <w:t>1、技术支持及咨询服务合作期间，乙方主要根据甲方需求，提供相应的技术支持及服务，并达到有关服务质量的要求。</w:t>
      </w:r>
    </w:p>
    <w:p w14:paraId="6B263948">
      <w:pPr>
        <w:spacing w:before="77" w:beforeLines="20" w:line="360" w:lineRule="auto"/>
        <w:ind w:left="360" w:hanging="360"/>
        <w:rPr>
          <w:rFonts w:hint="eastAsia" w:ascii="宋体" w:hAnsi="宋体" w:cs="宋体"/>
          <w:color w:val="auto"/>
          <w:sz w:val="24"/>
          <w:szCs w:val="24"/>
        </w:rPr>
      </w:pPr>
      <w:r>
        <w:rPr>
          <w:rFonts w:hint="eastAsia" w:ascii="宋体" w:hAnsi="宋体" w:cs="宋体"/>
          <w:color w:val="auto"/>
          <w:sz w:val="24"/>
          <w:szCs w:val="24"/>
        </w:rPr>
        <w:t>2、服务内容包括技术支持、日常维护、故障处理等技术支持及咨询服务，保证项目合作正常运行。</w:t>
      </w:r>
    </w:p>
    <w:p w14:paraId="34707A44">
      <w:pPr>
        <w:spacing w:before="77" w:beforeLines="20" w:line="360" w:lineRule="auto"/>
        <w:ind w:left="360" w:hanging="360"/>
        <w:rPr>
          <w:rFonts w:hint="eastAsia" w:ascii="宋体" w:hAnsi="宋体" w:cs="宋体"/>
          <w:color w:val="auto"/>
          <w:sz w:val="24"/>
          <w:szCs w:val="24"/>
        </w:rPr>
      </w:pPr>
      <w:r>
        <w:rPr>
          <w:rFonts w:hint="eastAsia" w:ascii="宋体" w:hAnsi="宋体" w:cs="宋体"/>
          <w:color w:val="auto"/>
          <w:sz w:val="24"/>
          <w:szCs w:val="24"/>
        </w:rPr>
        <w:t>3、在服务期内，双方协商确定多种应急处理方案，必要时进行应急预案演习，保证在出现意外情况时能够尽量减少或避免因为系统的故障而产生的不良影响。</w:t>
      </w:r>
    </w:p>
    <w:p w14:paraId="5A0F46F6">
      <w:pPr>
        <w:spacing w:before="77" w:beforeLines="20" w:line="360" w:lineRule="auto"/>
        <w:rPr>
          <w:rFonts w:hint="eastAsia" w:ascii="宋体" w:hAnsi="宋体" w:cs="宋体"/>
          <w:b/>
          <w:color w:val="auto"/>
          <w:sz w:val="24"/>
          <w:szCs w:val="24"/>
        </w:rPr>
      </w:pPr>
      <w:r>
        <w:rPr>
          <w:rFonts w:hint="eastAsia" w:ascii="宋体" w:hAnsi="宋体" w:cs="宋体"/>
          <w:b/>
          <w:color w:val="auto"/>
          <w:sz w:val="24"/>
          <w:szCs w:val="24"/>
        </w:rPr>
        <w:t>五、保密</w:t>
      </w:r>
    </w:p>
    <w:p w14:paraId="1722376B">
      <w:pPr>
        <w:spacing w:before="77" w:beforeLines="20" w:line="360" w:lineRule="auto"/>
        <w:ind w:left="360" w:hanging="360"/>
        <w:jc w:val="left"/>
        <w:rPr>
          <w:rFonts w:hint="eastAsia" w:ascii="宋体" w:hAnsi="宋体" w:cs="宋体"/>
          <w:color w:val="auto"/>
          <w:sz w:val="24"/>
          <w:szCs w:val="24"/>
        </w:rPr>
      </w:pPr>
      <w:r>
        <w:rPr>
          <w:rFonts w:hint="eastAsia" w:ascii="宋体" w:hAnsi="宋体" w:cs="宋体"/>
          <w:color w:val="auto"/>
          <w:sz w:val="24"/>
          <w:szCs w:val="24"/>
        </w:rPr>
        <w:t>1、甲乙双方对因履行本合同而获悉的对方的商业信息和技术资料均负有保密义务。使用方只能基于履行本合同之目的并以本合同约定的方式使用对方提供的商业信息和技术资料，且仅限于在保密管理下透露给与本合同的履行直接有关的人员。在未获得对方书面认可的情况下不得将此类商业资料和信息直接或间接透露给任何无关人员及第三方；但因法律、法规、司法机关或其他有权行政机关、监管机构的要求应予以披露的除外。</w:t>
      </w:r>
    </w:p>
    <w:p w14:paraId="16B4B481">
      <w:pPr>
        <w:spacing w:before="77" w:beforeLines="20" w:line="360" w:lineRule="auto"/>
        <w:ind w:left="360" w:hanging="360"/>
        <w:rPr>
          <w:rFonts w:hint="eastAsia" w:ascii="宋体" w:hAnsi="宋体" w:cs="宋体"/>
          <w:color w:val="auto"/>
          <w:sz w:val="24"/>
          <w:szCs w:val="24"/>
        </w:rPr>
      </w:pPr>
      <w:r>
        <w:rPr>
          <w:rFonts w:hint="eastAsia" w:ascii="宋体" w:hAnsi="宋体" w:cs="宋体"/>
          <w:color w:val="auto"/>
          <w:sz w:val="24"/>
          <w:szCs w:val="24"/>
        </w:rPr>
        <w:t>2、双方履行前述保密义务，不受本合同期满终止、中止或解除等任何情形的影响而被限制或取消，直至相关保密信息通过合法途径为公众所知，或对方书面同意解除此项义务时止。</w:t>
      </w:r>
    </w:p>
    <w:p w14:paraId="2D7D67EB">
      <w:pPr>
        <w:spacing w:before="77" w:beforeLines="20" w:line="360" w:lineRule="auto"/>
        <w:ind w:left="360" w:hanging="360"/>
        <w:rPr>
          <w:rFonts w:hint="eastAsia" w:ascii="宋体" w:hAnsi="宋体" w:cs="宋体"/>
          <w:color w:val="auto"/>
          <w:sz w:val="24"/>
          <w:szCs w:val="24"/>
        </w:rPr>
      </w:pPr>
      <w:r>
        <w:rPr>
          <w:rFonts w:hint="eastAsia" w:ascii="宋体" w:hAnsi="宋体" w:cs="宋体"/>
          <w:color w:val="auto"/>
          <w:sz w:val="24"/>
          <w:szCs w:val="24"/>
        </w:rPr>
        <w:t>3、任何一方如违反保密承诺，违约方应承担守约方的损失。</w:t>
      </w:r>
    </w:p>
    <w:p w14:paraId="3F087EE8">
      <w:pPr>
        <w:pStyle w:val="11"/>
        <w:spacing w:before="77" w:beforeLines="20" w:line="360" w:lineRule="auto"/>
        <w:rPr>
          <w:rFonts w:hint="eastAsia" w:ascii="宋体" w:hAnsi="宋体" w:cs="宋体"/>
          <w:b/>
          <w:color w:val="auto"/>
          <w:szCs w:val="24"/>
        </w:rPr>
      </w:pPr>
      <w:r>
        <w:rPr>
          <w:rFonts w:hint="eastAsia" w:ascii="宋体" w:hAnsi="宋体" w:cs="宋体"/>
          <w:b/>
          <w:color w:val="auto"/>
          <w:szCs w:val="24"/>
        </w:rPr>
        <w:t>六、不可抗力</w:t>
      </w:r>
    </w:p>
    <w:p w14:paraId="43F970A2">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1、如合同双方中任何一方由于不可抗力，如：地震、水灾、台风、战争和其他双方都认为的不可抗力原因而无法按期履行合同，则合同执行的时间由于上述时间的发生做相应延期。</w:t>
      </w:r>
    </w:p>
    <w:p w14:paraId="5362D556">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2、受影响方应尽快将所发生的不可抗力事故的情况以电话或传真通知另一方，并在不可抗力发生14天内尽快用传真和挂号信将有关权威机构出具的证明文件提交另一方确认。</w:t>
      </w:r>
    </w:p>
    <w:p w14:paraId="119F1FF5">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3、当不可抗力事故终止或事故消除后，受阻方应尽快用传真或电传通知对方关于不可抗力形势的解除并以挂号信加以确认，并继续履行合同。</w:t>
      </w:r>
    </w:p>
    <w:p w14:paraId="2099BA12">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4、如果不可抗力阻碍合同的履行超过180天，双方就合同的进一步履行问题进行讨论并达成一致意见。</w:t>
      </w:r>
    </w:p>
    <w:p w14:paraId="448403A1">
      <w:pPr>
        <w:spacing w:before="77" w:beforeLines="20" w:line="360" w:lineRule="auto"/>
        <w:rPr>
          <w:rFonts w:hint="eastAsia" w:ascii="宋体" w:hAnsi="宋体" w:cs="宋体"/>
          <w:b/>
          <w:color w:val="auto"/>
          <w:sz w:val="24"/>
          <w:szCs w:val="24"/>
        </w:rPr>
      </w:pPr>
      <w:r>
        <w:rPr>
          <w:rFonts w:hint="eastAsia" w:ascii="宋体" w:hAnsi="宋体" w:cs="宋体"/>
          <w:b/>
          <w:color w:val="auto"/>
          <w:sz w:val="24"/>
          <w:szCs w:val="24"/>
        </w:rPr>
        <w:t>七、其他约定</w:t>
      </w:r>
    </w:p>
    <w:p w14:paraId="178C0F15">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1、通知方式</w:t>
      </w:r>
    </w:p>
    <w:p w14:paraId="732B5910">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 xml:space="preserve">   本合同要求所有通知应以信件或传真等书面方式送达对方于本合同所载地址，若地址有所变更应通知对方，否则视同于送达。一方变更通知或通讯地址，应自变更之日起 5 日内，以书面形式通知对方；否则，由未通知方承担由此而引起的相关责任。</w:t>
      </w:r>
    </w:p>
    <w:p w14:paraId="6104C31B">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2、不可抗力</w:t>
      </w:r>
    </w:p>
    <w:p w14:paraId="0EBDCC3C">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 xml:space="preserve">   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14:paraId="2250E314">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 xml:space="preserve">   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14:paraId="14244278">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4E16C504">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4、合同修改</w:t>
      </w:r>
    </w:p>
    <w:p w14:paraId="5A9118F9">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 xml:space="preserve">   本合同履行期间，发生特殊情况时，甲、乙任何一方需变更本合同的，要求变更一方应及时书面通知对方，征得对方同意后，双方在规定的时限内（书面通知发出 5 天内）签订书面变更协议，该协议将成为合同不可分割的部分。未经双方签署书面文件，任何一方无权变更本合同，否则，由此造成对方的经济损失，由责任方承担。</w:t>
      </w:r>
    </w:p>
    <w:p w14:paraId="0B77DF3A">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5、合同终止</w:t>
      </w:r>
    </w:p>
    <w:p w14:paraId="10BB7496">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 xml:space="preserve">   任何一方终止合同，需提前 5个工作日书面通知对方，并说明正当的终止理由，由双方代表签字后方可终止本合同。</w:t>
      </w:r>
    </w:p>
    <w:p w14:paraId="02746108">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6、法律适用</w:t>
      </w:r>
    </w:p>
    <w:p w14:paraId="45BB2EC5">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 xml:space="preserve">   有关本合同的解释履行等相关事宜皆适用中华人民共和国法律。</w:t>
      </w:r>
    </w:p>
    <w:p w14:paraId="38FE249E">
      <w:pPr>
        <w:pStyle w:val="11"/>
        <w:spacing w:before="77" w:beforeLines="20" w:line="360" w:lineRule="auto"/>
        <w:ind w:left="360" w:hanging="360"/>
        <w:rPr>
          <w:rFonts w:hint="eastAsia" w:ascii="宋体" w:hAnsi="宋体" w:cs="宋体"/>
          <w:b/>
          <w:bCs/>
          <w:color w:val="auto"/>
          <w:szCs w:val="24"/>
        </w:rPr>
      </w:pPr>
      <w:r>
        <w:rPr>
          <w:rFonts w:hint="eastAsia" w:ascii="宋体" w:hAnsi="宋体" w:cs="宋体"/>
          <w:b/>
          <w:bCs/>
          <w:color w:val="auto"/>
          <w:szCs w:val="24"/>
        </w:rPr>
        <w:t>八、争议解决</w:t>
      </w:r>
    </w:p>
    <w:p w14:paraId="08CFA535">
      <w:pPr>
        <w:spacing w:before="77" w:beforeLines="2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因履行本合同所发生的争议，双（各）方应友好协商解决，如协商不成，按照下列方式解决（任选一项，且只能选择一项，在选定的一项前的方框内打“√”）：□ 向</w:t>
      </w:r>
      <w:r>
        <w:rPr>
          <w:rFonts w:hint="eastAsia" w:ascii="宋体" w:hAnsi="宋体" w:cs="宋体"/>
          <w:color w:val="auto"/>
          <w:sz w:val="24"/>
          <w:szCs w:val="24"/>
          <w:u w:val="single"/>
        </w:rPr>
        <w:t xml:space="preserve">     </w:t>
      </w:r>
      <w:r>
        <w:rPr>
          <w:rFonts w:hint="eastAsia" w:ascii="宋体" w:hAnsi="宋体" w:cs="宋体"/>
          <w:color w:val="auto"/>
          <w:sz w:val="24"/>
          <w:szCs w:val="24"/>
        </w:rPr>
        <w:t>市仲裁委员会申请仲裁；□ 向</w:t>
      </w:r>
      <w:r>
        <w:rPr>
          <w:rFonts w:hint="eastAsia" w:ascii="宋体" w:hAnsi="宋体" w:cs="宋体"/>
          <w:color w:val="auto"/>
          <w:sz w:val="24"/>
          <w:szCs w:val="24"/>
          <w:u w:val="single"/>
        </w:rPr>
        <w:t xml:space="preserve">     </w:t>
      </w:r>
      <w:r>
        <w:rPr>
          <w:rFonts w:hint="eastAsia" w:ascii="宋体" w:hAnsi="宋体" w:cs="宋体"/>
          <w:color w:val="auto"/>
          <w:sz w:val="24"/>
          <w:szCs w:val="24"/>
        </w:rPr>
        <w:t>市人民法院起诉。</w:t>
      </w:r>
    </w:p>
    <w:p w14:paraId="210193A2">
      <w:pPr>
        <w:spacing w:before="77" w:beforeLines="20" w:line="360" w:lineRule="auto"/>
        <w:rPr>
          <w:rFonts w:hint="eastAsia" w:ascii="宋体" w:hAnsi="宋体" w:cs="宋体"/>
          <w:b/>
          <w:color w:val="auto"/>
          <w:sz w:val="24"/>
          <w:szCs w:val="24"/>
        </w:rPr>
      </w:pPr>
      <w:r>
        <w:rPr>
          <w:rFonts w:hint="eastAsia" w:ascii="宋体" w:hAnsi="宋体" w:cs="宋体"/>
          <w:b/>
          <w:color w:val="auto"/>
          <w:sz w:val="24"/>
          <w:szCs w:val="24"/>
        </w:rPr>
        <w:t>九、附则</w:t>
      </w:r>
    </w:p>
    <w:p w14:paraId="54897C3A">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1、合同签订前未尽事宜，双方协商解决；合同签订后，经双方当事人协商一致，对本合同有关条款进行变更或者补充时应以书面形式确认。</w:t>
      </w:r>
    </w:p>
    <w:p w14:paraId="396F96C3">
      <w:pPr>
        <w:pStyle w:val="11"/>
        <w:spacing w:before="77" w:beforeLines="20" w:line="360" w:lineRule="auto"/>
        <w:ind w:left="360" w:hanging="360"/>
        <w:rPr>
          <w:rFonts w:hint="eastAsia" w:ascii="宋体" w:hAnsi="宋体" w:cs="宋体"/>
          <w:color w:val="auto"/>
          <w:szCs w:val="24"/>
        </w:rPr>
      </w:pPr>
      <w:r>
        <w:rPr>
          <w:rFonts w:hint="eastAsia" w:ascii="宋体" w:hAnsi="宋体" w:cs="宋体"/>
          <w:color w:val="auto"/>
          <w:szCs w:val="24"/>
        </w:rPr>
        <w:t>2、本合同一式贰份，双方各执壹份。自签订之日起生效。附件与本合同具有相同法律效力。</w:t>
      </w:r>
    </w:p>
    <w:p w14:paraId="08F77A94">
      <w:pPr>
        <w:spacing w:before="308" w:beforeLines="80" w:line="360" w:lineRule="auto"/>
        <w:rPr>
          <w:rFonts w:hint="eastAsia" w:ascii="宋体" w:hAnsi="宋体" w:cs="宋体"/>
          <w:b/>
          <w:bCs/>
          <w:color w:val="auto"/>
          <w:sz w:val="24"/>
          <w:szCs w:val="24"/>
        </w:rPr>
      </w:pPr>
      <w:r>
        <w:rPr>
          <w:rFonts w:hint="eastAsia" w:ascii="宋体" w:hAnsi="宋体" w:cs="宋体"/>
          <w:b/>
          <w:bCs/>
          <w:color w:val="auto"/>
          <w:sz w:val="24"/>
          <w:szCs w:val="24"/>
        </w:rPr>
        <w:t>甲方（签章）：                      乙方（签章）：</w:t>
      </w:r>
    </w:p>
    <w:p w14:paraId="19263B09">
      <w:pPr>
        <w:spacing w:before="308" w:beforeLines="80" w:line="360" w:lineRule="auto"/>
        <w:rPr>
          <w:rFonts w:hint="eastAsia" w:ascii="宋体" w:hAnsi="宋体" w:cs="宋体"/>
          <w:b/>
          <w:bCs/>
          <w:color w:val="auto"/>
          <w:sz w:val="24"/>
          <w:szCs w:val="24"/>
        </w:rPr>
      </w:pPr>
      <w:r>
        <w:rPr>
          <w:rFonts w:hint="eastAsia" w:ascii="宋体" w:hAnsi="宋体" w:cs="宋体"/>
          <w:b/>
          <w:bCs/>
          <w:color w:val="auto"/>
          <w:sz w:val="24"/>
          <w:szCs w:val="24"/>
        </w:rPr>
        <w:t xml:space="preserve">代表人（签字）：                    代表人（签字）： </w:t>
      </w:r>
    </w:p>
    <w:p w14:paraId="6AB395BE">
      <w:pPr>
        <w:autoSpaceDE w:val="0"/>
        <w:autoSpaceDN w:val="0"/>
        <w:adjustRightInd w:val="0"/>
        <w:spacing w:line="440" w:lineRule="exact"/>
        <w:jc w:val="center"/>
        <w:outlineLvl w:val="0"/>
        <w:rPr>
          <w:rFonts w:hint="eastAsia" w:ascii="宋体" w:hAnsi="宋体" w:cs="宋体"/>
          <w:b/>
          <w:bCs/>
          <w:color w:val="auto"/>
          <w:sz w:val="24"/>
          <w:szCs w:val="24"/>
        </w:rPr>
      </w:pPr>
      <w:bookmarkStart w:id="134" w:name="_Toc31935"/>
      <w:r>
        <w:rPr>
          <w:rFonts w:hint="eastAsia" w:ascii="宋体" w:hAnsi="宋体" w:cs="宋体"/>
          <w:b/>
          <w:bCs/>
          <w:color w:val="auto"/>
          <w:sz w:val="24"/>
          <w:szCs w:val="24"/>
        </w:rPr>
        <w:t>日期：     年   月   日             日期：     年   月   日</w:t>
      </w:r>
      <w:bookmarkEnd w:id="134"/>
    </w:p>
    <w:p w14:paraId="06849330">
      <w:pPr>
        <w:autoSpaceDE w:val="0"/>
        <w:autoSpaceDN w:val="0"/>
        <w:adjustRightInd w:val="0"/>
        <w:spacing w:line="440" w:lineRule="exact"/>
        <w:jc w:val="center"/>
        <w:outlineLvl w:val="0"/>
        <w:rPr>
          <w:rFonts w:hint="eastAsia" w:ascii="宋体" w:hAnsi="宋体" w:cs="宋体"/>
          <w:b/>
          <w:bCs/>
          <w:color w:val="auto"/>
          <w:sz w:val="24"/>
          <w:szCs w:val="24"/>
        </w:rPr>
      </w:pPr>
    </w:p>
    <w:p w14:paraId="270F40E7">
      <w:pPr>
        <w:autoSpaceDE w:val="0"/>
        <w:autoSpaceDN w:val="0"/>
        <w:adjustRightInd w:val="0"/>
        <w:spacing w:line="440" w:lineRule="exact"/>
        <w:jc w:val="center"/>
        <w:outlineLvl w:val="0"/>
        <w:rPr>
          <w:rFonts w:hint="eastAsia" w:ascii="宋体" w:hAnsi="宋体" w:cs="宋体"/>
          <w:b/>
          <w:bCs/>
          <w:color w:val="auto"/>
          <w:sz w:val="24"/>
          <w:szCs w:val="24"/>
        </w:rPr>
      </w:pPr>
    </w:p>
    <w:p w14:paraId="0F3994B2">
      <w:pPr>
        <w:autoSpaceDE w:val="0"/>
        <w:autoSpaceDN w:val="0"/>
        <w:adjustRightInd w:val="0"/>
        <w:spacing w:line="440" w:lineRule="exact"/>
        <w:jc w:val="center"/>
        <w:outlineLvl w:val="0"/>
        <w:rPr>
          <w:rFonts w:hint="eastAsia" w:ascii="宋体" w:hAnsi="宋体" w:cs="宋体"/>
          <w:b/>
          <w:bCs/>
          <w:color w:val="auto"/>
          <w:sz w:val="24"/>
          <w:szCs w:val="24"/>
        </w:rPr>
      </w:pPr>
    </w:p>
    <w:p w14:paraId="2F0A1BAD">
      <w:pPr>
        <w:autoSpaceDE w:val="0"/>
        <w:autoSpaceDN w:val="0"/>
        <w:adjustRightInd w:val="0"/>
        <w:spacing w:line="440" w:lineRule="exact"/>
        <w:jc w:val="center"/>
        <w:outlineLvl w:val="0"/>
        <w:rPr>
          <w:rFonts w:hint="eastAsia" w:ascii="宋体" w:hAnsi="宋体" w:cs="宋体"/>
          <w:b/>
          <w:bCs/>
          <w:color w:val="auto"/>
          <w:sz w:val="24"/>
          <w:szCs w:val="24"/>
        </w:rPr>
      </w:pPr>
    </w:p>
    <w:p w14:paraId="31D4795D">
      <w:pPr>
        <w:autoSpaceDE w:val="0"/>
        <w:autoSpaceDN w:val="0"/>
        <w:adjustRightInd w:val="0"/>
        <w:spacing w:line="440" w:lineRule="exact"/>
        <w:jc w:val="center"/>
        <w:outlineLvl w:val="0"/>
        <w:rPr>
          <w:rFonts w:hint="eastAsia" w:ascii="宋体" w:hAnsi="宋体" w:cs="宋体"/>
          <w:b/>
          <w:bCs/>
          <w:color w:val="auto"/>
          <w:sz w:val="24"/>
          <w:szCs w:val="24"/>
        </w:rPr>
      </w:pPr>
    </w:p>
    <w:p w14:paraId="3F40C37F">
      <w:pPr>
        <w:autoSpaceDE w:val="0"/>
        <w:autoSpaceDN w:val="0"/>
        <w:adjustRightInd w:val="0"/>
        <w:spacing w:line="440" w:lineRule="exact"/>
        <w:jc w:val="center"/>
        <w:outlineLvl w:val="0"/>
        <w:rPr>
          <w:rFonts w:hint="eastAsia" w:ascii="宋体" w:hAnsi="宋体" w:cs="宋体"/>
          <w:b/>
          <w:bCs/>
          <w:color w:val="auto"/>
          <w:sz w:val="24"/>
          <w:szCs w:val="24"/>
        </w:rPr>
      </w:pPr>
    </w:p>
    <w:p w14:paraId="3298A964">
      <w:pPr>
        <w:autoSpaceDE w:val="0"/>
        <w:autoSpaceDN w:val="0"/>
        <w:adjustRightInd w:val="0"/>
        <w:spacing w:line="440" w:lineRule="exact"/>
        <w:jc w:val="center"/>
        <w:outlineLvl w:val="0"/>
        <w:rPr>
          <w:rFonts w:hint="eastAsia" w:ascii="宋体" w:hAnsi="宋体" w:cs="宋体"/>
          <w:b/>
          <w:bCs/>
          <w:color w:val="auto"/>
          <w:sz w:val="24"/>
          <w:szCs w:val="24"/>
        </w:rPr>
      </w:pPr>
    </w:p>
    <w:p w14:paraId="25A73B65">
      <w:pPr>
        <w:autoSpaceDE w:val="0"/>
        <w:autoSpaceDN w:val="0"/>
        <w:adjustRightInd w:val="0"/>
        <w:spacing w:line="440" w:lineRule="exact"/>
        <w:jc w:val="center"/>
        <w:outlineLvl w:val="0"/>
        <w:rPr>
          <w:rFonts w:hint="eastAsia" w:ascii="宋体" w:hAnsi="宋体" w:cs="宋体"/>
          <w:b/>
          <w:bCs/>
          <w:color w:val="auto"/>
          <w:sz w:val="24"/>
          <w:szCs w:val="24"/>
        </w:rPr>
      </w:pPr>
    </w:p>
    <w:p w14:paraId="1B9E51E8">
      <w:pPr>
        <w:autoSpaceDE w:val="0"/>
        <w:autoSpaceDN w:val="0"/>
        <w:adjustRightInd w:val="0"/>
        <w:spacing w:line="440" w:lineRule="exact"/>
        <w:jc w:val="center"/>
        <w:outlineLvl w:val="0"/>
        <w:rPr>
          <w:rFonts w:hint="eastAsia" w:ascii="宋体" w:hAnsi="宋体" w:cs="宋体"/>
          <w:b/>
          <w:bCs/>
          <w:color w:val="auto"/>
          <w:sz w:val="28"/>
          <w:szCs w:val="28"/>
          <w:lang w:val="zh-CN"/>
        </w:rPr>
      </w:pPr>
      <w:bookmarkStart w:id="135" w:name="_Toc27895"/>
      <w:r>
        <w:rPr>
          <w:rFonts w:hint="eastAsia" w:ascii="宋体" w:hAnsi="宋体" w:cs="宋体"/>
          <w:b/>
          <w:bCs/>
          <w:color w:val="auto"/>
          <w:sz w:val="44"/>
          <w:szCs w:val="44"/>
        </w:rPr>
        <w:t>第五部分　</w:t>
      </w:r>
      <w:bookmarkEnd w:id="129"/>
      <w:bookmarkEnd w:id="130"/>
      <w:bookmarkEnd w:id="131"/>
      <w:bookmarkEnd w:id="132"/>
      <w:bookmarkEnd w:id="133"/>
      <w:r>
        <w:rPr>
          <w:rFonts w:hint="eastAsia" w:ascii="宋体" w:hAnsi="宋体" w:cs="宋体"/>
          <w:b/>
          <w:bCs/>
          <w:color w:val="auto"/>
          <w:sz w:val="44"/>
          <w:szCs w:val="44"/>
        </w:rPr>
        <w:t>磋商响应文件及格式</w:t>
      </w:r>
      <w:bookmarkEnd w:id="135"/>
    </w:p>
    <w:p w14:paraId="23B8FE4F">
      <w:pPr>
        <w:spacing w:line="400" w:lineRule="atLeast"/>
        <w:jc w:val="center"/>
        <w:rPr>
          <w:rFonts w:hint="eastAsia" w:ascii="宋体" w:hAnsi="宋体" w:cs="宋体"/>
          <w:color w:val="auto"/>
          <w:sz w:val="28"/>
          <w:szCs w:val="28"/>
        </w:rPr>
      </w:pPr>
    </w:p>
    <w:p w14:paraId="0B00EC0D">
      <w:pPr>
        <w:autoSpaceDE w:val="0"/>
        <w:autoSpaceDN w:val="0"/>
        <w:adjustRightInd w:val="0"/>
        <w:spacing w:line="440" w:lineRule="exact"/>
        <w:ind w:firstLine="420"/>
        <w:rPr>
          <w:rFonts w:hint="eastAsia" w:ascii="宋体" w:hAnsi="宋体" w:cs="宋体"/>
          <w:b/>
          <w:bCs/>
          <w:color w:val="auto"/>
          <w:sz w:val="28"/>
          <w:szCs w:val="28"/>
          <w:lang w:val="zh-CN"/>
        </w:rPr>
      </w:pPr>
    </w:p>
    <w:p w14:paraId="3D6C6FE9">
      <w:pPr>
        <w:autoSpaceDE w:val="0"/>
        <w:autoSpaceDN w:val="0"/>
        <w:adjustRightInd w:val="0"/>
        <w:spacing w:line="440" w:lineRule="exact"/>
        <w:ind w:firstLine="420"/>
        <w:rPr>
          <w:rFonts w:hint="eastAsia" w:ascii="宋体" w:hAnsi="宋体" w:cs="宋体"/>
          <w:b/>
          <w:bCs/>
          <w:color w:val="auto"/>
          <w:sz w:val="28"/>
          <w:szCs w:val="28"/>
          <w:lang w:val="zh-CN"/>
        </w:rPr>
      </w:pPr>
    </w:p>
    <w:p w14:paraId="040E1889">
      <w:pPr>
        <w:autoSpaceDE w:val="0"/>
        <w:autoSpaceDN w:val="0"/>
        <w:adjustRightInd w:val="0"/>
        <w:spacing w:line="440" w:lineRule="exact"/>
        <w:jc w:val="center"/>
        <w:outlineLvl w:val="0"/>
        <w:rPr>
          <w:rFonts w:hint="eastAsia" w:ascii="宋体" w:hAnsi="宋体" w:cs="宋体"/>
          <w:b/>
          <w:bCs/>
          <w:color w:val="auto"/>
          <w:sz w:val="28"/>
          <w:szCs w:val="28"/>
          <w:lang w:val="zh-CN"/>
        </w:rPr>
      </w:pPr>
      <w:bookmarkStart w:id="136" w:name="_Toc6125"/>
      <w:bookmarkStart w:id="137" w:name="_Toc727"/>
      <w:bookmarkStart w:id="138" w:name="_Toc4214"/>
      <w:r>
        <w:rPr>
          <w:rFonts w:hint="eastAsia" w:ascii="宋体" w:hAnsi="宋体" w:cs="宋体"/>
          <w:color w:val="auto"/>
          <w:sz w:val="28"/>
          <w:szCs w:val="28"/>
          <w:lang w:val="zh-CN"/>
        </w:rPr>
        <w:t>注：为了便于查找，标注目录及页码</w:t>
      </w:r>
      <w:bookmarkEnd w:id="136"/>
      <w:bookmarkEnd w:id="137"/>
      <w:bookmarkEnd w:id="138"/>
    </w:p>
    <w:p w14:paraId="2BCFFFE9">
      <w:pPr>
        <w:autoSpaceDE w:val="0"/>
        <w:autoSpaceDN w:val="0"/>
        <w:adjustRightInd w:val="0"/>
        <w:spacing w:line="440" w:lineRule="exact"/>
        <w:jc w:val="center"/>
        <w:outlineLvl w:val="0"/>
        <w:rPr>
          <w:rFonts w:hint="eastAsia" w:ascii="宋体" w:hAnsi="宋体" w:cs="宋体"/>
          <w:color w:val="auto"/>
          <w:sz w:val="28"/>
          <w:szCs w:val="28"/>
          <w:lang w:val="zh-CN"/>
        </w:rPr>
      </w:pPr>
      <w:bookmarkStart w:id="139" w:name="_Toc23556"/>
      <w:bookmarkStart w:id="140" w:name="_Toc27640"/>
      <w:bookmarkStart w:id="141" w:name="_Toc24845"/>
      <w:r>
        <w:rPr>
          <w:rFonts w:hint="eastAsia" w:ascii="宋体" w:hAnsi="宋体" w:cs="宋体"/>
          <w:color w:val="auto"/>
          <w:sz w:val="28"/>
          <w:szCs w:val="28"/>
          <w:lang w:val="zh-CN"/>
        </w:rPr>
        <w:t>（以下内容需按要求提供相应证明材料）</w:t>
      </w:r>
      <w:bookmarkEnd w:id="139"/>
      <w:bookmarkEnd w:id="140"/>
      <w:bookmarkEnd w:id="141"/>
    </w:p>
    <w:p w14:paraId="659953B3">
      <w:pPr>
        <w:autoSpaceDE w:val="0"/>
        <w:autoSpaceDN w:val="0"/>
        <w:adjustRightInd w:val="0"/>
        <w:spacing w:line="440" w:lineRule="exact"/>
        <w:jc w:val="center"/>
        <w:rPr>
          <w:rFonts w:hint="eastAsia" w:ascii="宋体" w:hAnsi="宋体" w:cs="宋体"/>
          <w:b/>
          <w:bCs/>
          <w:color w:val="auto"/>
          <w:sz w:val="28"/>
          <w:szCs w:val="28"/>
          <w:lang w:val="zh-CN"/>
        </w:rPr>
      </w:pPr>
    </w:p>
    <w:p w14:paraId="462CF3DC">
      <w:pPr>
        <w:autoSpaceDE w:val="0"/>
        <w:autoSpaceDN w:val="0"/>
        <w:adjustRightInd w:val="0"/>
        <w:spacing w:line="440" w:lineRule="exact"/>
        <w:rPr>
          <w:rFonts w:hint="eastAsia" w:ascii="宋体" w:hAnsi="宋体" w:cs="宋体"/>
          <w:b/>
          <w:bCs/>
          <w:color w:val="auto"/>
          <w:sz w:val="28"/>
          <w:szCs w:val="28"/>
          <w:lang w:val="zh-CN"/>
        </w:rPr>
      </w:pPr>
    </w:p>
    <w:p w14:paraId="45942619">
      <w:pPr>
        <w:pStyle w:val="59"/>
        <w:spacing w:line="600" w:lineRule="exact"/>
        <w:jc w:val="center"/>
        <w:rPr>
          <w:rFonts w:hint="eastAsia" w:ascii="宋体" w:hAnsi="宋体" w:cs="宋体"/>
          <w:b/>
          <w:bCs/>
          <w:color w:val="auto"/>
          <w:sz w:val="52"/>
          <w:szCs w:val="52"/>
        </w:rPr>
      </w:pPr>
      <w:r>
        <w:rPr>
          <w:rFonts w:hint="eastAsia" w:ascii="宋体" w:hAnsi="宋体" w:cs="宋体"/>
          <w:bCs/>
          <w:color w:val="auto"/>
          <w:sz w:val="28"/>
          <w:szCs w:val="28"/>
          <w:lang w:val="zh-CN"/>
        </w:rPr>
        <w:br w:type="page"/>
      </w:r>
      <w:r>
        <w:rPr>
          <w:rFonts w:hint="eastAsia" w:ascii="宋体" w:hAnsi="宋体" w:cs="宋体"/>
          <w:b/>
          <w:bCs/>
          <w:color w:val="auto"/>
          <w:sz w:val="52"/>
          <w:szCs w:val="52"/>
        </w:rPr>
        <w:t>投  标  文  件</w:t>
      </w:r>
    </w:p>
    <w:p w14:paraId="5F866B7D">
      <w:pPr>
        <w:pStyle w:val="59"/>
        <w:spacing w:line="380" w:lineRule="exact"/>
        <w:jc w:val="center"/>
        <w:rPr>
          <w:rFonts w:hint="eastAsia" w:ascii="宋体" w:hAnsi="宋体" w:cs="宋体"/>
          <w:b/>
          <w:bCs/>
          <w:color w:val="auto"/>
          <w:sz w:val="44"/>
          <w:szCs w:val="44"/>
        </w:rPr>
      </w:pPr>
    </w:p>
    <w:p w14:paraId="42D69584">
      <w:pPr>
        <w:pStyle w:val="59"/>
        <w:spacing w:line="380" w:lineRule="exact"/>
        <w:jc w:val="center"/>
        <w:rPr>
          <w:rFonts w:hint="eastAsia" w:ascii="宋体" w:hAnsi="宋体" w:cs="宋体"/>
          <w:color w:val="auto"/>
          <w:sz w:val="28"/>
          <w:szCs w:val="28"/>
        </w:rPr>
      </w:pPr>
    </w:p>
    <w:p w14:paraId="3D32D380">
      <w:pPr>
        <w:ind w:right="980"/>
        <w:jc w:val="center"/>
        <w:rPr>
          <w:rFonts w:hint="eastAsia" w:ascii="宋体" w:hAnsi="宋体" w:cs="宋体"/>
          <w:color w:val="auto"/>
          <w:sz w:val="28"/>
          <w:szCs w:val="28"/>
          <w:u w:val="single"/>
        </w:rPr>
      </w:pPr>
    </w:p>
    <w:p w14:paraId="61E8BA94">
      <w:pPr>
        <w:ind w:right="980"/>
        <w:jc w:val="center"/>
        <w:outlineLvl w:val="0"/>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bookmarkStart w:id="142" w:name="_Toc27418_WPSOffice_Level1"/>
      <w:bookmarkStart w:id="143" w:name="_Toc24614"/>
      <w:bookmarkStart w:id="144" w:name="_Toc11176"/>
      <w:bookmarkStart w:id="145" w:name="_Toc27431"/>
      <w:bookmarkStart w:id="146" w:name="_Toc4074_WPSOffice_Level1"/>
      <w:bookmarkStart w:id="147" w:name="_Toc9390"/>
      <w:bookmarkStart w:id="148" w:name="_Toc4262"/>
      <w:r>
        <w:rPr>
          <w:rFonts w:hint="eastAsia" w:ascii="宋体" w:hAnsi="宋体" w:cs="宋体"/>
          <w:color w:val="auto"/>
          <w:sz w:val="28"/>
          <w:szCs w:val="28"/>
        </w:rPr>
        <w:t>（项目名称）</w:t>
      </w:r>
      <w:bookmarkEnd w:id="142"/>
      <w:bookmarkEnd w:id="143"/>
      <w:bookmarkEnd w:id="144"/>
      <w:bookmarkEnd w:id="145"/>
      <w:bookmarkEnd w:id="146"/>
      <w:bookmarkEnd w:id="147"/>
      <w:bookmarkEnd w:id="148"/>
    </w:p>
    <w:p w14:paraId="384A9AE1">
      <w:pPr>
        <w:rPr>
          <w:rFonts w:hint="eastAsia" w:ascii="宋体" w:hAnsi="宋体" w:cs="宋体"/>
          <w:color w:val="auto"/>
          <w:sz w:val="28"/>
          <w:szCs w:val="28"/>
        </w:rPr>
      </w:pPr>
      <w:r>
        <w:rPr>
          <w:rFonts w:hint="eastAsia" w:ascii="宋体" w:hAnsi="宋体" w:cs="宋体"/>
          <w:color w:val="auto"/>
          <w:sz w:val="20"/>
        </w:rPr>
        <w:t xml:space="preserve">             </w:t>
      </w:r>
    </w:p>
    <w:p w14:paraId="21247EC9">
      <w:pPr>
        <w:ind w:firstLine="280" w:firstLineChars="100"/>
        <w:rPr>
          <w:rFonts w:hint="eastAsia" w:ascii="宋体" w:hAnsi="宋体" w:cs="宋体"/>
          <w:color w:val="auto"/>
          <w:sz w:val="28"/>
          <w:szCs w:val="28"/>
          <w:u w:val="single"/>
        </w:rPr>
      </w:pPr>
      <w:r>
        <w:rPr>
          <w:rFonts w:hint="eastAsia" w:ascii="宋体" w:hAnsi="宋体" w:cs="宋体"/>
          <w:color w:val="auto"/>
          <w:sz w:val="28"/>
          <w:szCs w:val="28"/>
        </w:rPr>
        <w:t xml:space="preserve">            项目编号：</w:t>
      </w:r>
      <w:r>
        <w:rPr>
          <w:rFonts w:hint="eastAsia" w:ascii="宋体" w:hAnsi="宋体" w:cs="宋体"/>
          <w:color w:val="auto"/>
          <w:sz w:val="28"/>
          <w:szCs w:val="28"/>
          <w:u w:val="single"/>
        </w:rPr>
        <w:t xml:space="preserve">                      </w:t>
      </w:r>
    </w:p>
    <w:p w14:paraId="10209EB8">
      <w:pPr>
        <w:rPr>
          <w:rFonts w:hint="eastAsia" w:ascii="宋体" w:hAnsi="宋体" w:cs="宋体"/>
          <w:color w:val="auto"/>
          <w:sz w:val="20"/>
        </w:rPr>
      </w:pPr>
    </w:p>
    <w:p w14:paraId="4E75A713">
      <w:pPr>
        <w:rPr>
          <w:rFonts w:hint="eastAsia" w:ascii="宋体" w:hAnsi="宋体" w:cs="宋体"/>
          <w:color w:val="auto"/>
          <w:sz w:val="20"/>
        </w:rPr>
      </w:pPr>
    </w:p>
    <w:p w14:paraId="12976084">
      <w:pPr>
        <w:rPr>
          <w:rFonts w:hint="eastAsia" w:ascii="宋体" w:hAnsi="宋体" w:cs="宋体"/>
          <w:color w:val="auto"/>
          <w:sz w:val="20"/>
        </w:rPr>
      </w:pPr>
    </w:p>
    <w:p w14:paraId="545E6EE9">
      <w:pPr>
        <w:rPr>
          <w:rFonts w:hint="eastAsia" w:ascii="宋体" w:hAnsi="宋体" w:cs="宋体"/>
          <w:color w:val="auto"/>
          <w:sz w:val="20"/>
        </w:rPr>
      </w:pPr>
    </w:p>
    <w:p w14:paraId="45D1BB02">
      <w:pPr>
        <w:rPr>
          <w:rFonts w:hint="eastAsia" w:ascii="宋体" w:hAnsi="宋体" w:cs="宋体"/>
          <w:color w:val="auto"/>
          <w:sz w:val="20"/>
        </w:rPr>
      </w:pPr>
    </w:p>
    <w:p w14:paraId="1A0017D1">
      <w:pPr>
        <w:rPr>
          <w:rFonts w:hint="eastAsia" w:ascii="宋体" w:hAnsi="宋体" w:cs="宋体"/>
          <w:b/>
          <w:bCs/>
          <w:color w:val="auto"/>
          <w:sz w:val="28"/>
          <w:szCs w:val="28"/>
        </w:rPr>
      </w:pPr>
    </w:p>
    <w:p w14:paraId="109E6979">
      <w:pPr>
        <w:rPr>
          <w:rFonts w:hint="eastAsia" w:ascii="宋体" w:hAnsi="宋体" w:cs="宋体"/>
          <w:color w:val="auto"/>
        </w:rPr>
      </w:pPr>
    </w:p>
    <w:p w14:paraId="2840F171">
      <w:pPr>
        <w:rPr>
          <w:rFonts w:hint="eastAsia" w:ascii="宋体" w:hAnsi="宋体" w:cs="宋体"/>
          <w:bCs/>
          <w:color w:val="auto"/>
          <w:sz w:val="30"/>
          <w:szCs w:val="30"/>
        </w:rPr>
      </w:pPr>
    </w:p>
    <w:p w14:paraId="5E7B5583">
      <w:pPr>
        <w:rPr>
          <w:rFonts w:hint="eastAsia" w:ascii="宋体" w:hAnsi="宋体" w:cs="宋体"/>
          <w:bCs/>
          <w:color w:val="auto"/>
          <w:sz w:val="30"/>
          <w:szCs w:val="30"/>
        </w:rPr>
      </w:pPr>
    </w:p>
    <w:p w14:paraId="3C8C7E26">
      <w:pPr>
        <w:rPr>
          <w:rFonts w:hint="eastAsia" w:ascii="宋体" w:hAnsi="宋体" w:cs="宋体"/>
          <w:bCs/>
          <w:color w:val="auto"/>
          <w:sz w:val="30"/>
          <w:szCs w:val="30"/>
        </w:rPr>
      </w:pPr>
    </w:p>
    <w:p w14:paraId="74D03F6F">
      <w:pPr>
        <w:rPr>
          <w:rFonts w:hint="eastAsia" w:ascii="宋体" w:hAnsi="宋体" w:cs="宋体"/>
          <w:bCs/>
          <w:color w:val="auto"/>
          <w:sz w:val="30"/>
          <w:szCs w:val="30"/>
        </w:rPr>
      </w:pPr>
    </w:p>
    <w:p w14:paraId="741E7809">
      <w:pPr>
        <w:ind w:firstLine="1120" w:firstLineChars="400"/>
        <w:rPr>
          <w:rFonts w:hint="eastAsia" w:ascii="宋体" w:hAnsi="宋体" w:cs="宋体"/>
          <w:color w:val="auto"/>
          <w:sz w:val="28"/>
          <w:szCs w:val="28"/>
          <w:u w:val="single"/>
        </w:rPr>
      </w:pPr>
      <w:bookmarkStart w:id="149" w:name="_Toc23913_WPSOffice_Level1"/>
      <w:bookmarkStart w:id="150" w:name="_Toc26498_WPSOffice_Level1"/>
      <w:r>
        <w:rPr>
          <w:rFonts w:hint="eastAsia" w:ascii="宋体" w:hAnsi="宋体" w:cs="宋体"/>
          <w:color w:val="auto"/>
          <w:sz w:val="28"/>
          <w:szCs w:val="28"/>
        </w:rPr>
        <w:t>投标单位：</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bookmarkEnd w:id="149"/>
      <w:bookmarkEnd w:id="150"/>
    </w:p>
    <w:p w14:paraId="4FEFF511">
      <w:pPr>
        <w:jc w:val="center"/>
        <w:rPr>
          <w:rFonts w:hint="eastAsia" w:ascii="宋体" w:hAnsi="宋体" w:cs="宋体"/>
          <w:color w:val="auto"/>
          <w:sz w:val="28"/>
          <w:szCs w:val="28"/>
        </w:rPr>
      </w:pPr>
    </w:p>
    <w:p w14:paraId="43997A7F">
      <w:pPr>
        <w:ind w:firstLine="980" w:firstLineChars="350"/>
        <w:rPr>
          <w:rFonts w:hint="eastAsia" w:ascii="宋体" w:hAnsi="宋体" w:cs="宋体"/>
          <w:color w:val="auto"/>
          <w:sz w:val="28"/>
          <w:szCs w:val="28"/>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14:paraId="71FD347F">
      <w:pPr>
        <w:jc w:val="center"/>
        <w:rPr>
          <w:rFonts w:hint="eastAsia" w:ascii="宋体" w:hAnsi="宋体" w:cs="宋体"/>
          <w:color w:val="auto"/>
        </w:rPr>
      </w:pPr>
      <w:r>
        <w:rPr>
          <w:rFonts w:hint="eastAsia" w:ascii="宋体" w:hAnsi="宋体" w:cs="宋体"/>
          <w:color w:val="auto"/>
        </w:rPr>
        <w:t xml:space="preserve">      </w:t>
      </w:r>
    </w:p>
    <w:p w14:paraId="19D3EE97">
      <w:pPr>
        <w:jc w:val="center"/>
        <w:rPr>
          <w:rFonts w:hint="eastAsia" w:ascii="宋体" w:hAnsi="宋体" w:cs="宋体"/>
          <w:color w:val="auto"/>
        </w:rPr>
      </w:pPr>
    </w:p>
    <w:p w14:paraId="7274D378">
      <w:pPr>
        <w:jc w:val="center"/>
        <w:outlineLvl w:val="0"/>
        <w:rPr>
          <w:rFonts w:hint="eastAsia" w:ascii="宋体" w:hAnsi="宋体" w:cs="宋体"/>
          <w:color w:val="auto"/>
          <w:sz w:val="28"/>
          <w:szCs w:val="28"/>
        </w:rPr>
      </w:pPr>
      <w:r>
        <w:rPr>
          <w:rFonts w:hint="eastAsia" w:ascii="宋体" w:hAnsi="宋体" w:cs="宋体"/>
          <w:color w:val="auto"/>
          <w:sz w:val="28"/>
          <w:szCs w:val="28"/>
        </w:rPr>
        <w:t xml:space="preserve"> </w:t>
      </w:r>
      <w:bookmarkStart w:id="151" w:name="_Toc17713_WPSOffice_Level1"/>
      <w:bookmarkStart w:id="152" w:name="_Toc21903"/>
      <w:bookmarkStart w:id="153" w:name="_Toc23099_WPSOffice_Level1"/>
      <w:bookmarkStart w:id="154" w:name="_Toc25330"/>
      <w:bookmarkStart w:id="155" w:name="_Toc14257"/>
      <w:bookmarkStart w:id="156" w:name="_Toc19352"/>
      <w:bookmarkStart w:id="157" w:name="_Toc9582"/>
      <w:r>
        <w:rPr>
          <w:rFonts w:hint="eastAsia" w:ascii="宋体" w:hAnsi="宋体" w:cs="宋体"/>
          <w:color w:val="auto"/>
          <w:sz w:val="28"/>
          <w:szCs w:val="28"/>
        </w:rPr>
        <w:t>年        月        日</w:t>
      </w:r>
      <w:bookmarkEnd w:id="151"/>
      <w:bookmarkEnd w:id="152"/>
      <w:bookmarkEnd w:id="153"/>
      <w:bookmarkEnd w:id="154"/>
      <w:bookmarkEnd w:id="155"/>
      <w:bookmarkEnd w:id="156"/>
      <w:bookmarkEnd w:id="157"/>
    </w:p>
    <w:p w14:paraId="06E1A0C7">
      <w:pPr>
        <w:jc w:val="center"/>
        <w:rPr>
          <w:rFonts w:hint="eastAsia" w:ascii="宋体" w:hAnsi="宋体" w:cs="宋体"/>
          <w:color w:val="auto"/>
        </w:rPr>
      </w:pPr>
    </w:p>
    <w:p w14:paraId="18E1A147">
      <w:pPr>
        <w:rPr>
          <w:rFonts w:hint="eastAsia" w:ascii="宋体" w:hAnsi="宋体" w:cs="宋体"/>
          <w:color w:val="auto"/>
        </w:rPr>
      </w:pPr>
    </w:p>
    <w:p w14:paraId="22F4D000">
      <w:pPr>
        <w:jc w:val="center"/>
        <w:rPr>
          <w:rFonts w:hint="eastAsia" w:ascii="宋体" w:hAnsi="宋体" w:cs="宋体"/>
          <w:color w:val="auto"/>
        </w:rPr>
      </w:pPr>
    </w:p>
    <w:p w14:paraId="24DC541D">
      <w:pPr>
        <w:jc w:val="center"/>
        <w:rPr>
          <w:rFonts w:hint="eastAsia" w:ascii="宋体" w:hAnsi="宋体" w:cs="宋体"/>
          <w:color w:val="auto"/>
        </w:rPr>
      </w:pPr>
    </w:p>
    <w:p w14:paraId="33939448">
      <w:pPr>
        <w:rPr>
          <w:rFonts w:hint="eastAsia" w:ascii="宋体" w:hAnsi="宋体" w:cs="宋体"/>
          <w:color w:val="auto"/>
        </w:rPr>
      </w:pPr>
    </w:p>
    <w:p w14:paraId="3FAC6D64">
      <w:pPr>
        <w:jc w:val="center"/>
        <w:rPr>
          <w:rFonts w:hint="eastAsia" w:ascii="宋体" w:hAnsi="宋体" w:cs="宋体"/>
          <w:b/>
          <w:bCs/>
          <w:color w:val="auto"/>
          <w:sz w:val="44"/>
          <w:szCs w:val="44"/>
        </w:rPr>
      </w:pPr>
    </w:p>
    <w:p w14:paraId="54ED69FF">
      <w:pPr>
        <w:pStyle w:val="4"/>
        <w:rPr>
          <w:rFonts w:hint="eastAsia" w:ascii="宋体" w:hAnsi="宋体" w:cs="宋体"/>
          <w:color w:val="auto"/>
          <w:sz w:val="44"/>
          <w:szCs w:val="44"/>
        </w:rPr>
      </w:pPr>
    </w:p>
    <w:p w14:paraId="33083F38">
      <w:pPr>
        <w:rPr>
          <w:rFonts w:hint="eastAsia" w:ascii="宋体" w:hAnsi="宋体" w:cs="宋体"/>
          <w:b/>
          <w:bCs/>
          <w:color w:val="auto"/>
          <w:sz w:val="44"/>
          <w:szCs w:val="44"/>
        </w:rPr>
      </w:pPr>
    </w:p>
    <w:p w14:paraId="5E6E0A2E">
      <w:pPr>
        <w:pStyle w:val="4"/>
        <w:rPr>
          <w:rFonts w:hint="eastAsia" w:ascii="宋体" w:hAnsi="宋体" w:cs="宋体"/>
          <w:color w:val="auto"/>
        </w:rPr>
      </w:pPr>
    </w:p>
    <w:p w14:paraId="3E896173">
      <w:pPr>
        <w:rPr>
          <w:rFonts w:hint="eastAsia" w:ascii="宋体" w:hAnsi="宋体" w:cs="宋体"/>
          <w:b/>
          <w:bCs/>
          <w:color w:val="auto"/>
          <w:sz w:val="44"/>
          <w:szCs w:val="44"/>
        </w:rPr>
      </w:pPr>
    </w:p>
    <w:p w14:paraId="376C5158">
      <w:pPr>
        <w:jc w:val="center"/>
        <w:rPr>
          <w:rFonts w:hint="eastAsia" w:ascii="宋体" w:hAnsi="宋体" w:cs="宋体"/>
          <w:b/>
          <w:bCs/>
          <w:color w:val="auto"/>
          <w:sz w:val="44"/>
          <w:szCs w:val="44"/>
        </w:rPr>
      </w:pPr>
    </w:p>
    <w:p w14:paraId="51796B45">
      <w:pPr>
        <w:spacing w:line="600" w:lineRule="exact"/>
        <w:jc w:val="center"/>
        <w:rPr>
          <w:rFonts w:hint="eastAsia" w:ascii="宋体" w:hAnsi="宋体" w:cs="宋体"/>
          <w:b/>
          <w:bCs/>
          <w:color w:val="auto"/>
          <w:sz w:val="44"/>
          <w:szCs w:val="44"/>
        </w:rPr>
      </w:pPr>
      <w:r>
        <w:rPr>
          <w:rFonts w:hint="eastAsia" w:ascii="宋体" w:hAnsi="宋体" w:cs="宋体"/>
          <w:b/>
          <w:bCs/>
          <w:color w:val="auto"/>
          <w:sz w:val="44"/>
          <w:szCs w:val="44"/>
        </w:rPr>
        <w:t>第一部分</w:t>
      </w:r>
    </w:p>
    <w:p w14:paraId="3A1508CA">
      <w:pPr>
        <w:spacing w:line="600" w:lineRule="exact"/>
        <w:jc w:val="center"/>
        <w:rPr>
          <w:rFonts w:hint="eastAsia" w:ascii="宋体" w:hAnsi="宋体" w:cs="宋体"/>
          <w:b/>
          <w:bCs/>
          <w:color w:val="auto"/>
          <w:sz w:val="44"/>
          <w:szCs w:val="44"/>
        </w:rPr>
      </w:pPr>
      <w:bookmarkStart w:id="158" w:name="_Toc17081"/>
      <w:bookmarkStart w:id="159" w:name="_Toc23615"/>
      <w:bookmarkStart w:id="160" w:name="_Toc141"/>
      <w:bookmarkStart w:id="161" w:name="_Toc12934_WPSOffice_Level1"/>
      <w:bookmarkStart w:id="162" w:name="_Toc16670_WPSOffice_Level1"/>
      <w:r>
        <w:rPr>
          <w:rFonts w:hint="eastAsia" w:ascii="宋体" w:hAnsi="宋体" w:cs="宋体"/>
          <w:b/>
          <w:bCs/>
          <w:color w:val="auto"/>
          <w:sz w:val="44"/>
          <w:szCs w:val="44"/>
        </w:rPr>
        <w:t>经济报价部分</w:t>
      </w:r>
      <w:bookmarkEnd w:id="158"/>
      <w:bookmarkEnd w:id="159"/>
      <w:bookmarkEnd w:id="160"/>
      <w:bookmarkEnd w:id="161"/>
      <w:bookmarkEnd w:id="162"/>
    </w:p>
    <w:p w14:paraId="53FEF53D">
      <w:pPr>
        <w:ind w:right="600"/>
        <w:rPr>
          <w:rFonts w:hint="eastAsia" w:ascii="宋体" w:hAnsi="宋体" w:cs="宋体"/>
          <w:color w:val="auto"/>
          <w:sz w:val="28"/>
          <w:szCs w:val="28"/>
        </w:rPr>
      </w:pPr>
    </w:p>
    <w:p w14:paraId="7713066A">
      <w:pPr>
        <w:ind w:right="600"/>
        <w:rPr>
          <w:rFonts w:hint="eastAsia" w:ascii="宋体" w:hAnsi="宋体" w:cs="宋体"/>
          <w:color w:val="auto"/>
          <w:sz w:val="28"/>
          <w:szCs w:val="28"/>
        </w:rPr>
      </w:pPr>
    </w:p>
    <w:p w14:paraId="2FEA07DF">
      <w:pPr>
        <w:ind w:right="600"/>
        <w:rPr>
          <w:rFonts w:hint="eastAsia" w:ascii="宋体" w:hAnsi="宋体" w:cs="宋体"/>
          <w:color w:val="auto"/>
          <w:sz w:val="28"/>
          <w:szCs w:val="28"/>
        </w:rPr>
      </w:pPr>
    </w:p>
    <w:p w14:paraId="403CB720">
      <w:pPr>
        <w:ind w:right="600"/>
        <w:rPr>
          <w:rFonts w:hint="eastAsia" w:ascii="宋体" w:hAnsi="宋体" w:cs="宋体"/>
          <w:color w:val="auto"/>
          <w:sz w:val="28"/>
          <w:szCs w:val="28"/>
        </w:rPr>
      </w:pPr>
    </w:p>
    <w:p w14:paraId="744A1A8B">
      <w:pPr>
        <w:ind w:right="600"/>
        <w:rPr>
          <w:rFonts w:hint="eastAsia" w:ascii="宋体" w:hAnsi="宋体" w:cs="宋体"/>
          <w:color w:val="auto"/>
          <w:sz w:val="28"/>
          <w:szCs w:val="28"/>
        </w:rPr>
      </w:pPr>
    </w:p>
    <w:p w14:paraId="59E9311E">
      <w:pPr>
        <w:ind w:right="600"/>
        <w:rPr>
          <w:rFonts w:hint="eastAsia" w:ascii="宋体" w:hAnsi="宋体" w:cs="宋体"/>
          <w:color w:val="auto"/>
          <w:sz w:val="28"/>
          <w:szCs w:val="28"/>
        </w:rPr>
      </w:pPr>
    </w:p>
    <w:p w14:paraId="620E3805">
      <w:pPr>
        <w:ind w:right="600"/>
        <w:rPr>
          <w:rFonts w:hint="eastAsia" w:ascii="宋体" w:hAnsi="宋体" w:cs="宋体"/>
          <w:color w:val="auto"/>
          <w:sz w:val="28"/>
          <w:szCs w:val="28"/>
        </w:rPr>
      </w:pPr>
    </w:p>
    <w:p w14:paraId="5687F5C7">
      <w:pPr>
        <w:ind w:right="600"/>
        <w:rPr>
          <w:rFonts w:hint="eastAsia" w:ascii="宋体" w:hAnsi="宋体" w:cs="宋体"/>
          <w:color w:val="auto"/>
          <w:sz w:val="28"/>
          <w:szCs w:val="28"/>
        </w:rPr>
      </w:pPr>
    </w:p>
    <w:p w14:paraId="38ECA497">
      <w:pPr>
        <w:ind w:right="600"/>
        <w:rPr>
          <w:rFonts w:hint="eastAsia" w:ascii="宋体" w:hAnsi="宋体" w:cs="宋体"/>
          <w:color w:val="auto"/>
          <w:sz w:val="28"/>
          <w:szCs w:val="28"/>
        </w:rPr>
      </w:pPr>
    </w:p>
    <w:p w14:paraId="697311C4">
      <w:pPr>
        <w:ind w:right="600"/>
        <w:rPr>
          <w:rFonts w:hint="eastAsia" w:ascii="宋体" w:hAnsi="宋体" w:cs="宋体"/>
          <w:color w:val="auto"/>
          <w:sz w:val="28"/>
          <w:szCs w:val="28"/>
        </w:rPr>
      </w:pPr>
    </w:p>
    <w:p w14:paraId="7E7D6F08">
      <w:pPr>
        <w:rPr>
          <w:rFonts w:hint="eastAsia" w:ascii="宋体" w:hAnsi="宋体" w:cs="宋体"/>
          <w:color w:val="auto"/>
        </w:rPr>
      </w:pPr>
    </w:p>
    <w:p w14:paraId="2D197626">
      <w:pPr>
        <w:rPr>
          <w:rFonts w:hint="eastAsia" w:ascii="宋体" w:hAnsi="宋体" w:cs="宋体"/>
          <w:color w:val="auto"/>
        </w:rPr>
      </w:pPr>
    </w:p>
    <w:p w14:paraId="44D66D8A">
      <w:pPr>
        <w:numPr>
          <w:ilvl w:val="0"/>
          <w:numId w:val="16"/>
        </w:numPr>
        <w:jc w:val="center"/>
        <w:rPr>
          <w:rFonts w:hint="eastAsia" w:ascii="宋体" w:hAnsi="宋体" w:cs="宋体"/>
          <w:b/>
          <w:color w:val="auto"/>
          <w:sz w:val="28"/>
          <w:szCs w:val="28"/>
        </w:rPr>
      </w:pPr>
      <w:bookmarkStart w:id="163" w:name="_Toc9563_WPSOffice_Level1"/>
      <w:bookmarkStart w:id="164" w:name="_Toc341_WPSOffice_Level1"/>
      <w:r>
        <w:rPr>
          <w:rFonts w:hint="eastAsia" w:ascii="宋体" w:hAnsi="宋体" w:cs="宋体"/>
          <w:b/>
          <w:color w:val="auto"/>
          <w:sz w:val="28"/>
          <w:szCs w:val="28"/>
        </w:rPr>
        <w:br w:type="page"/>
      </w:r>
      <w:bookmarkStart w:id="165" w:name="_Toc27135"/>
      <w:bookmarkStart w:id="166" w:name="_Toc20767"/>
      <w:bookmarkStart w:id="167" w:name="_Toc19856"/>
      <w:r>
        <w:rPr>
          <w:rFonts w:hint="eastAsia" w:ascii="宋体" w:hAnsi="宋体" w:cs="宋体"/>
          <w:b/>
          <w:color w:val="auto"/>
          <w:sz w:val="28"/>
          <w:szCs w:val="28"/>
        </w:rPr>
        <w:t>投   标   书</w:t>
      </w:r>
      <w:bookmarkEnd w:id="163"/>
      <w:bookmarkEnd w:id="164"/>
      <w:bookmarkEnd w:id="165"/>
      <w:bookmarkEnd w:id="166"/>
      <w:bookmarkEnd w:id="167"/>
    </w:p>
    <w:p w14:paraId="713529E3">
      <w:pPr>
        <w:rPr>
          <w:rFonts w:hint="eastAsia" w:ascii="宋体" w:hAnsi="宋体" w:cs="宋体"/>
          <w:b/>
          <w:color w:val="auto"/>
          <w:sz w:val="28"/>
          <w:szCs w:val="28"/>
        </w:rPr>
      </w:pPr>
    </w:p>
    <w:p w14:paraId="1F94D2BE">
      <w:pPr>
        <w:spacing w:line="4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招标人：</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2B657E71">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  我们收到你们的</w:t>
      </w:r>
      <w:r>
        <w:rPr>
          <w:rFonts w:hint="eastAsia" w:ascii="宋体" w:hAnsi="宋体" w:cs="宋体"/>
          <w:color w:val="auto"/>
          <w:sz w:val="24"/>
          <w:szCs w:val="24"/>
          <w:u w:val="single"/>
        </w:rPr>
        <w:t xml:space="preserve">           </w:t>
      </w:r>
      <w:r>
        <w:rPr>
          <w:rFonts w:hint="eastAsia" w:ascii="宋体" w:hAnsi="宋体" w:cs="宋体"/>
          <w:color w:val="auto"/>
          <w:sz w:val="24"/>
          <w:szCs w:val="24"/>
        </w:rPr>
        <w:t>竞争性磋商文件，经认真研究，我们决定参加投标。</w:t>
      </w:r>
    </w:p>
    <w:p w14:paraId="6FB09076">
      <w:pPr>
        <w:numPr>
          <w:ilvl w:val="0"/>
          <w:numId w:val="17"/>
        </w:num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按照竞争性磋商文件中的一切要求，提供招标服务的供应、保障。</w:t>
      </w:r>
    </w:p>
    <w:p w14:paraId="63A2EFC8">
      <w:pPr>
        <w:numPr>
          <w:ilvl w:val="0"/>
          <w:numId w:val="17"/>
        </w:num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如果我们的投标书被接受，我们将履行竞争性磋商文件中规定的每一项义务和要求，按期、按质、按量完成交货。</w:t>
      </w:r>
    </w:p>
    <w:p w14:paraId="7CD5C1AA">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3、我们同意按竞争性磋商文件的规定，本投标书的有效期为开标后</w:t>
      </w:r>
      <w:r>
        <w:rPr>
          <w:rFonts w:hint="eastAsia" w:ascii="宋体" w:hAnsi="宋体" w:cs="宋体"/>
          <w:color w:val="auto"/>
          <w:sz w:val="24"/>
          <w:szCs w:val="24"/>
          <w:u w:val="single"/>
        </w:rPr>
        <w:t>90</w:t>
      </w:r>
      <w:r>
        <w:rPr>
          <w:rFonts w:hint="eastAsia" w:ascii="宋体" w:hAnsi="宋体" w:cs="宋体"/>
          <w:color w:val="auto"/>
          <w:sz w:val="24"/>
          <w:szCs w:val="24"/>
        </w:rPr>
        <w:t>天。</w:t>
      </w:r>
    </w:p>
    <w:p w14:paraId="2F739A2F">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4、我们愿意提供招标人在竞争性磋商文件中要求的所有资料。</w:t>
      </w:r>
    </w:p>
    <w:p w14:paraId="00EEC7A2">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5、我们认为你们有选择或拒绝任何投标者中标的权力。我们理解，最低报价不是中标的唯一条件。</w:t>
      </w:r>
    </w:p>
    <w:p w14:paraId="636D3B0F">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6、我们愿按合同法履行自己的全部责任。</w:t>
      </w:r>
    </w:p>
    <w:p w14:paraId="707FAAE7">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7、我们愿意遵守国家有关规定和竞争性磋商文件中规定的收费标准，承付中标服务费。</w:t>
      </w:r>
    </w:p>
    <w:p w14:paraId="6CCC604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8、该项投标在开标后的全过程中保持有效，不作任何更改和变动。</w:t>
      </w:r>
    </w:p>
    <w:p w14:paraId="779616BF">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9、我们同意按竞争性磋商文件规定，交纳</w:t>
      </w:r>
      <w:r>
        <w:rPr>
          <w:rFonts w:hint="eastAsia" w:ascii="宋体" w:hAnsi="宋体" w:cs="宋体"/>
          <w:color w:val="auto"/>
          <w:sz w:val="24"/>
          <w:szCs w:val="24"/>
          <w:u w:val="single"/>
        </w:rPr>
        <w:t xml:space="preserve">  </w:t>
      </w:r>
      <w:r>
        <w:rPr>
          <w:rFonts w:hint="eastAsia" w:ascii="宋体" w:hAnsi="宋体" w:cs="宋体"/>
          <w:b/>
          <w:bCs/>
          <w:color w:val="auto"/>
          <w:sz w:val="24"/>
          <w:szCs w:val="24"/>
          <w:u w:val="single"/>
        </w:rPr>
        <w:t xml:space="preserve">            </w:t>
      </w:r>
      <w:r>
        <w:rPr>
          <w:rFonts w:hint="eastAsia" w:ascii="宋体" w:hAnsi="宋体" w:cs="宋体"/>
          <w:color w:val="auto"/>
          <w:sz w:val="24"/>
          <w:szCs w:val="24"/>
        </w:rPr>
        <w:t>元的投标保证金。</w:t>
      </w:r>
    </w:p>
    <w:p w14:paraId="53F39BF1">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10、其它说明。</w:t>
      </w:r>
    </w:p>
    <w:p w14:paraId="43B23E73">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11、所有有关本标书的函电，请按下列地址联系：</w:t>
      </w:r>
    </w:p>
    <w:p w14:paraId="281289B6">
      <w:pPr>
        <w:spacing w:line="40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 xml:space="preserve">投标单位： </w:t>
      </w:r>
      <w:r>
        <w:rPr>
          <w:rFonts w:hint="eastAsia" w:ascii="宋体" w:hAnsi="宋体" w:cs="宋体"/>
          <w:color w:val="auto"/>
          <w:sz w:val="24"/>
          <w:szCs w:val="24"/>
          <w:u w:val="single"/>
        </w:rPr>
        <w:t xml:space="preserve">                       （盖单位章）   </w:t>
      </w:r>
    </w:p>
    <w:p w14:paraId="6A39CCFA">
      <w:pPr>
        <w:spacing w:line="400" w:lineRule="exact"/>
        <w:ind w:firstLine="480" w:firstLineChars="200"/>
        <w:rPr>
          <w:rFonts w:hint="eastAsia" w:ascii="宋体" w:hAnsi="宋体" w:cs="宋体"/>
          <w:color w:val="auto"/>
          <w:sz w:val="24"/>
          <w:szCs w:val="24"/>
          <w:u w:val="single"/>
        </w:rPr>
      </w:pPr>
      <w:r>
        <w:rPr>
          <w:rFonts w:hint="eastAsia" w:ascii="宋体" w:hAnsi="宋体" w:cs="宋体"/>
          <w:color w:val="auto"/>
          <w:sz w:val="24"/>
          <w:szCs w:val="24"/>
        </w:rPr>
        <w:t>法定代表人或授权代表人（签字或盖章）：</w:t>
      </w:r>
      <w:r>
        <w:rPr>
          <w:rFonts w:hint="eastAsia" w:ascii="宋体" w:hAnsi="宋体" w:cs="宋体"/>
          <w:color w:val="auto"/>
          <w:sz w:val="24"/>
          <w:szCs w:val="24"/>
          <w:u w:val="single"/>
        </w:rPr>
        <w:t xml:space="preserve">             </w:t>
      </w:r>
    </w:p>
    <w:p w14:paraId="4679860F">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地址：</w:t>
      </w:r>
    </w:p>
    <w:p w14:paraId="3F18D53A">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电话：</w:t>
      </w:r>
    </w:p>
    <w:p w14:paraId="36B8DB80">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传真：</w:t>
      </w:r>
    </w:p>
    <w:p w14:paraId="6CC997A3">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邮政编码：</w:t>
      </w:r>
    </w:p>
    <w:p w14:paraId="0CCB35C3">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联系人：</w:t>
      </w:r>
    </w:p>
    <w:p w14:paraId="6ADA42E5">
      <w:pPr>
        <w:spacing w:line="400" w:lineRule="exact"/>
        <w:ind w:firstLine="4800" w:firstLineChars="2000"/>
        <w:rPr>
          <w:rFonts w:hint="eastAsia" w:ascii="宋体" w:hAnsi="宋体" w:cs="宋体"/>
          <w:color w:val="auto"/>
          <w:sz w:val="24"/>
          <w:szCs w:val="24"/>
        </w:rPr>
      </w:pPr>
    </w:p>
    <w:p w14:paraId="524528DA">
      <w:pPr>
        <w:spacing w:line="400" w:lineRule="exact"/>
        <w:ind w:firstLine="4800" w:firstLineChars="2000"/>
        <w:rPr>
          <w:rFonts w:hint="eastAsia" w:ascii="宋体" w:hAnsi="宋体" w:cs="宋体"/>
          <w:color w:val="auto"/>
          <w:sz w:val="24"/>
          <w:szCs w:val="24"/>
        </w:rPr>
      </w:pPr>
      <w:r>
        <w:rPr>
          <w:rFonts w:hint="eastAsia" w:ascii="宋体" w:hAnsi="宋体" w:cs="宋体"/>
          <w:color w:val="auto"/>
          <w:sz w:val="24"/>
          <w:szCs w:val="24"/>
        </w:rPr>
        <w:t>年    月    日</w:t>
      </w:r>
    </w:p>
    <w:p w14:paraId="423D0F22">
      <w:pPr>
        <w:spacing w:line="400" w:lineRule="exact"/>
        <w:ind w:firstLine="4800" w:firstLineChars="2000"/>
        <w:rPr>
          <w:rFonts w:hint="eastAsia" w:ascii="宋体" w:hAnsi="宋体" w:cs="宋体"/>
          <w:color w:val="auto"/>
          <w:sz w:val="24"/>
          <w:szCs w:val="24"/>
        </w:rPr>
      </w:pPr>
    </w:p>
    <w:p w14:paraId="3B7A6052">
      <w:pPr>
        <w:spacing w:line="400" w:lineRule="exact"/>
        <w:ind w:firstLine="4800" w:firstLineChars="2000"/>
        <w:rPr>
          <w:rFonts w:hint="eastAsia" w:ascii="宋体" w:hAnsi="宋体" w:cs="宋体"/>
          <w:color w:val="auto"/>
          <w:sz w:val="24"/>
          <w:szCs w:val="24"/>
        </w:rPr>
      </w:pPr>
    </w:p>
    <w:p w14:paraId="60CE02E1">
      <w:pPr>
        <w:spacing w:line="400" w:lineRule="exact"/>
        <w:ind w:firstLine="4800" w:firstLineChars="2000"/>
        <w:rPr>
          <w:rFonts w:hint="eastAsia" w:ascii="宋体" w:hAnsi="宋体" w:cs="宋体"/>
          <w:color w:val="auto"/>
          <w:sz w:val="24"/>
          <w:szCs w:val="24"/>
        </w:rPr>
      </w:pPr>
    </w:p>
    <w:p w14:paraId="5A514A74">
      <w:pPr>
        <w:ind w:firstLine="3092" w:firstLineChars="1100"/>
        <w:rPr>
          <w:rFonts w:hint="eastAsia" w:ascii="宋体" w:hAnsi="宋体" w:cs="宋体"/>
          <w:b/>
          <w:color w:val="auto"/>
          <w:sz w:val="28"/>
          <w:szCs w:val="28"/>
        </w:rPr>
      </w:pPr>
      <w:bookmarkStart w:id="168" w:name="_Toc521_WPSOffice_Level1"/>
      <w:bookmarkStart w:id="169" w:name="_Toc27588_WPSOffice_Level1"/>
    </w:p>
    <w:p w14:paraId="7BA22060">
      <w:pPr>
        <w:pStyle w:val="7"/>
        <w:ind w:firstLine="562"/>
        <w:rPr>
          <w:rFonts w:hint="eastAsia" w:ascii="宋体" w:hAnsi="宋体" w:cs="宋体"/>
          <w:b/>
          <w:color w:val="auto"/>
          <w:sz w:val="28"/>
          <w:szCs w:val="28"/>
        </w:rPr>
      </w:pPr>
    </w:p>
    <w:p w14:paraId="15C0F3B8">
      <w:pPr>
        <w:pStyle w:val="7"/>
        <w:ind w:firstLine="562"/>
        <w:rPr>
          <w:rFonts w:hint="eastAsia" w:ascii="宋体" w:hAnsi="宋体" w:cs="宋体"/>
          <w:b/>
          <w:color w:val="auto"/>
          <w:sz w:val="28"/>
          <w:szCs w:val="28"/>
        </w:rPr>
      </w:pPr>
    </w:p>
    <w:p w14:paraId="2652A29A">
      <w:pPr>
        <w:rPr>
          <w:rFonts w:hint="eastAsia" w:ascii="宋体" w:hAnsi="宋体" w:cs="宋体"/>
          <w:b/>
          <w:color w:val="auto"/>
          <w:sz w:val="28"/>
          <w:szCs w:val="28"/>
        </w:rPr>
      </w:pPr>
      <w:bookmarkStart w:id="170" w:name="_Toc20978"/>
      <w:bookmarkStart w:id="171" w:name="_Toc21293"/>
      <w:bookmarkStart w:id="172" w:name="_Toc25683"/>
      <w:r>
        <w:rPr>
          <w:rFonts w:hint="eastAsia" w:ascii="宋体" w:hAnsi="宋体" w:cs="宋体"/>
          <w:b/>
          <w:color w:val="auto"/>
          <w:sz w:val="28"/>
          <w:szCs w:val="28"/>
        </w:rPr>
        <w:br w:type="page"/>
      </w:r>
    </w:p>
    <w:p w14:paraId="4B34AFBB">
      <w:pPr>
        <w:jc w:val="center"/>
        <w:rPr>
          <w:rFonts w:hint="eastAsia" w:ascii="宋体" w:hAnsi="宋体" w:cs="宋体"/>
          <w:b/>
          <w:color w:val="auto"/>
          <w:sz w:val="28"/>
          <w:szCs w:val="28"/>
        </w:rPr>
      </w:pPr>
      <w:r>
        <w:rPr>
          <w:rFonts w:hint="eastAsia" w:ascii="宋体" w:hAnsi="宋体" w:cs="宋体"/>
          <w:b/>
          <w:color w:val="auto"/>
          <w:sz w:val="28"/>
          <w:szCs w:val="28"/>
        </w:rPr>
        <w:t>2、开标一览表</w:t>
      </w:r>
      <w:bookmarkEnd w:id="168"/>
      <w:bookmarkEnd w:id="169"/>
      <w:bookmarkEnd w:id="170"/>
      <w:bookmarkEnd w:id="171"/>
      <w:bookmarkEnd w:id="172"/>
    </w:p>
    <w:p w14:paraId="3F468535">
      <w:pPr>
        <w:rPr>
          <w:rFonts w:hint="eastAsia" w:ascii="宋体" w:hAnsi="宋体" w:cs="宋体"/>
          <w:b/>
          <w:color w:val="auto"/>
          <w:sz w:val="28"/>
          <w:szCs w:val="28"/>
        </w:rPr>
      </w:pPr>
    </w:p>
    <w:p w14:paraId="0F7107CA">
      <w:pPr>
        <w:ind w:firstLine="241" w:firstLineChars="100"/>
        <w:rPr>
          <w:rFonts w:hint="eastAsia" w:ascii="宋体" w:hAnsi="宋体" w:cs="宋体"/>
          <w:b/>
          <w:color w:val="auto"/>
          <w:sz w:val="24"/>
          <w:szCs w:val="24"/>
        </w:rPr>
      </w:pPr>
      <w:r>
        <w:rPr>
          <w:rFonts w:hint="eastAsia" w:ascii="宋体" w:hAnsi="宋体" w:cs="宋体"/>
          <w:b/>
          <w:color w:val="auto"/>
          <w:sz w:val="24"/>
          <w:szCs w:val="24"/>
        </w:rPr>
        <w:t>项目编号：</w:t>
      </w:r>
    </w:p>
    <w:p w14:paraId="7E44996F">
      <w:pPr>
        <w:ind w:firstLine="241" w:firstLineChars="100"/>
        <w:rPr>
          <w:rFonts w:hint="eastAsia" w:ascii="宋体" w:hAnsi="宋体" w:cs="宋体"/>
          <w:b/>
          <w:color w:val="auto"/>
          <w:sz w:val="24"/>
          <w:szCs w:val="24"/>
        </w:rPr>
      </w:pPr>
      <w:r>
        <w:rPr>
          <w:rFonts w:hint="eastAsia" w:ascii="宋体" w:hAnsi="宋体" w:cs="宋体"/>
          <w:b/>
          <w:color w:val="auto"/>
          <w:sz w:val="24"/>
          <w:szCs w:val="24"/>
        </w:rPr>
        <w:t>投标企业名称：</w:t>
      </w:r>
    </w:p>
    <w:tbl>
      <w:tblPr>
        <w:tblStyle w:val="26"/>
        <w:tblpPr w:leftFromText="180" w:rightFromText="180" w:vertAnchor="text" w:horzAnchor="page" w:tblpXSpec="center" w:tblpY="381"/>
        <w:tblOverlap w:val="never"/>
        <w:tblW w:w="10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1"/>
        <w:gridCol w:w="1505"/>
        <w:gridCol w:w="1485"/>
        <w:gridCol w:w="1192"/>
        <w:gridCol w:w="1475"/>
        <w:gridCol w:w="1360"/>
        <w:gridCol w:w="1360"/>
      </w:tblGrid>
      <w:tr w14:paraId="008B5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1" w:type="dxa"/>
            <w:vAlign w:val="center"/>
          </w:tcPr>
          <w:p w14:paraId="28BF3B5A">
            <w:pPr>
              <w:tabs>
                <w:tab w:val="left" w:pos="9135"/>
              </w:tabs>
              <w:spacing w:line="400" w:lineRule="atLeast"/>
              <w:jc w:val="center"/>
              <w:rPr>
                <w:rFonts w:hint="eastAsia" w:ascii="宋体" w:hAnsi="宋体" w:cs="宋体"/>
                <w:color w:val="auto"/>
                <w:sz w:val="24"/>
              </w:rPr>
            </w:pPr>
            <w:r>
              <w:rPr>
                <w:rFonts w:hint="eastAsia" w:ascii="宋体" w:hAnsi="宋体" w:cs="宋体"/>
                <w:color w:val="auto"/>
                <w:sz w:val="24"/>
              </w:rPr>
              <w:t>项目名称</w:t>
            </w:r>
          </w:p>
        </w:tc>
        <w:tc>
          <w:tcPr>
            <w:tcW w:w="1505" w:type="dxa"/>
            <w:vAlign w:val="center"/>
          </w:tcPr>
          <w:p w14:paraId="4B54A145">
            <w:pPr>
              <w:tabs>
                <w:tab w:val="left" w:pos="9135"/>
              </w:tabs>
              <w:spacing w:line="400" w:lineRule="atLeast"/>
              <w:jc w:val="center"/>
              <w:rPr>
                <w:rFonts w:hint="eastAsia" w:ascii="宋体" w:hAnsi="宋体" w:cs="宋体"/>
                <w:color w:val="auto"/>
                <w:sz w:val="24"/>
              </w:rPr>
            </w:pPr>
            <w:r>
              <w:rPr>
                <w:rFonts w:hint="eastAsia" w:ascii="宋体" w:hAnsi="宋体" w:cs="宋体"/>
                <w:color w:val="auto"/>
                <w:sz w:val="24"/>
                <w:lang w:val="en-US" w:eastAsia="zh-CN"/>
              </w:rPr>
              <w:t>总价</w:t>
            </w:r>
            <w:r>
              <w:rPr>
                <w:rFonts w:hint="eastAsia" w:ascii="宋体" w:hAnsi="宋体" w:cs="宋体"/>
                <w:color w:val="auto"/>
                <w:sz w:val="24"/>
              </w:rPr>
              <w:t>（元）</w:t>
            </w:r>
          </w:p>
        </w:tc>
        <w:tc>
          <w:tcPr>
            <w:tcW w:w="1485" w:type="dxa"/>
            <w:vAlign w:val="center"/>
          </w:tcPr>
          <w:p w14:paraId="08BBA90A">
            <w:pPr>
              <w:tabs>
                <w:tab w:val="left" w:pos="9135"/>
              </w:tabs>
              <w:spacing w:line="400" w:lineRule="atLeast"/>
              <w:jc w:val="center"/>
              <w:rPr>
                <w:rFonts w:hint="eastAsia" w:ascii="宋体" w:hAnsi="宋体" w:cs="宋体"/>
                <w:color w:val="auto"/>
                <w:sz w:val="24"/>
              </w:rPr>
            </w:pPr>
            <w:r>
              <w:rPr>
                <w:rFonts w:hint="eastAsia" w:ascii="宋体" w:hAnsi="宋体" w:cs="宋体"/>
                <w:color w:val="auto"/>
                <w:sz w:val="24"/>
              </w:rPr>
              <w:t>服务内容</w:t>
            </w:r>
          </w:p>
        </w:tc>
        <w:tc>
          <w:tcPr>
            <w:tcW w:w="1192" w:type="dxa"/>
            <w:vAlign w:val="center"/>
          </w:tcPr>
          <w:p w14:paraId="2250975D">
            <w:pPr>
              <w:tabs>
                <w:tab w:val="left" w:pos="9135"/>
              </w:tabs>
              <w:spacing w:line="400" w:lineRule="atLeast"/>
              <w:jc w:val="center"/>
              <w:rPr>
                <w:rFonts w:hint="eastAsia" w:ascii="宋体" w:hAnsi="宋体" w:cs="宋体"/>
                <w:color w:val="auto"/>
                <w:sz w:val="24"/>
              </w:rPr>
            </w:pPr>
            <w:r>
              <w:rPr>
                <w:rFonts w:hint="eastAsia" w:ascii="宋体" w:hAnsi="宋体" w:cs="宋体"/>
                <w:color w:val="auto"/>
                <w:sz w:val="24"/>
              </w:rPr>
              <w:t>服务期限</w:t>
            </w:r>
          </w:p>
        </w:tc>
        <w:tc>
          <w:tcPr>
            <w:tcW w:w="1475" w:type="dxa"/>
            <w:vAlign w:val="center"/>
          </w:tcPr>
          <w:p w14:paraId="08CB7D24">
            <w:pPr>
              <w:tabs>
                <w:tab w:val="left" w:pos="9135"/>
              </w:tabs>
              <w:spacing w:line="400" w:lineRule="atLeast"/>
              <w:jc w:val="center"/>
              <w:rPr>
                <w:rFonts w:hint="eastAsia" w:ascii="宋体" w:hAnsi="宋体" w:cs="宋体"/>
                <w:color w:val="auto"/>
                <w:sz w:val="24"/>
              </w:rPr>
            </w:pPr>
            <w:r>
              <w:rPr>
                <w:rFonts w:hint="eastAsia" w:ascii="宋体" w:hAnsi="宋体" w:cs="宋体"/>
                <w:color w:val="auto"/>
                <w:sz w:val="24"/>
              </w:rPr>
              <w:t>服务地点</w:t>
            </w:r>
          </w:p>
        </w:tc>
        <w:tc>
          <w:tcPr>
            <w:tcW w:w="1360" w:type="dxa"/>
            <w:vAlign w:val="center"/>
          </w:tcPr>
          <w:p w14:paraId="018C83F5">
            <w:pPr>
              <w:tabs>
                <w:tab w:val="left" w:pos="9135"/>
              </w:tabs>
              <w:spacing w:line="400" w:lineRule="atLeast"/>
              <w:jc w:val="center"/>
              <w:rPr>
                <w:rFonts w:hint="eastAsia" w:ascii="宋体" w:hAnsi="宋体" w:cs="宋体"/>
                <w:color w:val="auto"/>
                <w:sz w:val="24"/>
              </w:rPr>
            </w:pPr>
            <w:r>
              <w:rPr>
                <w:rFonts w:hint="eastAsia" w:ascii="宋体" w:hAnsi="宋体" w:cs="宋体"/>
                <w:color w:val="auto"/>
                <w:sz w:val="24"/>
              </w:rPr>
              <w:t>备注</w:t>
            </w:r>
          </w:p>
        </w:tc>
        <w:tc>
          <w:tcPr>
            <w:tcW w:w="1360" w:type="dxa"/>
            <w:vAlign w:val="center"/>
          </w:tcPr>
          <w:p w14:paraId="06AEF220">
            <w:pPr>
              <w:tabs>
                <w:tab w:val="left" w:pos="9135"/>
              </w:tabs>
              <w:spacing w:line="400" w:lineRule="atLeast"/>
              <w:jc w:val="center"/>
              <w:rPr>
                <w:rFonts w:hint="eastAsia" w:ascii="宋体" w:hAnsi="宋体" w:cs="宋体"/>
                <w:color w:val="auto"/>
                <w:sz w:val="24"/>
              </w:rPr>
            </w:pPr>
          </w:p>
        </w:tc>
      </w:tr>
      <w:tr w14:paraId="5E30A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1" w:type="dxa"/>
          </w:tcPr>
          <w:p w14:paraId="7CB6C55C">
            <w:pPr>
              <w:tabs>
                <w:tab w:val="left" w:pos="9135"/>
              </w:tabs>
              <w:spacing w:line="400" w:lineRule="atLeast"/>
              <w:rPr>
                <w:rFonts w:hint="eastAsia" w:ascii="宋体" w:hAnsi="宋体" w:cs="宋体"/>
                <w:color w:val="auto"/>
                <w:sz w:val="24"/>
              </w:rPr>
            </w:pPr>
          </w:p>
        </w:tc>
        <w:tc>
          <w:tcPr>
            <w:tcW w:w="1505" w:type="dxa"/>
          </w:tcPr>
          <w:p w14:paraId="0ABE5D97">
            <w:pPr>
              <w:tabs>
                <w:tab w:val="left" w:pos="9135"/>
              </w:tabs>
              <w:spacing w:line="400" w:lineRule="atLeast"/>
              <w:rPr>
                <w:rFonts w:hint="eastAsia" w:ascii="宋体" w:hAnsi="宋体" w:cs="宋体"/>
                <w:color w:val="auto"/>
                <w:sz w:val="24"/>
              </w:rPr>
            </w:pPr>
          </w:p>
        </w:tc>
        <w:tc>
          <w:tcPr>
            <w:tcW w:w="1485" w:type="dxa"/>
          </w:tcPr>
          <w:p w14:paraId="44191431">
            <w:pPr>
              <w:tabs>
                <w:tab w:val="left" w:pos="9135"/>
              </w:tabs>
              <w:spacing w:line="400" w:lineRule="atLeast"/>
              <w:rPr>
                <w:rFonts w:hint="eastAsia" w:ascii="宋体" w:hAnsi="宋体" w:cs="宋体"/>
                <w:color w:val="auto"/>
                <w:sz w:val="24"/>
              </w:rPr>
            </w:pPr>
          </w:p>
        </w:tc>
        <w:tc>
          <w:tcPr>
            <w:tcW w:w="1192" w:type="dxa"/>
          </w:tcPr>
          <w:p w14:paraId="11286755">
            <w:pPr>
              <w:tabs>
                <w:tab w:val="left" w:pos="9135"/>
              </w:tabs>
              <w:spacing w:line="400" w:lineRule="atLeast"/>
              <w:rPr>
                <w:rFonts w:hint="eastAsia" w:ascii="宋体" w:hAnsi="宋体" w:cs="宋体"/>
                <w:color w:val="auto"/>
                <w:sz w:val="24"/>
              </w:rPr>
            </w:pPr>
          </w:p>
        </w:tc>
        <w:tc>
          <w:tcPr>
            <w:tcW w:w="1475" w:type="dxa"/>
          </w:tcPr>
          <w:p w14:paraId="5610DEF3">
            <w:pPr>
              <w:tabs>
                <w:tab w:val="left" w:pos="9135"/>
              </w:tabs>
              <w:spacing w:line="400" w:lineRule="atLeast"/>
              <w:rPr>
                <w:rFonts w:hint="eastAsia" w:ascii="宋体" w:hAnsi="宋体" w:cs="宋体"/>
                <w:color w:val="auto"/>
                <w:sz w:val="24"/>
              </w:rPr>
            </w:pPr>
          </w:p>
        </w:tc>
        <w:tc>
          <w:tcPr>
            <w:tcW w:w="1360" w:type="dxa"/>
          </w:tcPr>
          <w:p w14:paraId="6045FD85">
            <w:pPr>
              <w:tabs>
                <w:tab w:val="left" w:pos="9135"/>
              </w:tabs>
              <w:spacing w:line="400" w:lineRule="atLeast"/>
              <w:rPr>
                <w:rFonts w:hint="eastAsia" w:ascii="宋体" w:hAnsi="宋体" w:cs="宋体"/>
                <w:color w:val="auto"/>
                <w:sz w:val="24"/>
              </w:rPr>
            </w:pPr>
          </w:p>
        </w:tc>
        <w:tc>
          <w:tcPr>
            <w:tcW w:w="1360" w:type="dxa"/>
          </w:tcPr>
          <w:p w14:paraId="781BD112">
            <w:pPr>
              <w:tabs>
                <w:tab w:val="left" w:pos="9135"/>
              </w:tabs>
              <w:spacing w:line="400" w:lineRule="atLeast"/>
              <w:rPr>
                <w:rFonts w:hint="eastAsia" w:ascii="宋体" w:hAnsi="宋体" w:cs="宋体"/>
                <w:color w:val="auto"/>
                <w:sz w:val="24"/>
              </w:rPr>
            </w:pPr>
          </w:p>
        </w:tc>
      </w:tr>
      <w:tr w14:paraId="41944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1" w:type="dxa"/>
          </w:tcPr>
          <w:p w14:paraId="0B6162B5">
            <w:pPr>
              <w:tabs>
                <w:tab w:val="left" w:pos="9135"/>
              </w:tabs>
              <w:spacing w:line="400" w:lineRule="atLeast"/>
              <w:rPr>
                <w:rFonts w:hint="eastAsia" w:ascii="宋体" w:hAnsi="宋体" w:cs="宋体"/>
                <w:color w:val="auto"/>
                <w:sz w:val="24"/>
              </w:rPr>
            </w:pPr>
          </w:p>
        </w:tc>
        <w:tc>
          <w:tcPr>
            <w:tcW w:w="1505" w:type="dxa"/>
          </w:tcPr>
          <w:p w14:paraId="321467C3">
            <w:pPr>
              <w:tabs>
                <w:tab w:val="left" w:pos="9135"/>
              </w:tabs>
              <w:spacing w:line="400" w:lineRule="atLeast"/>
              <w:rPr>
                <w:rFonts w:hint="eastAsia" w:ascii="宋体" w:hAnsi="宋体" w:cs="宋体"/>
                <w:color w:val="auto"/>
                <w:sz w:val="24"/>
              </w:rPr>
            </w:pPr>
          </w:p>
        </w:tc>
        <w:tc>
          <w:tcPr>
            <w:tcW w:w="1485" w:type="dxa"/>
          </w:tcPr>
          <w:p w14:paraId="53DD6B8C">
            <w:pPr>
              <w:tabs>
                <w:tab w:val="left" w:pos="9135"/>
              </w:tabs>
              <w:spacing w:line="400" w:lineRule="atLeast"/>
              <w:rPr>
                <w:rFonts w:hint="eastAsia" w:ascii="宋体" w:hAnsi="宋体" w:cs="宋体"/>
                <w:color w:val="auto"/>
                <w:sz w:val="24"/>
              </w:rPr>
            </w:pPr>
          </w:p>
        </w:tc>
        <w:tc>
          <w:tcPr>
            <w:tcW w:w="1192" w:type="dxa"/>
          </w:tcPr>
          <w:p w14:paraId="7073AD2D">
            <w:pPr>
              <w:tabs>
                <w:tab w:val="left" w:pos="9135"/>
              </w:tabs>
              <w:spacing w:line="400" w:lineRule="atLeast"/>
              <w:rPr>
                <w:rFonts w:hint="eastAsia" w:ascii="宋体" w:hAnsi="宋体" w:cs="宋体"/>
                <w:color w:val="auto"/>
                <w:sz w:val="24"/>
              </w:rPr>
            </w:pPr>
          </w:p>
        </w:tc>
        <w:tc>
          <w:tcPr>
            <w:tcW w:w="1475" w:type="dxa"/>
          </w:tcPr>
          <w:p w14:paraId="20C796F4">
            <w:pPr>
              <w:tabs>
                <w:tab w:val="left" w:pos="9135"/>
              </w:tabs>
              <w:spacing w:line="400" w:lineRule="atLeast"/>
              <w:rPr>
                <w:rFonts w:hint="eastAsia" w:ascii="宋体" w:hAnsi="宋体" w:cs="宋体"/>
                <w:color w:val="auto"/>
                <w:sz w:val="24"/>
              </w:rPr>
            </w:pPr>
          </w:p>
        </w:tc>
        <w:tc>
          <w:tcPr>
            <w:tcW w:w="1360" w:type="dxa"/>
          </w:tcPr>
          <w:p w14:paraId="23F6CF02">
            <w:pPr>
              <w:tabs>
                <w:tab w:val="left" w:pos="9135"/>
              </w:tabs>
              <w:spacing w:line="400" w:lineRule="atLeast"/>
              <w:rPr>
                <w:rFonts w:hint="eastAsia" w:ascii="宋体" w:hAnsi="宋体" w:cs="宋体"/>
                <w:color w:val="auto"/>
                <w:sz w:val="24"/>
              </w:rPr>
            </w:pPr>
          </w:p>
        </w:tc>
        <w:tc>
          <w:tcPr>
            <w:tcW w:w="1360" w:type="dxa"/>
          </w:tcPr>
          <w:p w14:paraId="4E703453">
            <w:pPr>
              <w:tabs>
                <w:tab w:val="left" w:pos="9135"/>
              </w:tabs>
              <w:spacing w:line="400" w:lineRule="atLeast"/>
              <w:rPr>
                <w:rFonts w:hint="eastAsia" w:ascii="宋体" w:hAnsi="宋体" w:cs="宋体"/>
                <w:color w:val="auto"/>
                <w:sz w:val="24"/>
              </w:rPr>
            </w:pPr>
          </w:p>
        </w:tc>
      </w:tr>
      <w:tr w14:paraId="29D17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1" w:type="dxa"/>
          </w:tcPr>
          <w:p w14:paraId="6FA6590F">
            <w:pPr>
              <w:tabs>
                <w:tab w:val="left" w:pos="9135"/>
              </w:tabs>
              <w:spacing w:line="400" w:lineRule="atLeast"/>
              <w:rPr>
                <w:rFonts w:hint="eastAsia" w:ascii="宋体" w:hAnsi="宋体" w:cs="宋体"/>
                <w:color w:val="auto"/>
                <w:sz w:val="24"/>
              </w:rPr>
            </w:pPr>
          </w:p>
        </w:tc>
        <w:tc>
          <w:tcPr>
            <w:tcW w:w="1505" w:type="dxa"/>
          </w:tcPr>
          <w:p w14:paraId="5BB38EA8">
            <w:pPr>
              <w:tabs>
                <w:tab w:val="left" w:pos="9135"/>
              </w:tabs>
              <w:spacing w:line="400" w:lineRule="atLeast"/>
              <w:rPr>
                <w:rFonts w:hint="eastAsia" w:ascii="宋体" w:hAnsi="宋体" w:cs="宋体"/>
                <w:color w:val="auto"/>
                <w:sz w:val="24"/>
              </w:rPr>
            </w:pPr>
          </w:p>
        </w:tc>
        <w:tc>
          <w:tcPr>
            <w:tcW w:w="1485" w:type="dxa"/>
          </w:tcPr>
          <w:p w14:paraId="1274A6C4">
            <w:pPr>
              <w:tabs>
                <w:tab w:val="left" w:pos="9135"/>
              </w:tabs>
              <w:spacing w:line="400" w:lineRule="atLeast"/>
              <w:rPr>
                <w:rFonts w:hint="eastAsia" w:ascii="宋体" w:hAnsi="宋体" w:cs="宋体"/>
                <w:color w:val="auto"/>
                <w:sz w:val="24"/>
              </w:rPr>
            </w:pPr>
          </w:p>
        </w:tc>
        <w:tc>
          <w:tcPr>
            <w:tcW w:w="1192" w:type="dxa"/>
          </w:tcPr>
          <w:p w14:paraId="202E579D">
            <w:pPr>
              <w:tabs>
                <w:tab w:val="left" w:pos="9135"/>
              </w:tabs>
              <w:spacing w:line="400" w:lineRule="atLeast"/>
              <w:rPr>
                <w:rFonts w:hint="eastAsia" w:ascii="宋体" w:hAnsi="宋体" w:cs="宋体"/>
                <w:color w:val="auto"/>
                <w:sz w:val="24"/>
              </w:rPr>
            </w:pPr>
          </w:p>
        </w:tc>
        <w:tc>
          <w:tcPr>
            <w:tcW w:w="1475" w:type="dxa"/>
          </w:tcPr>
          <w:p w14:paraId="2CE3F488">
            <w:pPr>
              <w:tabs>
                <w:tab w:val="left" w:pos="9135"/>
              </w:tabs>
              <w:spacing w:line="400" w:lineRule="atLeast"/>
              <w:rPr>
                <w:rFonts w:hint="eastAsia" w:ascii="宋体" w:hAnsi="宋体" w:cs="宋体"/>
                <w:color w:val="auto"/>
                <w:sz w:val="24"/>
              </w:rPr>
            </w:pPr>
          </w:p>
        </w:tc>
        <w:tc>
          <w:tcPr>
            <w:tcW w:w="1360" w:type="dxa"/>
          </w:tcPr>
          <w:p w14:paraId="4028DEB9">
            <w:pPr>
              <w:tabs>
                <w:tab w:val="left" w:pos="9135"/>
              </w:tabs>
              <w:spacing w:line="400" w:lineRule="atLeast"/>
              <w:rPr>
                <w:rFonts w:hint="eastAsia" w:ascii="宋体" w:hAnsi="宋体" w:cs="宋体"/>
                <w:color w:val="auto"/>
                <w:sz w:val="24"/>
              </w:rPr>
            </w:pPr>
          </w:p>
        </w:tc>
        <w:tc>
          <w:tcPr>
            <w:tcW w:w="1360" w:type="dxa"/>
          </w:tcPr>
          <w:p w14:paraId="7AF52676">
            <w:pPr>
              <w:tabs>
                <w:tab w:val="left" w:pos="9135"/>
              </w:tabs>
              <w:spacing w:line="400" w:lineRule="atLeast"/>
              <w:rPr>
                <w:rFonts w:hint="eastAsia" w:ascii="宋体" w:hAnsi="宋体" w:cs="宋体"/>
                <w:color w:val="auto"/>
                <w:sz w:val="24"/>
              </w:rPr>
            </w:pPr>
          </w:p>
        </w:tc>
      </w:tr>
      <w:tr w14:paraId="01B8D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1" w:type="dxa"/>
          </w:tcPr>
          <w:p w14:paraId="63399E8F">
            <w:pPr>
              <w:tabs>
                <w:tab w:val="left" w:pos="9135"/>
              </w:tabs>
              <w:spacing w:line="400" w:lineRule="atLeast"/>
              <w:rPr>
                <w:rFonts w:hint="eastAsia" w:ascii="宋体" w:hAnsi="宋体" w:cs="宋体"/>
                <w:color w:val="auto"/>
                <w:sz w:val="24"/>
              </w:rPr>
            </w:pPr>
          </w:p>
        </w:tc>
        <w:tc>
          <w:tcPr>
            <w:tcW w:w="1505" w:type="dxa"/>
          </w:tcPr>
          <w:p w14:paraId="3484C64A">
            <w:pPr>
              <w:tabs>
                <w:tab w:val="left" w:pos="9135"/>
              </w:tabs>
              <w:spacing w:line="400" w:lineRule="atLeast"/>
              <w:rPr>
                <w:rFonts w:hint="eastAsia" w:ascii="宋体" w:hAnsi="宋体" w:cs="宋体"/>
                <w:color w:val="auto"/>
                <w:sz w:val="24"/>
              </w:rPr>
            </w:pPr>
          </w:p>
        </w:tc>
        <w:tc>
          <w:tcPr>
            <w:tcW w:w="1485" w:type="dxa"/>
          </w:tcPr>
          <w:p w14:paraId="64B7E5C3">
            <w:pPr>
              <w:tabs>
                <w:tab w:val="left" w:pos="9135"/>
              </w:tabs>
              <w:spacing w:line="400" w:lineRule="atLeast"/>
              <w:rPr>
                <w:rFonts w:hint="eastAsia" w:ascii="宋体" w:hAnsi="宋体" w:cs="宋体"/>
                <w:color w:val="auto"/>
                <w:sz w:val="24"/>
              </w:rPr>
            </w:pPr>
          </w:p>
        </w:tc>
        <w:tc>
          <w:tcPr>
            <w:tcW w:w="1192" w:type="dxa"/>
          </w:tcPr>
          <w:p w14:paraId="7DF664B8">
            <w:pPr>
              <w:tabs>
                <w:tab w:val="left" w:pos="9135"/>
              </w:tabs>
              <w:spacing w:line="400" w:lineRule="atLeast"/>
              <w:rPr>
                <w:rFonts w:hint="eastAsia" w:ascii="宋体" w:hAnsi="宋体" w:cs="宋体"/>
                <w:color w:val="auto"/>
                <w:sz w:val="24"/>
              </w:rPr>
            </w:pPr>
          </w:p>
        </w:tc>
        <w:tc>
          <w:tcPr>
            <w:tcW w:w="1475" w:type="dxa"/>
          </w:tcPr>
          <w:p w14:paraId="7082E2D9">
            <w:pPr>
              <w:tabs>
                <w:tab w:val="left" w:pos="9135"/>
              </w:tabs>
              <w:spacing w:line="400" w:lineRule="atLeast"/>
              <w:rPr>
                <w:rFonts w:hint="eastAsia" w:ascii="宋体" w:hAnsi="宋体" w:cs="宋体"/>
                <w:color w:val="auto"/>
                <w:sz w:val="24"/>
              </w:rPr>
            </w:pPr>
          </w:p>
        </w:tc>
        <w:tc>
          <w:tcPr>
            <w:tcW w:w="1360" w:type="dxa"/>
          </w:tcPr>
          <w:p w14:paraId="68459059">
            <w:pPr>
              <w:tabs>
                <w:tab w:val="left" w:pos="9135"/>
              </w:tabs>
              <w:spacing w:line="400" w:lineRule="atLeast"/>
              <w:rPr>
                <w:rFonts w:hint="eastAsia" w:ascii="宋体" w:hAnsi="宋体" w:cs="宋体"/>
                <w:color w:val="auto"/>
                <w:sz w:val="24"/>
              </w:rPr>
            </w:pPr>
          </w:p>
        </w:tc>
        <w:tc>
          <w:tcPr>
            <w:tcW w:w="1360" w:type="dxa"/>
          </w:tcPr>
          <w:p w14:paraId="4FBF875D">
            <w:pPr>
              <w:tabs>
                <w:tab w:val="left" w:pos="9135"/>
              </w:tabs>
              <w:spacing w:line="400" w:lineRule="atLeast"/>
              <w:rPr>
                <w:rFonts w:hint="eastAsia" w:ascii="宋体" w:hAnsi="宋体" w:cs="宋体"/>
                <w:color w:val="auto"/>
                <w:sz w:val="24"/>
              </w:rPr>
            </w:pPr>
          </w:p>
        </w:tc>
      </w:tr>
      <w:tr w14:paraId="47797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821" w:type="dxa"/>
            <w:vMerge w:val="restart"/>
            <w:vAlign w:val="center"/>
          </w:tcPr>
          <w:p w14:paraId="2C0C60ED">
            <w:pPr>
              <w:tabs>
                <w:tab w:val="left" w:pos="9135"/>
              </w:tabs>
              <w:spacing w:line="400" w:lineRule="atLeast"/>
              <w:jc w:val="center"/>
              <w:rPr>
                <w:rFonts w:hint="eastAsia" w:ascii="宋体" w:hAnsi="宋体" w:cs="宋体"/>
                <w:color w:val="auto"/>
                <w:sz w:val="24"/>
              </w:rPr>
            </w:pPr>
            <w:r>
              <w:rPr>
                <w:rFonts w:hint="eastAsia" w:ascii="宋体" w:hAnsi="宋体" w:cs="宋体"/>
                <w:color w:val="auto"/>
                <w:sz w:val="24"/>
              </w:rPr>
              <w:t>投标总价</w:t>
            </w:r>
          </w:p>
        </w:tc>
        <w:tc>
          <w:tcPr>
            <w:tcW w:w="7017" w:type="dxa"/>
            <w:gridSpan w:val="5"/>
            <w:vAlign w:val="center"/>
          </w:tcPr>
          <w:p w14:paraId="71EF2FED">
            <w:pPr>
              <w:tabs>
                <w:tab w:val="left" w:pos="9135"/>
              </w:tabs>
              <w:spacing w:line="400" w:lineRule="atLeast"/>
              <w:rPr>
                <w:rFonts w:hint="eastAsia" w:ascii="宋体" w:hAnsi="宋体" w:cs="宋体"/>
                <w:color w:val="auto"/>
                <w:sz w:val="24"/>
              </w:rPr>
            </w:pPr>
            <w:r>
              <w:rPr>
                <w:rFonts w:hint="eastAsia" w:ascii="宋体" w:hAnsi="宋体" w:cs="宋体"/>
                <w:color w:val="auto"/>
                <w:sz w:val="24"/>
              </w:rPr>
              <w:t>（人民币小写）：</w:t>
            </w:r>
          </w:p>
        </w:tc>
        <w:tc>
          <w:tcPr>
            <w:tcW w:w="1360" w:type="dxa"/>
            <w:vAlign w:val="center"/>
          </w:tcPr>
          <w:p w14:paraId="000E810D">
            <w:pPr>
              <w:tabs>
                <w:tab w:val="left" w:pos="9135"/>
              </w:tabs>
              <w:spacing w:line="400" w:lineRule="atLeast"/>
              <w:rPr>
                <w:rFonts w:hint="eastAsia" w:ascii="宋体" w:hAnsi="宋体" w:cs="宋体"/>
                <w:color w:val="auto"/>
                <w:sz w:val="24"/>
              </w:rPr>
            </w:pPr>
          </w:p>
        </w:tc>
      </w:tr>
      <w:tr w14:paraId="79FDE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1821" w:type="dxa"/>
            <w:vMerge w:val="continue"/>
            <w:vAlign w:val="center"/>
          </w:tcPr>
          <w:p w14:paraId="1AC5178D">
            <w:pPr>
              <w:tabs>
                <w:tab w:val="left" w:pos="9135"/>
              </w:tabs>
              <w:spacing w:line="400" w:lineRule="atLeast"/>
              <w:rPr>
                <w:rFonts w:hint="eastAsia" w:ascii="宋体" w:hAnsi="宋体" w:cs="宋体"/>
                <w:color w:val="auto"/>
                <w:sz w:val="24"/>
              </w:rPr>
            </w:pPr>
          </w:p>
        </w:tc>
        <w:tc>
          <w:tcPr>
            <w:tcW w:w="7017" w:type="dxa"/>
            <w:gridSpan w:val="5"/>
            <w:vAlign w:val="center"/>
          </w:tcPr>
          <w:p w14:paraId="16252D4E">
            <w:pPr>
              <w:tabs>
                <w:tab w:val="left" w:pos="9135"/>
              </w:tabs>
              <w:spacing w:line="400" w:lineRule="atLeast"/>
              <w:rPr>
                <w:rFonts w:hint="eastAsia" w:ascii="宋体" w:hAnsi="宋体" w:cs="宋体"/>
                <w:color w:val="auto"/>
                <w:sz w:val="24"/>
              </w:rPr>
            </w:pPr>
            <w:r>
              <w:rPr>
                <w:rFonts w:hint="eastAsia" w:ascii="宋体" w:hAnsi="宋体" w:cs="宋体"/>
                <w:color w:val="auto"/>
                <w:sz w:val="24"/>
              </w:rPr>
              <w:t>（人民币大写）：</w:t>
            </w:r>
          </w:p>
        </w:tc>
        <w:tc>
          <w:tcPr>
            <w:tcW w:w="1360" w:type="dxa"/>
            <w:vAlign w:val="center"/>
          </w:tcPr>
          <w:p w14:paraId="2B47BBD7">
            <w:pPr>
              <w:tabs>
                <w:tab w:val="left" w:pos="9135"/>
              </w:tabs>
              <w:spacing w:line="400" w:lineRule="atLeast"/>
              <w:rPr>
                <w:rFonts w:hint="eastAsia" w:ascii="宋体" w:hAnsi="宋体" w:cs="宋体"/>
                <w:color w:val="auto"/>
                <w:sz w:val="24"/>
              </w:rPr>
            </w:pPr>
          </w:p>
        </w:tc>
      </w:tr>
    </w:tbl>
    <w:p w14:paraId="1D29FB9C">
      <w:pPr>
        <w:tabs>
          <w:tab w:val="left" w:pos="9135"/>
        </w:tabs>
        <w:spacing w:line="400" w:lineRule="atLeast"/>
        <w:rPr>
          <w:rFonts w:hint="eastAsia" w:ascii="宋体" w:hAnsi="宋体" w:cs="宋体"/>
          <w:color w:val="auto"/>
          <w:sz w:val="24"/>
          <w:u w:val="single"/>
        </w:rPr>
      </w:pPr>
    </w:p>
    <w:p w14:paraId="6EA65906">
      <w:pPr>
        <w:rPr>
          <w:rFonts w:hint="eastAsia" w:ascii="宋体" w:hAnsi="宋体" w:cs="宋体"/>
          <w:b/>
          <w:color w:val="auto"/>
          <w:sz w:val="28"/>
          <w:szCs w:val="28"/>
        </w:rPr>
      </w:pPr>
    </w:p>
    <w:p w14:paraId="7EB234B6">
      <w:pPr>
        <w:rPr>
          <w:rFonts w:hint="eastAsia" w:ascii="宋体" w:hAnsi="宋体" w:cs="宋体"/>
          <w:bCs/>
          <w:color w:val="auto"/>
          <w:sz w:val="24"/>
          <w:szCs w:val="24"/>
        </w:rPr>
      </w:pPr>
      <w:r>
        <w:rPr>
          <w:rFonts w:hint="eastAsia" w:ascii="宋体" w:hAnsi="宋体" w:cs="宋体"/>
          <w:bCs/>
          <w:color w:val="auto"/>
          <w:sz w:val="24"/>
          <w:szCs w:val="24"/>
        </w:rPr>
        <w:t>注：1、报价货币为人民币。</w:t>
      </w:r>
    </w:p>
    <w:p w14:paraId="159D1BF0">
      <w:pPr>
        <w:rPr>
          <w:rFonts w:hint="eastAsia" w:ascii="宋体" w:hAnsi="宋体" w:cs="宋体"/>
          <w:bCs/>
          <w:color w:val="auto"/>
          <w:sz w:val="24"/>
          <w:szCs w:val="24"/>
        </w:rPr>
      </w:pPr>
      <w:r>
        <w:rPr>
          <w:rFonts w:hint="eastAsia" w:ascii="宋体" w:hAnsi="宋体" w:cs="宋体"/>
          <w:bCs/>
          <w:color w:val="auto"/>
          <w:sz w:val="24"/>
          <w:szCs w:val="24"/>
        </w:rPr>
        <w:t>2、投标一览表中投标总报价大小应写一致，如不一致以大写为准。</w:t>
      </w:r>
    </w:p>
    <w:p w14:paraId="4745765E">
      <w:pPr>
        <w:rPr>
          <w:rFonts w:hint="eastAsia" w:ascii="宋体" w:hAnsi="宋体" w:cs="宋体"/>
          <w:bCs/>
          <w:color w:val="auto"/>
          <w:sz w:val="24"/>
          <w:szCs w:val="24"/>
        </w:rPr>
      </w:pPr>
      <w:r>
        <w:rPr>
          <w:rFonts w:hint="eastAsia" w:ascii="宋体" w:hAnsi="宋体" w:cs="宋体"/>
          <w:bCs/>
          <w:color w:val="auto"/>
          <w:sz w:val="24"/>
          <w:szCs w:val="24"/>
        </w:rPr>
        <w:t>3、以上报价含一切费用,是指货物经验收交付采购人使用的价格。</w:t>
      </w:r>
    </w:p>
    <w:p w14:paraId="4EDAC61F">
      <w:pPr>
        <w:rPr>
          <w:rFonts w:hint="eastAsia" w:ascii="宋体" w:hAnsi="宋体" w:cs="宋体"/>
          <w:bCs/>
          <w:color w:val="auto"/>
          <w:sz w:val="24"/>
          <w:szCs w:val="24"/>
        </w:rPr>
      </w:pPr>
      <w:r>
        <w:rPr>
          <w:rFonts w:hint="eastAsia" w:ascii="宋体" w:hAnsi="宋体" w:cs="宋体"/>
          <w:bCs/>
          <w:color w:val="auto"/>
          <w:sz w:val="24"/>
          <w:szCs w:val="24"/>
        </w:rPr>
        <w:t>4、各投标企业总投标报价不得高于本项目招标控制价，超过本项目招标控制价的视为无效报价，做否决投标处理。</w:t>
      </w:r>
    </w:p>
    <w:p w14:paraId="5A34B718">
      <w:pPr>
        <w:rPr>
          <w:rFonts w:hint="eastAsia" w:ascii="宋体" w:hAnsi="宋体" w:cs="宋体"/>
          <w:color w:val="auto"/>
          <w:sz w:val="24"/>
          <w:szCs w:val="24"/>
        </w:rPr>
      </w:pPr>
    </w:p>
    <w:p w14:paraId="05B726F3">
      <w:pPr>
        <w:rPr>
          <w:rFonts w:hint="eastAsia" w:ascii="宋体" w:hAnsi="宋体" w:cs="宋体"/>
          <w:color w:val="auto"/>
          <w:sz w:val="24"/>
          <w:szCs w:val="24"/>
        </w:rPr>
      </w:pPr>
    </w:p>
    <w:p w14:paraId="6AEF61DF">
      <w:pPr>
        <w:rPr>
          <w:rFonts w:hint="eastAsia" w:ascii="宋体" w:hAnsi="宋体" w:cs="宋体"/>
          <w:color w:val="auto"/>
          <w:sz w:val="24"/>
          <w:szCs w:val="24"/>
        </w:rPr>
      </w:pPr>
    </w:p>
    <w:p w14:paraId="39EF6229">
      <w:pPr>
        <w:rPr>
          <w:rFonts w:hint="eastAsia" w:ascii="宋体" w:hAnsi="宋体" w:cs="宋体"/>
          <w:color w:val="auto"/>
          <w:sz w:val="24"/>
          <w:szCs w:val="24"/>
          <w:u w:val="single"/>
        </w:rPr>
      </w:pPr>
      <w:r>
        <w:rPr>
          <w:rFonts w:hint="eastAsia" w:ascii="宋体" w:hAnsi="宋体" w:cs="宋体"/>
          <w:color w:val="auto"/>
          <w:sz w:val="24"/>
          <w:szCs w:val="24"/>
        </w:rPr>
        <w:t>投标单位：（盖单位公章）</w:t>
      </w:r>
    </w:p>
    <w:p w14:paraId="09566852">
      <w:pPr>
        <w:rPr>
          <w:rFonts w:hint="eastAsia" w:ascii="宋体" w:hAnsi="宋体" w:cs="宋体"/>
          <w:color w:val="auto"/>
          <w:sz w:val="24"/>
          <w:szCs w:val="24"/>
        </w:rPr>
      </w:pPr>
    </w:p>
    <w:p w14:paraId="2F95A300">
      <w:pPr>
        <w:rPr>
          <w:rFonts w:hint="eastAsia" w:ascii="宋体" w:hAnsi="宋体" w:cs="宋体"/>
          <w:color w:val="auto"/>
          <w:sz w:val="24"/>
          <w:szCs w:val="24"/>
        </w:rPr>
      </w:pPr>
      <w:r>
        <w:rPr>
          <w:rFonts w:hint="eastAsia" w:ascii="宋体" w:hAnsi="宋体" w:cs="宋体"/>
          <w:color w:val="auto"/>
          <w:sz w:val="24"/>
          <w:szCs w:val="24"/>
        </w:rPr>
        <w:t>法定代表人或授权代表人（签字或盖章）：</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4CA8CF76">
      <w:pPr>
        <w:rPr>
          <w:rFonts w:hint="eastAsia" w:ascii="宋体" w:hAnsi="宋体" w:cs="宋体"/>
          <w:color w:val="auto"/>
          <w:sz w:val="24"/>
          <w:szCs w:val="24"/>
        </w:rPr>
      </w:pPr>
    </w:p>
    <w:p w14:paraId="1A9B0441">
      <w:pPr>
        <w:rPr>
          <w:rFonts w:hint="eastAsia" w:ascii="宋体" w:hAnsi="宋体" w:cs="宋体"/>
          <w:color w:val="auto"/>
          <w:sz w:val="24"/>
          <w:szCs w:val="24"/>
        </w:rPr>
      </w:pPr>
      <w:r>
        <w:rPr>
          <w:rFonts w:hint="eastAsia" w:ascii="宋体" w:hAnsi="宋体" w:cs="宋体"/>
          <w:color w:val="auto"/>
          <w:sz w:val="24"/>
          <w:szCs w:val="24"/>
        </w:rPr>
        <w:t>日期：    年    月    日</w:t>
      </w:r>
    </w:p>
    <w:p w14:paraId="47FEEF81">
      <w:pPr>
        <w:rPr>
          <w:rFonts w:hint="eastAsia" w:ascii="宋体" w:hAnsi="宋体" w:cs="宋体"/>
          <w:b/>
          <w:color w:val="auto"/>
          <w:sz w:val="28"/>
          <w:szCs w:val="28"/>
        </w:rPr>
      </w:pPr>
    </w:p>
    <w:p w14:paraId="1A37030E">
      <w:pPr>
        <w:adjustRightInd w:val="0"/>
        <w:snapToGrid w:val="0"/>
        <w:spacing w:before="385" w:beforeLines="100" w:after="385" w:afterLines="100" w:line="360" w:lineRule="auto"/>
        <w:ind w:right="105" w:rightChars="50"/>
        <w:jc w:val="center"/>
        <w:rPr>
          <w:rFonts w:hint="eastAsia" w:ascii="宋体" w:hAnsi="宋体" w:cs="宋体"/>
          <w:b/>
          <w:bCs/>
          <w:color w:val="auto"/>
          <w:sz w:val="32"/>
          <w:szCs w:val="32"/>
        </w:rPr>
      </w:pPr>
      <w:bookmarkStart w:id="173" w:name="_Toc7158_WPSOffice_Level1"/>
      <w:bookmarkStart w:id="174" w:name="_Toc3478_WPSOffice_Level1"/>
      <w:r>
        <w:rPr>
          <w:rFonts w:hint="eastAsia" w:ascii="宋体" w:hAnsi="宋体" w:cs="宋体"/>
          <w:b/>
          <w:color w:val="auto"/>
          <w:sz w:val="28"/>
          <w:szCs w:val="28"/>
        </w:rPr>
        <w:br w:type="page"/>
      </w:r>
      <w:bookmarkStart w:id="175" w:name="_Toc25075"/>
      <w:bookmarkStart w:id="176" w:name="_Toc8792"/>
      <w:bookmarkStart w:id="177" w:name="_Toc7219"/>
      <w:r>
        <w:rPr>
          <w:rFonts w:hint="eastAsia" w:ascii="宋体" w:hAnsi="宋体" w:cs="宋体"/>
          <w:b/>
          <w:color w:val="auto"/>
          <w:sz w:val="28"/>
          <w:szCs w:val="28"/>
        </w:rPr>
        <w:t>2、服务价格明细表</w:t>
      </w:r>
    </w:p>
    <w:bookmarkEnd w:id="173"/>
    <w:bookmarkEnd w:id="174"/>
    <w:bookmarkEnd w:id="175"/>
    <w:bookmarkEnd w:id="176"/>
    <w:bookmarkEnd w:id="177"/>
    <w:p w14:paraId="4B7CE5BC">
      <w:pPr>
        <w:ind w:firstLine="723" w:firstLineChars="300"/>
        <w:rPr>
          <w:rFonts w:hint="eastAsia" w:ascii="宋体" w:hAnsi="宋体" w:cs="宋体"/>
          <w:b/>
          <w:color w:val="auto"/>
          <w:sz w:val="24"/>
          <w:szCs w:val="24"/>
        </w:rPr>
      </w:pPr>
      <w:r>
        <w:rPr>
          <w:rFonts w:hint="eastAsia" w:ascii="宋体" w:hAnsi="宋体" w:cs="宋体"/>
          <w:b/>
          <w:color w:val="auto"/>
          <w:sz w:val="24"/>
          <w:szCs w:val="24"/>
        </w:rPr>
        <w:t>项目编号：</w:t>
      </w:r>
    </w:p>
    <w:p w14:paraId="1186393D">
      <w:pPr>
        <w:ind w:firstLine="723" w:firstLineChars="300"/>
        <w:rPr>
          <w:rFonts w:hint="eastAsia" w:ascii="宋体" w:hAnsi="宋体" w:cs="宋体"/>
          <w:color w:val="auto"/>
        </w:rPr>
      </w:pPr>
      <w:r>
        <w:rPr>
          <w:rFonts w:hint="eastAsia" w:ascii="宋体" w:hAnsi="宋体" w:cs="宋体"/>
          <w:b/>
          <w:color w:val="auto"/>
          <w:sz w:val="24"/>
          <w:szCs w:val="24"/>
        </w:rPr>
        <w:t>投标企业名称：</w:t>
      </w:r>
    </w:p>
    <w:tbl>
      <w:tblPr>
        <w:tblStyle w:val="2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3534"/>
        <w:gridCol w:w="1410"/>
        <w:gridCol w:w="1421"/>
        <w:gridCol w:w="1673"/>
      </w:tblGrid>
      <w:tr w14:paraId="6E31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60" w:type="dxa"/>
            <w:vAlign w:val="center"/>
          </w:tcPr>
          <w:p w14:paraId="654E87C3">
            <w:pPr>
              <w:adjustRightInd w:val="0"/>
              <w:snapToGrid w:val="0"/>
              <w:ind w:left="-65" w:leftChars="-31" w:right="-46" w:rightChars="-22"/>
              <w:jc w:val="center"/>
              <w:rPr>
                <w:rFonts w:hint="eastAsia" w:ascii="宋体" w:hAnsi="宋体" w:cs="宋体"/>
                <w:color w:val="auto"/>
                <w:szCs w:val="21"/>
              </w:rPr>
            </w:pPr>
            <w:r>
              <w:rPr>
                <w:rFonts w:hint="eastAsia" w:ascii="宋体" w:hAnsi="宋体" w:cs="宋体"/>
                <w:color w:val="auto"/>
                <w:szCs w:val="21"/>
              </w:rPr>
              <w:t>序号</w:t>
            </w:r>
          </w:p>
        </w:tc>
        <w:tc>
          <w:tcPr>
            <w:tcW w:w="3534" w:type="dxa"/>
            <w:vAlign w:val="center"/>
          </w:tcPr>
          <w:p w14:paraId="10BB434C">
            <w:pPr>
              <w:adjustRightInd w:val="0"/>
              <w:snapToGrid w:val="0"/>
              <w:ind w:left="-65" w:leftChars="-31" w:right="-46" w:rightChars="-22"/>
              <w:jc w:val="center"/>
              <w:rPr>
                <w:rFonts w:hint="eastAsia" w:ascii="宋体" w:hAnsi="宋体" w:cs="宋体"/>
                <w:color w:val="auto"/>
                <w:szCs w:val="21"/>
              </w:rPr>
            </w:pPr>
            <w:r>
              <w:rPr>
                <w:rFonts w:hint="eastAsia" w:ascii="宋体" w:hAnsi="宋体" w:cs="宋体"/>
                <w:color w:val="auto"/>
                <w:szCs w:val="21"/>
              </w:rPr>
              <w:t>服务名称</w:t>
            </w:r>
          </w:p>
        </w:tc>
        <w:tc>
          <w:tcPr>
            <w:tcW w:w="1410" w:type="dxa"/>
            <w:vAlign w:val="center"/>
          </w:tcPr>
          <w:p w14:paraId="7B116CF5">
            <w:pPr>
              <w:adjustRightInd w:val="0"/>
              <w:snapToGrid w:val="0"/>
              <w:ind w:left="-65" w:leftChars="-31" w:right="-46" w:rightChars="-22"/>
              <w:jc w:val="center"/>
              <w:rPr>
                <w:rFonts w:hint="eastAsia" w:ascii="宋体" w:hAnsi="宋体" w:cs="宋体"/>
                <w:color w:val="auto"/>
                <w:szCs w:val="21"/>
              </w:rPr>
            </w:pPr>
            <w:r>
              <w:rPr>
                <w:rFonts w:hint="eastAsia" w:ascii="宋体" w:hAnsi="宋体" w:cs="宋体"/>
                <w:color w:val="auto"/>
                <w:szCs w:val="21"/>
              </w:rPr>
              <w:t>单价</w:t>
            </w:r>
          </w:p>
        </w:tc>
        <w:tc>
          <w:tcPr>
            <w:tcW w:w="1421" w:type="dxa"/>
            <w:vAlign w:val="center"/>
          </w:tcPr>
          <w:p w14:paraId="668DF59A">
            <w:pPr>
              <w:adjustRightInd w:val="0"/>
              <w:snapToGrid w:val="0"/>
              <w:ind w:left="-65" w:leftChars="-31" w:right="-46" w:rightChars="-22"/>
              <w:jc w:val="center"/>
              <w:rPr>
                <w:rFonts w:hint="eastAsia" w:ascii="宋体" w:hAnsi="宋体" w:cs="宋体"/>
                <w:color w:val="auto"/>
                <w:szCs w:val="21"/>
              </w:rPr>
            </w:pPr>
            <w:r>
              <w:rPr>
                <w:rFonts w:hint="eastAsia" w:ascii="宋体" w:hAnsi="宋体" w:cs="宋体"/>
                <w:color w:val="auto"/>
                <w:szCs w:val="21"/>
              </w:rPr>
              <w:t>总价</w:t>
            </w:r>
          </w:p>
        </w:tc>
        <w:tc>
          <w:tcPr>
            <w:tcW w:w="1673" w:type="dxa"/>
            <w:vAlign w:val="center"/>
          </w:tcPr>
          <w:p w14:paraId="6F1405DC">
            <w:pPr>
              <w:adjustRightInd w:val="0"/>
              <w:snapToGrid w:val="0"/>
              <w:ind w:left="-65" w:leftChars="-31" w:right="-46" w:rightChars="-22"/>
              <w:jc w:val="center"/>
              <w:rPr>
                <w:rFonts w:hint="eastAsia" w:ascii="宋体" w:hAnsi="宋体" w:cs="宋体"/>
                <w:color w:val="auto"/>
                <w:szCs w:val="21"/>
              </w:rPr>
            </w:pPr>
            <w:r>
              <w:rPr>
                <w:rFonts w:hint="eastAsia" w:ascii="宋体" w:hAnsi="宋体" w:cs="宋体"/>
                <w:color w:val="auto"/>
                <w:szCs w:val="21"/>
              </w:rPr>
              <w:t>备注</w:t>
            </w:r>
          </w:p>
        </w:tc>
      </w:tr>
      <w:tr w14:paraId="190C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60" w:type="dxa"/>
            <w:vAlign w:val="center"/>
          </w:tcPr>
          <w:p w14:paraId="0573D42B">
            <w:pPr>
              <w:adjustRightInd w:val="0"/>
              <w:snapToGrid w:val="0"/>
              <w:ind w:right="105" w:rightChars="50"/>
              <w:jc w:val="center"/>
              <w:rPr>
                <w:rFonts w:hint="eastAsia" w:ascii="宋体" w:hAnsi="宋体" w:cs="宋体"/>
                <w:color w:val="auto"/>
                <w:szCs w:val="21"/>
              </w:rPr>
            </w:pPr>
          </w:p>
        </w:tc>
        <w:tc>
          <w:tcPr>
            <w:tcW w:w="3534" w:type="dxa"/>
            <w:vAlign w:val="center"/>
          </w:tcPr>
          <w:p w14:paraId="479F2BCB">
            <w:pPr>
              <w:adjustRightInd w:val="0"/>
              <w:snapToGrid w:val="0"/>
              <w:ind w:right="105" w:rightChars="50"/>
              <w:jc w:val="center"/>
              <w:rPr>
                <w:rFonts w:hint="eastAsia" w:ascii="宋体" w:hAnsi="宋体" w:cs="宋体"/>
                <w:color w:val="auto"/>
                <w:szCs w:val="21"/>
              </w:rPr>
            </w:pPr>
          </w:p>
        </w:tc>
        <w:tc>
          <w:tcPr>
            <w:tcW w:w="1410" w:type="dxa"/>
            <w:vAlign w:val="center"/>
          </w:tcPr>
          <w:p w14:paraId="405FF119">
            <w:pPr>
              <w:adjustRightInd w:val="0"/>
              <w:snapToGrid w:val="0"/>
              <w:ind w:right="105" w:rightChars="50"/>
              <w:jc w:val="center"/>
              <w:rPr>
                <w:rFonts w:hint="eastAsia" w:ascii="宋体" w:hAnsi="宋体" w:cs="宋体"/>
                <w:color w:val="auto"/>
                <w:szCs w:val="21"/>
              </w:rPr>
            </w:pPr>
          </w:p>
        </w:tc>
        <w:tc>
          <w:tcPr>
            <w:tcW w:w="1421" w:type="dxa"/>
            <w:vAlign w:val="center"/>
          </w:tcPr>
          <w:p w14:paraId="3BB12A91">
            <w:pPr>
              <w:adjustRightInd w:val="0"/>
              <w:snapToGrid w:val="0"/>
              <w:ind w:right="105" w:rightChars="50"/>
              <w:jc w:val="center"/>
              <w:rPr>
                <w:rFonts w:hint="eastAsia" w:ascii="宋体" w:hAnsi="宋体" w:cs="宋体"/>
                <w:color w:val="auto"/>
                <w:szCs w:val="21"/>
              </w:rPr>
            </w:pPr>
          </w:p>
        </w:tc>
        <w:tc>
          <w:tcPr>
            <w:tcW w:w="1673" w:type="dxa"/>
            <w:vAlign w:val="center"/>
          </w:tcPr>
          <w:p w14:paraId="16BAD864">
            <w:pPr>
              <w:adjustRightInd w:val="0"/>
              <w:snapToGrid w:val="0"/>
              <w:ind w:right="105" w:rightChars="50"/>
              <w:jc w:val="center"/>
              <w:rPr>
                <w:rFonts w:hint="eastAsia" w:ascii="宋体" w:hAnsi="宋体" w:cs="宋体"/>
                <w:color w:val="auto"/>
                <w:szCs w:val="21"/>
              </w:rPr>
            </w:pPr>
          </w:p>
        </w:tc>
      </w:tr>
      <w:tr w14:paraId="1A01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60" w:type="dxa"/>
            <w:vAlign w:val="center"/>
          </w:tcPr>
          <w:p w14:paraId="0442C5C9">
            <w:pPr>
              <w:adjustRightInd w:val="0"/>
              <w:snapToGrid w:val="0"/>
              <w:ind w:right="105" w:rightChars="50"/>
              <w:jc w:val="center"/>
              <w:rPr>
                <w:rFonts w:hint="eastAsia" w:ascii="宋体" w:hAnsi="宋体" w:cs="宋体"/>
                <w:color w:val="auto"/>
                <w:szCs w:val="21"/>
              </w:rPr>
            </w:pPr>
          </w:p>
        </w:tc>
        <w:tc>
          <w:tcPr>
            <w:tcW w:w="3534" w:type="dxa"/>
            <w:vAlign w:val="center"/>
          </w:tcPr>
          <w:p w14:paraId="10AA6140">
            <w:pPr>
              <w:adjustRightInd w:val="0"/>
              <w:snapToGrid w:val="0"/>
              <w:ind w:right="105" w:rightChars="50"/>
              <w:jc w:val="center"/>
              <w:rPr>
                <w:rFonts w:hint="eastAsia" w:ascii="宋体" w:hAnsi="宋体" w:cs="宋体"/>
                <w:color w:val="auto"/>
                <w:szCs w:val="21"/>
              </w:rPr>
            </w:pPr>
          </w:p>
        </w:tc>
        <w:tc>
          <w:tcPr>
            <w:tcW w:w="1410" w:type="dxa"/>
            <w:vAlign w:val="center"/>
          </w:tcPr>
          <w:p w14:paraId="736194AF">
            <w:pPr>
              <w:adjustRightInd w:val="0"/>
              <w:snapToGrid w:val="0"/>
              <w:ind w:right="105" w:rightChars="50"/>
              <w:jc w:val="center"/>
              <w:rPr>
                <w:rFonts w:hint="eastAsia" w:ascii="宋体" w:hAnsi="宋体" w:cs="宋体"/>
                <w:color w:val="auto"/>
                <w:szCs w:val="21"/>
              </w:rPr>
            </w:pPr>
          </w:p>
        </w:tc>
        <w:tc>
          <w:tcPr>
            <w:tcW w:w="1421" w:type="dxa"/>
            <w:vAlign w:val="center"/>
          </w:tcPr>
          <w:p w14:paraId="019205DF">
            <w:pPr>
              <w:adjustRightInd w:val="0"/>
              <w:snapToGrid w:val="0"/>
              <w:ind w:right="105" w:rightChars="50"/>
              <w:jc w:val="center"/>
              <w:rPr>
                <w:rFonts w:hint="eastAsia" w:ascii="宋体" w:hAnsi="宋体" w:cs="宋体"/>
                <w:color w:val="auto"/>
                <w:szCs w:val="21"/>
              </w:rPr>
            </w:pPr>
          </w:p>
        </w:tc>
        <w:tc>
          <w:tcPr>
            <w:tcW w:w="1673" w:type="dxa"/>
            <w:vAlign w:val="center"/>
          </w:tcPr>
          <w:p w14:paraId="59F7FF12">
            <w:pPr>
              <w:adjustRightInd w:val="0"/>
              <w:snapToGrid w:val="0"/>
              <w:ind w:right="105" w:rightChars="50"/>
              <w:jc w:val="center"/>
              <w:rPr>
                <w:rFonts w:hint="eastAsia" w:ascii="宋体" w:hAnsi="宋体" w:cs="宋体"/>
                <w:color w:val="auto"/>
                <w:szCs w:val="21"/>
              </w:rPr>
            </w:pPr>
          </w:p>
        </w:tc>
      </w:tr>
      <w:tr w14:paraId="4388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60" w:type="dxa"/>
            <w:vAlign w:val="center"/>
          </w:tcPr>
          <w:p w14:paraId="3DC7F3BE">
            <w:pPr>
              <w:adjustRightInd w:val="0"/>
              <w:snapToGrid w:val="0"/>
              <w:ind w:right="105" w:rightChars="50"/>
              <w:jc w:val="center"/>
              <w:rPr>
                <w:rFonts w:hint="eastAsia" w:ascii="宋体" w:hAnsi="宋体" w:cs="宋体"/>
                <w:color w:val="auto"/>
                <w:szCs w:val="21"/>
              </w:rPr>
            </w:pPr>
          </w:p>
        </w:tc>
        <w:tc>
          <w:tcPr>
            <w:tcW w:w="3534" w:type="dxa"/>
            <w:vAlign w:val="center"/>
          </w:tcPr>
          <w:p w14:paraId="3ADE876E">
            <w:pPr>
              <w:adjustRightInd w:val="0"/>
              <w:snapToGrid w:val="0"/>
              <w:ind w:right="105" w:rightChars="50"/>
              <w:jc w:val="center"/>
              <w:rPr>
                <w:rFonts w:hint="eastAsia" w:ascii="宋体" w:hAnsi="宋体" w:cs="宋体"/>
                <w:color w:val="auto"/>
                <w:szCs w:val="21"/>
              </w:rPr>
            </w:pPr>
          </w:p>
        </w:tc>
        <w:tc>
          <w:tcPr>
            <w:tcW w:w="1410" w:type="dxa"/>
            <w:vAlign w:val="center"/>
          </w:tcPr>
          <w:p w14:paraId="05FE64C6">
            <w:pPr>
              <w:adjustRightInd w:val="0"/>
              <w:snapToGrid w:val="0"/>
              <w:ind w:right="105" w:rightChars="50"/>
              <w:jc w:val="center"/>
              <w:rPr>
                <w:rFonts w:hint="eastAsia" w:ascii="宋体" w:hAnsi="宋体" w:cs="宋体"/>
                <w:color w:val="auto"/>
                <w:szCs w:val="21"/>
              </w:rPr>
            </w:pPr>
          </w:p>
        </w:tc>
        <w:tc>
          <w:tcPr>
            <w:tcW w:w="1421" w:type="dxa"/>
            <w:vAlign w:val="center"/>
          </w:tcPr>
          <w:p w14:paraId="0B6CC34B">
            <w:pPr>
              <w:adjustRightInd w:val="0"/>
              <w:snapToGrid w:val="0"/>
              <w:ind w:right="105" w:rightChars="50"/>
              <w:jc w:val="center"/>
              <w:rPr>
                <w:rFonts w:hint="eastAsia" w:ascii="宋体" w:hAnsi="宋体" w:cs="宋体"/>
                <w:color w:val="auto"/>
                <w:szCs w:val="21"/>
              </w:rPr>
            </w:pPr>
          </w:p>
        </w:tc>
        <w:tc>
          <w:tcPr>
            <w:tcW w:w="1673" w:type="dxa"/>
            <w:vAlign w:val="center"/>
          </w:tcPr>
          <w:p w14:paraId="668CD309">
            <w:pPr>
              <w:adjustRightInd w:val="0"/>
              <w:snapToGrid w:val="0"/>
              <w:ind w:right="105" w:rightChars="50"/>
              <w:jc w:val="center"/>
              <w:rPr>
                <w:rFonts w:hint="eastAsia" w:ascii="宋体" w:hAnsi="宋体" w:cs="宋体"/>
                <w:color w:val="auto"/>
                <w:szCs w:val="21"/>
              </w:rPr>
            </w:pPr>
          </w:p>
        </w:tc>
      </w:tr>
      <w:tr w14:paraId="7C29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60" w:type="dxa"/>
            <w:vAlign w:val="center"/>
          </w:tcPr>
          <w:p w14:paraId="7560679D">
            <w:pPr>
              <w:adjustRightInd w:val="0"/>
              <w:snapToGrid w:val="0"/>
              <w:ind w:right="105" w:rightChars="50"/>
              <w:jc w:val="center"/>
              <w:rPr>
                <w:rFonts w:hint="eastAsia" w:ascii="宋体" w:hAnsi="宋体" w:cs="宋体"/>
                <w:color w:val="auto"/>
                <w:szCs w:val="21"/>
              </w:rPr>
            </w:pPr>
          </w:p>
        </w:tc>
        <w:tc>
          <w:tcPr>
            <w:tcW w:w="3534" w:type="dxa"/>
            <w:vAlign w:val="center"/>
          </w:tcPr>
          <w:p w14:paraId="0E73F8D6">
            <w:pPr>
              <w:adjustRightInd w:val="0"/>
              <w:snapToGrid w:val="0"/>
              <w:ind w:right="105" w:rightChars="50"/>
              <w:jc w:val="center"/>
              <w:rPr>
                <w:rFonts w:hint="eastAsia" w:ascii="宋体" w:hAnsi="宋体" w:cs="宋体"/>
                <w:color w:val="auto"/>
                <w:szCs w:val="21"/>
              </w:rPr>
            </w:pPr>
          </w:p>
        </w:tc>
        <w:tc>
          <w:tcPr>
            <w:tcW w:w="1410" w:type="dxa"/>
            <w:vAlign w:val="center"/>
          </w:tcPr>
          <w:p w14:paraId="121DD488">
            <w:pPr>
              <w:adjustRightInd w:val="0"/>
              <w:snapToGrid w:val="0"/>
              <w:ind w:right="105" w:rightChars="50"/>
              <w:jc w:val="center"/>
              <w:rPr>
                <w:rFonts w:hint="eastAsia" w:ascii="宋体" w:hAnsi="宋体" w:cs="宋体"/>
                <w:color w:val="auto"/>
                <w:szCs w:val="21"/>
              </w:rPr>
            </w:pPr>
          </w:p>
        </w:tc>
        <w:tc>
          <w:tcPr>
            <w:tcW w:w="1421" w:type="dxa"/>
            <w:vAlign w:val="center"/>
          </w:tcPr>
          <w:p w14:paraId="1D6F0E05">
            <w:pPr>
              <w:adjustRightInd w:val="0"/>
              <w:snapToGrid w:val="0"/>
              <w:ind w:right="105" w:rightChars="50"/>
              <w:jc w:val="center"/>
              <w:rPr>
                <w:rFonts w:hint="eastAsia" w:ascii="宋体" w:hAnsi="宋体" w:cs="宋体"/>
                <w:color w:val="auto"/>
                <w:szCs w:val="21"/>
              </w:rPr>
            </w:pPr>
          </w:p>
        </w:tc>
        <w:tc>
          <w:tcPr>
            <w:tcW w:w="1673" w:type="dxa"/>
            <w:vAlign w:val="center"/>
          </w:tcPr>
          <w:p w14:paraId="48799A87">
            <w:pPr>
              <w:adjustRightInd w:val="0"/>
              <w:snapToGrid w:val="0"/>
              <w:ind w:right="105" w:rightChars="50"/>
              <w:jc w:val="center"/>
              <w:rPr>
                <w:rFonts w:hint="eastAsia" w:ascii="宋体" w:hAnsi="宋体" w:cs="宋体"/>
                <w:color w:val="auto"/>
                <w:szCs w:val="21"/>
              </w:rPr>
            </w:pPr>
          </w:p>
        </w:tc>
      </w:tr>
      <w:tr w14:paraId="6FCE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60" w:type="dxa"/>
            <w:vAlign w:val="center"/>
          </w:tcPr>
          <w:p w14:paraId="70D5DA9C">
            <w:pPr>
              <w:adjustRightInd w:val="0"/>
              <w:snapToGrid w:val="0"/>
              <w:ind w:right="105" w:rightChars="50"/>
              <w:jc w:val="center"/>
              <w:rPr>
                <w:rFonts w:hint="eastAsia" w:ascii="宋体" w:hAnsi="宋体" w:cs="宋体"/>
                <w:color w:val="auto"/>
                <w:szCs w:val="21"/>
              </w:rPr>
            </w:pPr>
          </w:p>
        </w:tc>
        <w:tc>
          <w:tcPr>
            <w:tcW w:w="3534" w:type="dxa"/>
            <w:vAlign w:val="center"/>
          </w:tcPr>
          <w:p w14:paraId="573090C6">
            <w:pPr>
              <w:adjustRightInd w:val="0"/>
              <w:snapToGrid w:val="0"/>
              <w:ind w:right="105" w:rightChars="50"/>
              <w:jc w:val="center"/>
              <w:rPr>
                <w:rFonts w:hint="eastAsia" w:ascii="宋体" w:hAnsi="宋体" w:cs="宋体"/>
                <w:color w:val="auto"/>
                <w:szCs w:val="21"/>
              </w:rPr>
            </w:pPr>
          </w:p>
        </w:tc>
        <w:tc>
          <w:tcPr>
            <w:tcW w:w="1410" w:type="dxa"/>
            <w:vAlign w:val="center"/>
          </w:tcPr>
          <w:p w14:paraId="7D2EF0BD">
            <w:pPr>
              <w:adjustRightInd w:val="0"/>
              <w:snapToGrid w:val="0"/>
              <w:ind w:right="105" w:rightChars="50"/>
              <w:jc w:val="center"/>
              <w:rPr>
                <w:rFonts w:hint="eastAsia" w:ascii="宋体" w:hAnsi="宋体" w:cs="宋体"/>
                <w:color w:val="auto"/>
                <w:szCs w:val="21"/>
              </w:rPr>
            </w:pPr>
          </w:p>
        </w:tc>
        <w:tc>
          <w:tcPr>
            <w:tcW w:w="1421" w:type="dxa"/>
            <w:vAlign w:val="center"/>
          </w:tcPr>
          <w:p w14:paraId="0CD689AF">
            <w:pPr>
              <w:adjustRightInd w:val="0"/>
              <w:snapToGrid w:val="0"/>
              <w:ind w:right="105" w:rightChars="50"/>
              <w:jc w:val="center"/>
              <w:rPr>
                <w:rFonts w:hint="eastAsia" w:ascii="宋体" w:hAnsi="宋体" w:cs="宋体"/>
                <w:color w:val="auto"/>
                <w:szCs w:val="21"/>
              </w:rPr>
            </w:pPr>
          </w:p>
        </w:tc>
        <w:tc>
          <w:tcPr>
            <w:tcW w:w="1673" w:type="dxa"/>
            <w:vAlign w:val="center"/>
          </w:tcPr>
          <w:p w14:paraId="1D6CBE57">
            <w:pPr>
              <w:adjustRightInd w:val="0"/>
              <w:snapToGrid w:val="0"/>
              <w:ind w:right="105" w:rightChars="50"/>
              <w:jc w:val="center"/>
              <w:rPr>
                <w:rFonts w:hint="eastAsia" w:ascii="宋体" w:hAnsi="宋体" w:cs="宋体"/>
                <w:color w:val="auto"/>
                <w:szCs w:val="21"/>
              </w:rPr>
            </w:pPr>
          </w:p>
        </w:tc>
      </w:tr>
      <w:tr w14:paraId="0A44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60" w:type="dxa"/>
            <w:vAlign w:val="center"/>
          </w:tcPr>
          <w:p w14:paraId="6D6EC826">
            <w:pPr>
              <w:adjustRightInd w:val="0"/>
              <w:snapToGrid w:val="0"/>
              <w:ind w:right="105" w:rightChars="50"/>
              <w:jc w:val="center"/>
              <w:rPr>
                <w:rFonts w:hint="eastAsia" w:ascii="宋体" w:hAnsi="宋体" w:cs="宋体"/>
                <w:color w:val="auto"/>
                <w:szCs w:val="21"/>
              </w:rPr>
            </w:pPr>
          </w:p>
        </w:tc>
        <w:tc>
          <w:tcPr>
            <w:tcW w:w="3534" w:type="dxa"/>
            <w:vAlign w:val="center"/>
          </w:tcPr>
          <w:p w14:paraId="4E013F2F">
            <w:pPr>
              <w:adjustRightInd w:val="0"/>
              <w:snapToGrid w:val="0"/>
              <w:ind w:right="105" w:rightChars="50"/>
              <w:jc w:val="center"/>
              <w:rPr>
                <w:rFonts w:hint="eastAsia" w:ascii="宋体" w:hAnsi="宋体" w:cs="宋体"/>
                <w:color w:val="auto"/>
                <w:szCs w:val="21"/>
              </w:rPr>
            </w:pPr>
          </w:p>
        </w:tc>
        <w:tc>
          <w:tcPr>
            <w:tcW w:w="1410" w:type="dxa"/>
            <w:vAlign w:val="center"/>
          </w:tcPr>
          <w:p w14:paraId="20E1BEC6">
            <w:pPr>
              <w:adjustRightInd w:val="0"/>
              <w:snapToGrid w:val="0"/>
              <w:ind w:right="105" w:rightChars="50"/>
              <w:jc w:val="center"/>
              <w:rPr>
                <w:rFonts w:hint="eastAsia" w:ascii="宋体" w:hAnsi="宋体" w:cs="宋体"/>
                <w:color w:val="auto"/>
                <w:szCs w:val="21"/>
              </w:rPr>
            </w:pPr>
          </w:p>
        </w:tc>
        <w:tc>
          <w:tcPr>
            <w:tcW w:w="1421" w:type="dxa"/>
            <w:vAlign w:val="center"/>
          </w:tcPr>
          <w:p w14:paraId="0F607D76">
            <w:pPr>
              <w:adjustRightInd w:val="0"/>
              <w:snapToGrid w:val="0"/>
              <w:ind w:right="105" w:rightChars="50"/>
              <w:jc w:val="center"/>
              <w:rPr>
                <w:rFonts w:hint="eastAsia" w:ascii="宋体" w:hAnsi="宋体" w:cs="宋体"/>
                <w:color w:val="auto"/>
                <w:szCs w:val="21"/>
              </w:rPr>
            </w:pPr>
          </w:p>
        </w:tc>
        <w:tc>
          <w:tcPr>
            <w:tcW w:w="1673" w:type="dxa"/>
            <w:vAlign w:val="center"/>
          </w:tcPr>
          <w:p w14:paraId="03B9CEF2">
            <w:pPr>
              <w:adjustRightInd w:val="0"/>
              <w:snapToGrid w:val="0"/>
              <w:ind w:right="105" w:rightChars="50"/>
              <w:jc w:val="center"/>
              <w:rPr>
                <w:rFonts w:hint="eastAsia" w:ascii="宋体" w:hAnsi="宋体" w:cs="宋体"/>
                <w:color w:val="auto"/>
                <w:szCs w:val="21"/>
              </w:rPr>
            </w:pPr>
          </w:p>
        </w:tc>
      </w:tr>
      <w:tr w14:paraId="54DE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60" w:type="dxa"/>
            <w:vAlign w:val="center"/>
          </w:tcPr>
          <w:p w14:paraId="09B107B9">
            <w:pPr>
              <w:adjustRightInd w:val="0"/>
              <w:snapToGrid w:val="0"/>
              <w:ind w:right="105" w:rightChars="50"/>
              <w:jc w:val="center"/>
              <w:rPr>
                <w:rFonts w:hint="eastAsia" w:ascii="宋体" w:hAnsi="宋体" w:cs="宋体"/>
                <w:color w:val="auto"/>
                <w:szCs w:val="21"/>
              </w:rPr>
            </w:pPr>
          </w:p>
        </w:tc>
        <w:tc>
          <w:tcPr>
            <w:tcW w:w="3534" w:type="dxa"/>
            <w:vAlign w:val="center"/>
          </w:tcPr>
          <w:p w14:paraId="6781FE0D">
            <w:pPr>
              <w:adjustRightInd w:val="0"/>
              <w:snapToGrid w:val="0"/>
              <w:ind w:right="105" w:rightChars="50"/>
              <w:jc w:val="center"/>
              <w:rPr>
                <w:rFonts w:hint="eastAsia" w:ascii="宋体" w:hAnsi="宋体" w:cs="宋体"/>
                <w:color w:val="auto"/>
                <w:szCs w:val="21"/>
              </w:rPr>
            </w:pPr>
          </w:p>
        </w:tc>
        <w:tc>
          <w:tcPr>
            <w:tcW w:w="1410" w:type="dxa"/>
            <w:vAlign w:val="center"/>
          </w:tcPr>
          <w:p w14:paraId="00FC1B42">
            <w:pPr>
              <w:adjustRightInd w:val="0"/>
              <w:snapToGrid w:val="0"/>
              <w:ind w:right="105" w:rightChars="50"/>
              <w:jc w:val="center"/>
              <w:rPr>
                <w:rFonts w:hint="eastAsia" w:ascii="宋体" w:hAnsi="宋体" w:cs="宋体"/>
                <w:color w:val="auto"/>
                <w:szCs w:val="21"/>
              </w:rPr>
            </w:pPr>
          </w:p>
        </w:tc>
        <w:tc>
          <w:tcPr>
            <w:tcW w:w="1421" w:type="dxa"/>
            <w:vAlign w:val="center"/>
          </w:tcPr>
          <w:p w14:paraId="62AE60FB">
            <w:pPr>
              <w:adjustRightInd w:val="0"/>
              <w:snapToGrid w:val="0"/>
              <w:ind w:right="105" w:rightChars="50"/>
              <w:jc w:val="center"/>
              <w:rPr>
                <w:rFonts w:hint="eastAsia" w:ascii="宋体" w:hAnsi="宋体" w:cs="宋体"/>
                <w:color w:val="auto"/>
                <w:szCs w:val="21"/>
              </w:rPr>
            </w:pPr>
          </w:p>
        </w:tc>
        <w:tc>
          <w:tcPr>
            <w:tcW w:w="1673" w:type="dxa"/>
            <w:vAlign w:val="center"/>
          </w:tcPr>
          <w:p w14:paraId="56CB6B41">
            <w:pPr>
              <w:adjustRightInd w:val="0"/>
              <w:snapToGrid w:val="0"/>
              <w:ind w:right="105" w:rightChars="50"/>
              <w:jc w:val="center"/>
              <w:rPr>
                <w:rFonts w:hint="eastAsia" w:ascii="宋体" w:hAnsi="宋体" w:cs="宋体"/>
                <w:color w:val="auto"/>
                <w:szCs w:val="21"/>
              </w:rPr>
            </w:pPr>
          </w:p>
        </w:tc>
      </w:tr>
      <w:tr w14:paraId="5DC8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94" w:type="dxa"/>
            <w:gridSpan w:val="2"/>
            <w:vAlign w:val="center"/>
          </w:tcPr>
          <w:p w14:paraId="7630C946">
            <w:pPr>
              <w:adjustRightInd w:val="0"/>
              <w:snapToGrid w:val="0"/>
              <w:ind w:right="105" w:rightChars="50"/>
              <w:jc w:val="center"/>
              <w:rPr>
                <w:rFonts w:hint="eastAsia" w:ascii="宋体" w:hAnsi="宋体" w:cs="宋体"/>
                <w:color w:val="auto"/>
                <w:szCs w:val="21"/>
              </w:rPr>
            </w:pPr>
            <w:r>
              <w:rPr>
                <w:rFonts w:hint="eastAsia" w:ascii="宋体" w:hAnsi="宋体" w:cs="宋体"/>
                <w:color w:val="auto"/>
                <w:szCs w:val="21"/>
              </w:rPr>
              <w:t>总价</w:t>
            </w:r>
          </w:p>
        </w:tc>
        <w:tc>
          <w:tcPr>
            <w:tcW w:w="1410" w:type="dxa"/>
            <w:vAlign w:val="center"/>
          </w:tcPr>
          <w:p w14:paraId="48A67EBC">
            <w:pPr>
              <w:adjustRightInd w:val="0"/>
              <w:snapToGrid w:val="0"/>
              <w:ind w:right="105" w:rightChars="50"/>
              <w:jc w:val="center"/>
              <w:rPr>
                <w:rFonts w:hint="eastAsia" w:ascii="宋体" w:hAnsi="宋体" w:cs="宋体"/>
                <w:color w:val="auto"/>
                <w:szCs w:val="21"/>
              </w:rPr>
            </w:pPr>
          </w:p>
        </w:tc>
        <w:tc>
          <w:tcPr>
            <w:tcW w:w="1421" w:type="dxa"/>
            <w:vAlign w:val="center"/>
          </w:tcPr>
          <w:p w14:paraId="3658D953">
            <w:pPr>
              <w:adjustRightInd w:val="0"/>
              <w:snapToGrid w:val="0"/>
              <w:ind w:right="105" w:rightChars="50"/>
              <w:jc w:val="center"/>
              <w:rPr>
                <w:rFonts w:hint="eastAsia" w:ascii="宋体" w:hAnsi="宋体" w:cs="宋体"/>
                <w:color w:val="auto"/>
                <w:szCs w:val="21"/>
              </w:rPr>
            </w:pPr>
          </w:p>
        </w:tc>
        <w:tc>
          <w:tcPr>
            <w:tcW w:w="1673" w:type="dxa"/>
            <w:vAlign w:val="center"/>
          </w:tcPr>
          <w:p w14:paraId="099615A1">
            <w:pPr>
              <w:adjustRightInd w:val="0"/>
              <w:snapToGrid w:val="0"/>
              <w:ind w:right="105" w:rightChars="50"/>
              <w:jc w:val="center"/>
              <w:rPr>
                <w:rFonts w:hint="eastAsia" w:ascii="宋体" w:hAnsi="宋体" w:cs="宋体"/>
                <w:color w:val="auto"/>
                <w:szCs w:val="21"/>
              </w:rPr>
            </w:pPr>
          </w:p>
        </w:tc>
      </w:tr>
    </w:tbl>
    <w:p w14:paraId="6EB4B3F8">
      <w:pPr>
        <w:adjustRightInd w:val="0"/>
        <w:snapToGrid w:val="0"/>
        <w:spacing w:line="360" w:lineRule="auto"/>
        <w:ind w:right="105" w:rightChars="50"/>
        <w:jc w:val="left"/>
        <w:rPr>
          <w:rFonts w:hint="eastAsia" w:ascii="宋体" w:hAnsi="宋体" w:cs="宋体"/>
          <w:color w:val="auto"/>
          <w:szCs w:val="21"/>
        </w:rPr>
      </w:pPr>
    </w:p>
    <w:p w14:paraId="25691D38">
      <w:pPr>
        <w:adjustRightInd w:val="0"/>
        <w:snapToGrid w:val="0"/>
        <w:spacing w:line="360" w:lineRule="auto"/>
        <w:ind w:right="105" w:rightChars="50" w:firstLine="420" w:firstLineChars="200"/>
        <w:jc w:val="left"/>
        <w:rPr>
          <w:rFonts w:hint="eastAsia" w:ascii="宋体" w:hAnsi="宋体" w:cs="宋体"/>
          <w:color w:val="auto"/>
          <w:szCs w:val="21"/>
        </w:rPr>
      </w:pPr>
      <w:r>
        <w:rPr>
          <w:rFonts w:hint="eastAsia" w:ascii="宋体" w:hAnsi="宋体" w:cs="宋体"/>
          <w:color w:val="auto"/>
          <w:szCs w:val="21"/>
        </w:rPr>
        <w:t>注：1.此表中，总价应和开标一览表的投标总价相一致。</w:t>
      </w:r>
    </w:p>
    <w:p w14:paraId="4C92A504">
      <w:pPr>
        <w:adjustRightInd w:val="0"/>
        <w:snapToGrid w:val="0"/>
        <w:spacing w:line="360" w:lineRule="auto"/>
        <w:ind w:right="105" w:rightChars="50" w:firstLine="840" w:firstLineChars="400"/>
        <w:jc w:val="left"/>
        <w:rPr>
          <w:rFonts w:hint="eastAsia" w:ascii="宋体" w:hAnsi="宋体" w:cs="宋体"/>
          <w:color w:val="auto"/>
          <w:szCs w:val="21"/>
        </w:rPr>
      </w:pPr>
      <w:r>
        <w:rPr>
          <w:rFonts w:hint="eastAsia" w:ascii="宋体" w:hAnsi="宋体" w:cs="宋体"/>
          <w:color w:val="auto"/>
          <w:szCs w:val="21"/>
        </w:rPr>
        <w:t>2.本表可根据实际情况进行拓展。</w:t>
      </w:r>
    </w:p>
    <w:p w14:paraId="30D162B8">
      <w:pPr>
        <w:adjustRightInd w:val="0"/>
        <w:snapToGrid w:val="0"/>
        <w:spacing w:line="360" w:lineRule="auto"/>
        <w:ind w:right="105" w:rightChars="50"/>
        <w:jc w:val="left"/>
        <w:rPr>
          <w:rFonts w:hint="eastAsia" w:ascii="宋体" w:hAnsi="宋体" w:cs="宋体"/>
          <w:color w:val="auto"/>
          <w:szCs w:val="21"/>
        </w:rPr>
      </w:pPr>
    </w:p>
    <w:p w14:paraId="6BC505A2">
      <w:pPr>
        <w:adjustRightInd w:val="0"/>
        <w:snapToGrid w:val="0"/>
        <w:spacing w:line="360" w:lineRule="auto"/>
        <w:ind w:right="105" w:rightChars="50"/>
        <w:jc w:val="left"/>
        <w:rPr>
          <w:rFonts w:hint="eastAsia" w:ascii="宋体" w:hAnsi="宋体" w:cs="宋体"/>
          <w:color w:val="auto"/>
          <w:szCs w:val="21"/>
        </w:rPr>
      </w:pPr>
    </w:p>
    <w:p w14:paraId="0075FB10">
      <w:pPr>
        <w:adjustRightInd w:val="0"/>
        <w:snapToGrid w:val="0"/>
        <w:spacing w:line="360" w:lineRule="auto"/>
        <w:ind w:right="105" w:rightChars="50"/>
        <w:jc w:val="left"/>
        <w:rPr>
          <w:rFonts w:hint="eastAsia" w:ascii="宋体" w:hAnsi="宋体" w:cs="宋体"/>
          <w:color w:val="auto"/>
          <w:szCs w:val="21"/>
        </w:rPr>
      </w:pPr>
    </w:p>
    <w:p w14:paraId="492D34CF">
      <w:pPr>
        <w:adjustRightInd w:val="0"/>
        <w:snapToGrid w:val="0"/>
        <w:spacing w:line="360" w:lineRule="auto"/>
        <w:ind w:right="105" w:rightChars="50"/>
        <w:jc w:val="left"/>
        <w:rPr>
          <w:rFonts w:hint="eastAsia" w:ascii="宋体" w:hAnsi="宋体" w:cs="宋体"/>
          <w:color w:val="auto"/>
          <w:szCs w:val="21"/>
        </w:rPr>
      </w:pPr>
    </w:p>
    <w:p w14:paraId="664FB22E">
      <w:pPr>
        <w:adjustRightInd w:val="0"/>
        <w:snapToGrid w:val="0"/>
        <w:spacing w:line="360" w:lineRule="auto"/>
        <w:ind w:right="105" w:rightChars="50"/>
        <w:jc w:val="left"/>
        <w:rPr>
          <w:rFonts w:hint="eastAsia" w:ascii="宋体" w:hAnsi="宋体" w:cs="宋体"/>
          <w:color w:val="auto"/>
          <w:szCs w:val="21"/>
        </w:rPr>
      </w:pPr>
    </w:p>
    <w:p w14:paraId="449B9667">
      <w:pPr>
        <w:rPr>
          <w:rFonts w:hint="eastAsia" w:ascii="宋体" w:hAnsi="宋体" w:cs="宋体"/>
          <w:color w:val="auto"/>
          <w:sz w:val="24"/>
          <w:szCs w:val="24"/>
          <w:u w:val="single"/>
        </w:rPr>
      </w:pPr>
      <w:r>
        <w:rPr>
          <w:rFonts w:hint="eastAsia" w:ascii="宋体" w:hAnsi="宋体" w:cs="宋体"/>
          <w:color w:val="auto"/>
          <w:sz w:val="24"/>
          <w:szCs w:val="24"/>
        </w:rPr>
        <w:t>投标单位：（盖单位公章）</w:t>
      </w:r>
    </w:p>
    <w:p w14:paraId="2406E21C">
      <w:pPr>
        <w:rPr>
          <w:rFonts w:hint="eastAsia" w:ascii="宋体" w:hAnsi="宋体" w:cs="宋体"/>
          <w:color w:val="auto"/>
          <w:sz w:val="24"/>
          <w:szCs w:val="24"/>
        </w:rPr>
      </w:pPr>
    </w:p>
    <w:p w14:paraId="00B0B864">
      <w:pPr>
        <w:rPr>
          <w:rFonts w:hint="eastAsia" w:ascii="宋体" w:hAnsi="宋体" w:cs="宋体"/>
          <w:color w:val="auto"/>
          <w:sz w:val="24"/>
          <w:szCs w:val="24"/>
        </w:rPr>
      </w:pPr>
      <w:r>
        <w:rPr>
          <w:rFonts w:hint="eastAsia" w:ascii="宋体" w:hAnsi="宋体" w:cs="宋体"/>
          <w:color w:val="auto"/>
          <w:sz w:val="24"/>
          <w:szCs w:val="24"/>
        </w:rPr>
        <w:t>法定代表人或授权代表人（签字或盖章）：</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3A28DBE8">
      <w:pPr>
        <w:rPr>
          <w:rFonts w:hint="eastAsia" w:ascii="宋体" w:hAnsi="宋体" w:cs="宋体"/>
          <w:color w:val="auto"/>
          <w:sz w:val="24"/>
          <w:szCs w:val="24"/>
        </w:rPr>
      </w:pPr>
    </w:p>
    <w:p w14:paraId="63438737">
      <w:pPr>
        <w:rPr>
          <w:rFonts w:hint="eastAsia" w:ascii="宋体" w:hAnsi="宋体" w:cs="宋体"/>
          <w:color w:val="auto"/>
          <w:sz w:val="24"/>
          <w:szCs w:val="24"/>
        </w:rPr>
      </w:pPr>
      <w:r>
        <w:rPr>
          <w:rFonts w:hint="eastAsia" w:ascii="宋体" w:hAnsi="宋体" w:cs="宋体"/>
          <w:color w:val="auto"/>
          <w:sz w:val="24"/>
          <w:szCs w:val="24"/>
        </w:rPr>
        <w:t>日期：    年    月    日</w:t>
      </w:r>
    </w:p>
    <w:p w14:paraId="595DCAED">
      <w:pPr>
        <w:rPr>
          <w:rFonts w:hint="eastAsia" w:ascii="宋体" w:hAnsi="宋体" w:cs="宋体"/>
          <w:b/>
          <w:color w:val="auto"/>
          <w:sz w:val="24"/>
          <w:szCs w:val="24"/>
        </w:rPr>
      </w:pPr>
    </w:p>
    <w:p w14:paraId="177AC6C6">
      <w:pPr>
        <w:rPr>
          <w:rFonts w:hint="eastAsia" w:ascii="宋体" w:hAnsi="宋体" w:cs="宋体"/>
          <w:b/>
          <w:color w:val="auto"/>
          <w:sz w:val="24"/>
          <w:szCs w:val="24"/>
        </w:rPr>
      </w:pPr>
    </w:p>
    <w:p w14:paraId="5C284E27">
      <w:pPr>
        <w:pStyle w:val="7"/>
        <w:ind w:firstLine="562"/>
        <w:rPr>
          <w:rFonts w:hint="eastAsia" w:ascii="宋体" w:hAnsi="宋体" w:cs="宋体"/>
          <w:b/>
          <w:color w:val="auto"/>
          <w:sz w:val="28"/>
          <w:szCs w:val="28"/>
        </w:rPr>
      </w:pPr>
    </w:p>
    <w:p w14:paraId="114B1F2A">
      <w:pPr>
        <w:pStyle w:val="7"/>
        <w:ind w:firstLine="562"/>
        <w:rPr>
          <w:rFonts w:hint="eastAsia" w:ascii="宋体" w:hAnsi="宋体" w:cs="宋体"/>
          <w:b/>
          <w:color w:val="auto"/>
          <w:sz w:val="28"/>
          <w:szCs w:val="28"/>
        </w:rPr>
      </w:pPr>
    </w:p>
    <w:p w14:paraId="09F73E71">
      <w:pPr>
        <w:pStyle w:val="7"/>
        <w:ind w:firstLine="562"/>
        <w:rPr>
          <w:rFonts w:hint="eastAsia" w:ascii="宋体" w:hAnsi="宋体" w:cs="宋体"/>
          <w:b/>
          <w:color w:val="auto"/>
          <w:sz w:val="28"/>
          <w:szCs w:val="28"/>
        </w:rPr>
      </w:pPr>
    </w:p>
    <w:p w14:paraId="6D2320A8">
      <w:pPr>
        <w:pStyle w:val="7"/>
        <w:ind w:firstLine="562"/>
        <w:rPr>
          <w:rFonts w:hint="eastAsia" w:ascii="宋体" w:hAnsi="宋体" w:cs="宋体"/>
          <w:b/>
          <w:color w:val="auto"/>
          <w:sz w:val="28"/>
          <w:szCs w:val="28"/>
        </w:rPr>
      </w:pPr>
    </w:p>
    <w:p w14:paraId="77A8C24A">
      <w:pPr>
        <w:rPr>
          <w:rFonts w:hint="eastAsia" w:ascii="宋体" w:hAnsi="宋体" w:cs="宋体"/>
          <w:color w:val="auto"/>
          <w:sz w:val="24"/>
          <w:szCs w:val="24"/>
        </w:rPr>
      </w:pPr>
    </w:p>
    <w:p w14:paraId="20329B6D">
      <w:pPr>
        <w:rPr>
          <w:rFonts w:hint="eastAsia" w:ascii="宋体" w:hAnsi="宋体" w:cs="宋体"/>
          <w:b/>
          <w:color w:val="auto"/>
          <w:sz w:val="28"/>
          <w:szCs w:val="28"/>
        </w:rPr>
      </w:pPr>
    </w:p>
    <w:p w14:paraId="508178E4">
      <w:pPr>
        <w:rPr>
          <w:rFonts w:hint="eastAsia" w:ascii="宋体" w:hAnsi="宋体" w:cs="宋体"/>
          <w:b/>
          <w:color w:val="auto"/>
          <w:sz w:val="28"/>
          <w:szCs w:val="28"/>
        </w:rPr>
      </w:pPr>
    </w:p>
    <w:p w14:paraId="1207A9EF">
      <w:pPr>
        <w:rPr>
          <w:rFonts w:hint="eastAsia" w:ascii="宋体" w:hAnsi="宋体" w:cs="宋体"/>
          <w:b/>
          <w:color w:val="auto"/>
          <w:sz w:val="28"/>
          <w:szCs w:val="28"/>
        </w:rPr>
      </w:pPr>
    </w:p>
    <w:p w14:paraId="4B0EE6E7">
      <w:pPr>
        <w:rPr>
          <w:rFonts w:hint="eastAsia" w:ascii="宋体" w:hAnsi="宋体" w:cs="宋体"/>
          <w:color w:val="auto"/>
        </w:rPr>
      </w:pPr>
      <w:r>
        <w:rPr>
          <w:rFonts w:hint="eastAsia" w:ascii="宋体" w:hAnsi="宋体" w:cs="宋体"/>
          <w:b/>
          <w:color w:val="auto"/>
          <w:sz w:val="28"/>
          <w:szCs w:val="28"/>
        </w:rPr>
        <w:t xml:space="preserve">         </w:t>
      </w:r>
    </w:p>
    <w:p w14:paraId="15BD04C9">
      <w:pPr>
        <w:rPr>
          <w:rFonts w:hint="eastAsia" w:ascii="宋体" w:hAnsi="宋体" w:cs="宋体"/>
          <w:b/>
          <w:color w:val="auto"/>
          <w:sz w:val="28"/>
          <w:szCs w:val="28"/>
        </w:rPr>
      </w:pPr>
    </w:p>
    <w:p w14:paraId="0F6D56D5">
      <w:pPr>
        <w:spacing w:line="600" w:lineRule="exact"/>
        <w:jc w:val="center"/>
        <w:rPr>
          <w:rFonts w:hint="eastAsia" w:ascii="宋体" w:hAnsi="宋体" w:cs="宋体"/>
          <w:b/>
          <w:bCs/>
          <w:color w:val="auto"/>
          <w:sz w:val="44"/>
          <w:szCs w:val="44"/>
        </w:rPr>
      </w:pPr>
      <w:r>
        <w:rPr>
          <w:rFonts w:hint="eastAsia" w:ascii="宋体" w:hAnsi="宋体" w:cs="宋体"/>
          <w:b/>
          <w:bCs/>
          <w:color w:val="auto"/>
          <w:sz w:val="44"/>
          <w:szCs w:val="44"/>
        </w:rPr>
        <w:t>第二部分</w:t>
      </w:r>
    </w:p>
    <w:p w14:paraId="70A8EB9D">
      <w:pPr>
        <w:spacing w:line="600" w:lineRule="exact"/>
        <w:jc w:val="center"/>
        <w:rPr>
          <w:rFonts w:hint="eastAsia" w:ascii="宋体" w:hAnsi="宋体" w:cs="宋体"/>
          <w:b/>
          <w:bCs/>
          <w:color w:val="auto"/>
          <w:sz w:val="44"/>
          <w:szCs w:val="44"/>
        </w:rPr>
      </w:pPr>
      <w:bookmarkStart w:id="178" w:name="_Toc11852"/>
      <w:bookmarkStart w:id="179" w:name="_Toc22032"/>
      <w:bookmarkStart w:id="180" w:name="_Toc24765"/>
      <w:bookmarkStart w:id="181" w:name="_Toc20171_WPSOffice_Level1"/>
      <w:bookmarkStart w:id="182" w:name="_Toc28309_WPSOffice_Level1"/>
      <w:r>
        <w:rPr>
          <w:rFonts w:hint="eastAsia" w:ascii="宋体" w:hAnsi="宋体" w:cs="宋体"/>
          <w:b/>
          <w:bCs/>
          <w:color w:val="auto"/>
          <w:sz w:val="44"/>
          <w:szCs w:val="44"/>
        </w:rPr>
        <w:t>商务部分</w:t>
      </w:r>
      <w:bookmarkEnd w:id="178"/>
      <w:bookmarkEnd w:id="179"/>
      <w:bookmarkEnd w:id="180"/>
      <w:bookmarkEnd w:id="181"/>
      <w:bookmarkEnd w:id="182"/>
    </w:p>
    <w:p w14:paraId="1B63D5C1">
      <w:pPr>
        <w:rPr>
          <w:rFonts w:hint="eastAsia" w:ascii="宋体" w:hAnsi="宋体" w:cs="宋体"/>
          <w:b/>
          <w:color w:val="auto"/>
          <w:sz w:val="28"/>
          <w:szCs w:val="28"/>
        </w:rPr>
      </w:pPr>
    </w:p>
    <w:p w14:paraId="600C205B">
      <w:pPr>
        <w:rPr>
          <w:rFonts w:hint="eastAsia" w:ascii="宋体" w:hAnsi="宋体" w:cs="宋体"/>
          <w:b/>
          <w:color w:val="auto"/>
          <w:sz w:val="28"/>
          <w:szCs w:val="28"/>
        </w:rPr>
      </w:pPr>
    </w:p>
    <w:p w14:paraId="4C423BB1">
      <w:pPr>
        <w:rPr>
          <w:rFonts w:hint="eastAsia" w:ascii="宋体" w:hAnsi="宋体" w:cs="宋体"/>
          <w:b/>
          <w:color w:val="auto"/>
          <w:sz w:val="28"/>
          <w:szCs w:val="28"/>
        </w:rPr>
      </w:pPr>
    </w:p>
    <w:p w14:paraId="23F8E013">
      <w:pPr>
        <w:rPr>
          <w:rFonts w:hint="eastAsia" w:ascii="宋体" w:hAnsi="宋体" w:cs="宋体"/>
          <w:b/>
          <w:color w:val="auto"/>
          <w:sz w:val="28"/>
          <w:szCs w:val="28"/>
        </w:rPr>
      </w:pPr>
    </w:p>
    <w:p w14:paraId="1DB90C86">
      <w:pPr>
        <w:rPr>
          <w:rFonts w:hint="eastAsia" w:ascii="宋体" w:hAnsi="宋体" w:cs="宋体"/>
          <w:b/>
          <w:color w:val="auto"/>
          <w:sz w:val="28"/>
          <w:szCs w:val="28"/>
        </w:rPr>
      </w:pPr>
    </w:p>
    <w:p w14:paraId="5F223F6E">
      <w:pPr>
        <w:rPr>
          <w:rFonts w:hint="eastAsia" w:ascii="宋体" w:hAnsi="宋体" w:cs="宋体"/>
          <w:b/>
          <w:color w:val="auto"/>
          <w:sz w:val="28"/>
          <w:szCs w:val="28"/>
        </w:rPr>
      </w:pPr>
    </w:p>
    <w:p w14:paraId="3FE83521">
      <w:pPr>
        <w:rPr>
          <w:rFonts w:hint="eastAsia" w:ascii="宋体" w:hAnsi="宋体" w:cs="宋体"/>
          <w:b/>
          <w:color w:val="auto"/>
          <w:sz w:val="28"/>
          <w:szCs w:val="28"/>
        </w:rPr>
      </w:pPr>
    </w:p>
    <w:p w14:paraId="4A4B087B">
      <w:pPr>
        <w:rPr>
          <w:rFonts w:hint="eastAsia" w:ascii="宋体" w:hAnsi="宋体" w:cs="宋体"/>
          <w:color w:val="auto"/>
          <w:sz w:val="28"/>
          <w:szCs w:val="28"/>
          <w:u w:val="single"/>
        </w:rPr>
      </w:pPr>
    </w:p>
    <w:p w14:paraId="3B913A30">
      <w:pPr>
        <w:rPr>
          <w:rFonts w:hint="eastAsia" w:ascii="宋体" w:hAnsi="宋体" w:cs="宋体"/>
          <w:color w:val="auto"/>
          <w:sz w:val="28"/>
          <w:szCs w:val="28"/>
          <w:u w:val="single"/>
        </w:rPr>
      </w:pPr>
    </w:p>
    <w:p w14:paraId="4D7225AB">
      <w:pPr>
        <w:rPr>
          <w:rFonts w:hint="eastAsia" w:ascii="宋体" w:hAnsi="宋体" w:cs="宋体"/>
          <w:color w:val="auto"/>
          <w:sz w:val="28"/>
          <w:szCs w:val="28"/>
          <w:u w:val="single"/>
        </w:rPr>
      </w:pPr>
    </w:p>
    <w:p w14:paraId="2F1BEFFB">
      <w:pPr>
        <w:rPr>
          <w:rFonts w:hint="eastAsia" w:ascii="宋体" w:hAnsi="宋体" w:cs="宋体"/>
          <w:color w:val="auto"/>
          <w:sz w:val="28"/>
          <w:szCs w:val="28"/>
          <w:u w:val="single"/>
        </w:rPr>
      </w:pPr>
    </w:p>
    <w:p w14:paraId="5DD2485F">
      <w:pPr>
        <w:rPr>
          <w:rFonts w:hint="eastAsia" w:ascii="宋体" w:hAnsi="宋体" w:cs="宋体"/>
          <w:color w:val="auto"/>
          <w:sz w:val="28"/>
          <w:szCs w:val="28"/>
          <w:u w:val="single"/>
        </w:rPr>
      </w:pPr>
    </w:p>
    <w:p w14:paraId="672F5CB2">
      <w:pPr>
        <w:rPr>
          <w:rFonts w:hint="eastAsia" w:ascii="宋体" w:hAnsi="宋体" w:cs="宋体"/>
          <w:color w:val="auto"/>
          <w:sz w:val="28"/>
          <w:szCs w:val="28"/>
          <w:u w:val="single"/>
        </w:rPr>
      </w:pPr>
    </w:p>
    <w:p w14:paraId="1F03FFFE">
      <w:pPr>
        <w:rPr>
          <w:rFonts w:hint="eastAsia" w:ascii="宋体" w:hAnsi="宋体" w:cs="宋体"/>
          <w:color w:val="auto"/>
          <w:sz w:val="28"/>
          <w:szCs w:val="28"/>
          <w:u w:val="single"/>
        </w:rPr>
      </w:pPr>
    </w:p>
    <w:p w14:paraId="77807941">
      <w:pPr>
        <w:rPr>
          <w:rFonts w:hint="eastAsia" w:ascii="宋体" w:hAnsi="宋体" w:cs="宋体"/>
          <w:color w:val="auto"/>
          <w:sz w:val="28"/>
          <w:szCs w:val="28"/>
          <w:u w:val="single"/>
        </w:rPr>
      </w:pPr>
    </w:p>
    <w:p w14:paraId="16B8A57B">
      <w:pPr>
        <w:rPr>
          <w:rFonts w:hint="eastAsia" w:ascii="宋体" w:hAnsi="宋体" w:cs="宋体"/>
          <w:color w:val="auto"/>
          <w:sz w:val="28"/>
          <w:szCs w:val="28"/>
          <w:u w:val="single"/>
        </w:rPr>
      </w:pPr>
    </w:p>
    <w:p w14:paraId="44B124B1">
      <w:pPr>
        <w:rPr>
          <w:rFonts w:hint="eastAsia" w:ascii="宋体" w:hAnsi="宋体" w:cs="宋体"/>
          <w:color w:val="auto"/>
          <w:sz w:val="28"/>
          <w:szCs w:val="28"/>
          <w:u w:val="single"/>
        </w:rPr>
      </w:pPr>
    </w:p>
    <w:p w14:paraId="5AD97F4E">
      <w:pPr>
        <w:rPr>
          <w:rFonts w:hint="eastAsia" w:ascii="宋体" w:hAnsi="宋体" w:cs="宋体"/>
          <w:color w:val="auto"/>
          <w:sz w:val="28"/>
          <w:szCs w:val="28"/>
          <w:u w:val="single"/>
        </w:rPr>
      </w:pPr>
    </w:p>
    <w:p w14:paraId="64F5A77A">
      <w:pPr>
        <w:rPr>
          <w:rFonts w:hint="eastAsia" w:ascii="宋体" w:hAnsi="宋体" w:cs="宋体"/>
          <w:color w:val="auto"/>
          <w:sz w:val="28"/>
          <w:szCs w:val="28"/>
          <w:u w:val="single"/>
        </w:rPr>
      </w:pPr>
    </w:p>
    <w:p w14:paraId="3F26F2D9">
      <w:pPr>
        <w:tabs>
          <w:tab w:val="left" w:pos="1080"/>
        </w:tabs>
        <w:spacing w:line="600" w:lineRule="exact"/>
        <w:jc w:val="center"/>
        <w:rPr>
          <w:rFonts w:hint="eastAsia" w:ascii="宋体" w:hAnsi="宋体" w:cs="宋体"/>
          <w:color w:val="auto"/>
          <w:sz w:val="28"/>
          <w:szCs w:val="28"/>
        </w:rPr>
      </w:pPr>
    </w:p>
    <w:p w14:paraId="543F4E84">
      <w:pPr>
        <w:rPr>
          <w:rFonts w:hint="eastAsia" w:ascii="宋体" w:hAnsi="宋体" w:cs="宋体"/>
          <w:color w:val="auto"/>
          <w:sz w:val="28"/>
          <w:szCs w:val="28"/>
        </w:rPr>
      </w:pPr>
      <w:r>
        <w:rPr>
          <w:rFonts w:hint="eastAsia" w:ascii="宋体" w:hAnsi="宋体" w:cs="宋体"/>
          <w:color w:val="auto"/>
          <w:sz w:val="28"/>
          <w:szCs w:val="28"/>
        </w:rPr>
        <w:br w:type="page"/>
      </w:r>
    </w:p>
    <w:p w14:paraId="1BB3F612">
      <w:pPr>
        <w:tabs>
          <w:tab w:val="left" w:pos="1080"/>
        </w:tabs>
        <w:spacing w:line="600" w:lineRule="exact"/>
        <w:jc w:val="center"/>
        <w:rPr>
          <w:rFonts w:hint="eastAsia" w:ascii="宋体" w:hAnsi="宋体" w:cs="宋体"/>
          <w:b/>
          <w:color w:val="auto"/>
          <w:sz w:val="28"/>
          <w:szCs w:val="24"/>
        </w:rPr>
      </w:pPr>
      <w:r>
        <w:rPr>
          <w:rFonts w:hint="eastAsia" w:ascii="宋体" w:hAnsi="宋体" w:cs="宋体"/>
          <w:color w:val="auto"/>
          <w:sz w:val="28"/>
          <w:szCs w:val="28"/>
        </w:rPr>
        <w:t>1、</w:t>
      </w:r>
      <w:r>
        <w:rPr>
          <w:rFonts w:hint="eastAsia" w:ascii="宋体" w:hAnsi="宋体" w:cs="宋体"/>
          <w:b/>
          <w:color w:val="auto"/>
          <w:sz w:val="28"/>
          <w:szCs w:val="24"/>
        </w:rPr>
        <w:t>投标人资格声明函（格式自拟）</w:t>
      </w:r>
    </w:p>
    <w:p w14:paraId="61F3DB64">
      <w:pPr>
        <w:pStyle w:val="12"/>
        <w:ind w:firstLine="480" w:firstLineChars="200"/>
        <w:rPr>
          <w:rFonts w:hint="eastAsia" w:cs="宋体"/>
          <w:bCs/>
          <w:color w:val="auto"/>
          <w:sz w:val="24"/>
          <w:szCs w:val="24"/>
        </w:rPr>
      </w:pPr>
      <w:r>
        <w:rPr>
          <w:rFonts w:hint="eastAsia" w:cs="宋体"/>
          <w:bCs/>
          <w:color w:val="auto"/>
          <w:sz w:val="24"/>
          <w:szCs w:val="24"/>
        </w:rPr>
        <w:t>我公司</w:t>
      </w:r>
      <w:r>
        <w:rPr>
          <w:rFonts w:hint="eastAsia" w:cs="宋体"/>
          <w:bCs/>
          <w:color w:val="auto"/>
          <w:sz w:val="24"/>
          <w:szCs w:val="24"/>
          <w:u w:val="single"/>
        </w:rPr>
        <w:t xml:space="preserve"> （供应商全称） </w:t>
      </w:r>
      <w:r>
        <w:rPr>
          <w:rFonts w:hint="eastAsia" w:cs="宋体"/>
          <w:bCs/>
          <w:color w:val="auto"/>
          <w:sz w:val="24"/>
          <w:szCs w:val="24"/>
        </w:rPr>
        <w:t>收到</w:t>
      </w:r>
      <w:r>
        <w:rPr>
          <w:rFonts w:hint="eastAsia" w:cs="宋体"/>
          <w:bCs/>
          <w:color w:val="auto"/>
          <w:sz w:val="24"/>
          <w:szCs w:val="24"/>
          <w:u w:val="single"/>
        </w:rPr>
        <w:t xml:space="preserve">                 </w:t>
      </w:r>
      <w:r>
        <w:rPr>
          <w:rFonts w:hint="eastAsia" w:cs="宋体"/>
          <w:bCs/>
          <w:color w:val="auto"/>
          <w:sz w:val="24"/>
          <w:szCs w:val="24"/>
        </w:rPr>
        <w:t>项目（项目编号：</w:t>
      </w:r>
      <w:r>
        <w:rPr>
          <w:rFonts w:hint="eastAsia" w:cs="宋体"/>
          <w:bCs/>
          <w:color w:val="auto"/>
          <w:sz w:val="24"/>
          <w:szCs w:val="24"/>
          <w:u w:val="single"/>
        </w:rPr>
        <w:t xml:space="preserve">      </w:t>
      </w:r>
      <w:r>
        <w:rPr>
          <w:rFonts w:hint="eastAsia" w:cs="宋体"/>
          <w:bCs/>
          <w:color w:val="auto"/>
          <w:sz w:val="24"/>
          <w:szCs w:val="24"/>
        </w:rPr>
        <w:t>、标段号：</w:t>
      </w:r>
      <w:r>
        <w:rPr>
          <w:rFonts w:hint="eastAsia" w:cs="宋体"/>
          <w:bCs/>
          <w:color w:val="auto"/>
          <w:sz w:val="24"/>
          <w:szCs w:val="24"/>
          <w:u w:val="single"/>
        </w:rPr>
        <w:t xml:space="preserve">        </w:t>
      </w:r>
      <w:r>
        <w:rPr>
          <w:rFonts w:hint="eastAsia" w:cs="宋体"/>
          <w:bCs/>
          <w:color w:val="auto"/>
          <w:sz w:val="24"/>
          <w:szCs w:val="24"/>
        </w:rPr>
        <w:t>、标段名称：</w:t>
      </w:r>
      <w:r>
        <w:rPr>
          <w:rFonts w:hint="eastAsia" w:cs="宋体"/>
          <w:bCs/>
          <w:color w:val="auto"/>
          <w:sz w:val="24"/>
          <w:szCs w:val="24"/>
          <w:u w:val="single"/>
        </w:rPr>
        <w:t xml:space="preserve">                 </w:t>
      </w:r>
      <w:r>
        <w:rPr>
          <w:rFonts w:hint="eastAsia" w:cs="宋体"/>
          <w:bCs/>
          <w:color w:val="auto"/>
          <w:sz w:val="24"/>
          <w:szCs w:val="24"/>
        </w:rPr>
        <w:t xml:space="preserve"> ）的招标文件后，在完全理解该项目采购技术要求和商务条款的基础上，决定参加此次投标活动。我方保证具备履行合同所必需的服务和专业技术能力，并承诺如下：</w:t>
      </w:r>
    </w:p>
    <w:p w14:paraId="633476C6">
      <w:pPr>
        <w:topLinePunct/>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1、具有独立承担民事责任的能力；</w:t>
      </w:r>
    </w:p>
    <w:p w14:paraId="6EBD75E6">
      <w:pPr>
        <w:topLinePunct/>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2、具有良好的商业信誉和健全的财务会计制度；</w:t>
      </w:r>
    </w:p>
    <w:p w14:paraId="7560EEF0">
      <w:pPr>
        <w:topLinePunct/>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3、具有履行合同所必需的货物和专业技术能力；</w:t>
      </w:r>
    </w:p>
    <w:p w14:paraId="22BB6D18">
      <w:pPr>
        <w:topLinePunct/>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4、有依法缴纳税收和社会保障资金的良好记录；</w:t>
      </w:r>
    </w:p>
    <w:p w14:paraId="0B54E799">
      <w:pPr>
        <w:topLinePunct/>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5、参加政府采购活动前三年内，在经营活动中没有重大违法记录；</w:t>
      </w:r>
    </w:p>
    <w:p w14:paraId="53457CB2">
      <w:pPr>
        <w:topLinePunct/>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6、法律、行政法规规定的其他条件；</w:t>
      </w:r>
    </w:p>
    <w:p w14:paraId="2BCDA7A2">
      <w:pPr>
        <w:topLinePunct/>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7、具备承担和实施本次采购内容相关的经营许可或相关代理授权。</w:t>
      </w:r>
    </w:p>
    <w:p w14:paraId="0BA4CC12">
      <w:pPr>
        <w:topLinePunct/>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8、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14:paraId="4C357653">
      <w:pPr>
        <w:pStyle w:val="12"/>
        <w:ind w:firstLine="560" w:firstLineChars="200"/>
        <w:rPr>
          <w:rFonts w:hint="eastAsia" w:cs="宋体"/>
          <w:bCs/>
          <w:color w:val="auto"/>
          <w:sz w:val="28"/>
          <w:szCs w:val="28"/>
        </w:rPr>
      </w:pPr>
    </w:p>
    <w:p w14:paraId="0EE80F13">
      <w:pPr>
        <w:pStyle w:val="12"/>
        <w:ind w:left="0" w:leftChars="0" w:firstLine="0" w:firstLineChars="0"/>
        <w:rPr>
          <w:rFonts w:hint="eastAsia" w:cs="宋体"/>
          <w:bCs/>
          <w:color w:val="auto"/>
          <w:sz w:val="28"/>
          <w:szCs w:val="28"/>
        </w:rPr>
      </w:pPr>
    </w:p>
    <w:p w14:paraId="20E4D21B">
      <w:pPr>
        <w:rPr>
          <w:rFonts w:hint="eastAsia" w:ascii="宋体" w:hAnsi="宋体" w:cs="宋体"/>
          <w:color w:val="auto"/>
          <w:sz w:val="24"/>
          <w:szCs w:val="24"/>
          <w:u w:val="single"/>
        </w:rPr>
      </w:pPr>
      <w:r>
        <w:rPr>
          <w:rFonts w:hint="eastAsia" w:ascii="宋体" w:hAnsi="宋体" w:cs="宋体"/>
          <w:color w:val="auto"/>
          <w:sz w:val="24"/>
          <w:szCs w:val="24"/>
        </w:rPr>
        <w:t>投标单位：（盖单位公章）</w:t>
      </w:r>
    </w:p>
    <w:p w14:paraId="5308EA0D">
      <w:pPr>
        <w:rPr>
          <w:rFonts w:hint="eastAsia" w:ascii="宋体" w:hAnsi="宋体" w:cs="宋体"/>
          <w:color w:val="auto"/>
          <w:sz w:val="24"/>
          <w:szCs w:val="24"/>
        </w:rPr>
      </w:pPr>
    </w:p>
    <w:p w14:paraId="0A552E6B">
      <w:pPr>
        <w:rPr>
          <w:rFonts w:hint="eastAsia" w:ascii="宋体" w:hAnsi="宋体" w:cs="宋体"/>
          <w:color w:val="auto"/>
          <w:sz w:val="24"/>
          <w:szCs w:val="24"/>
        </w:rPr>
      </w:pPr>
      <w:r>
        <w:rPr>
          <w:rFonts w:hint="eastAsia" w:ascii="宋体" w:hAnsi="宋体" w:cs="宋体"/>
          <w:color w:val="auto"/>
          <w:sz w:val="24"/>
          <w:szCs w:val="24"/>
        </w:rPr>
        <w:t>法定代表人或授权代表人（签字或盖章）：</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0B46C72D">
      <w:pPr>
        <w:rPr>
          <w:rFonts w:hint="eastAsia" w:ascii="宋体" w:hAnsi="宋体" w:cs="宋体"/>
          <w:color w:val="auto"/>
          <w:sz w:val="24"/>
          <w:szCs w:val="24"/>
        </w:rPr>
      </w:pPr>
    </w:p>
    <w:p w14:paraId="50E88A29">
      <w:pPr>
        <w:rPr>
          <w:rFonts w:hint="eastAsia" w:ascii="宋体" w:hAnsi="宋体" w:cs="宋体"/>
          <w:color w:val="auto"/>
          <w:sz w:val="24"/>
          <w:szCs w:val="24"/>
        </w:rPr>
      </w:pPr>
      <w:r>
        <w:rPr>
          <w:rFonts w:hint="eastAsia" w:ascii="宋体" w:hAnsi="宋体" w:cs="宋体"/>
          <w:color w:val="auto"/>
          <w:sz w:val="24"/>
          <w:szCs w:val="24"/>
        </w:rPr>
        <w:t>日期：    年    月    日</w:t>
      </w:r>
    </w:p>
    <w:p w14:paraId="07DA665F">
      <w:pPr>
        <w:pStyle w:val="7"/>
        <w:overflowPunct w:val="0"/>
        <w:snapToGrid w:val="0"/>
        <w:spacing w:line="360" w:lineRule="auto"/>
        <w:ind w:firstLine="0" w:firstLineChars="0"/>
        <w:rPr>
          <w:rFonts w:hint="eastAsia" w:ascii="宋体" w:hAnsi="宋体" w:cs="宋体"/>
          <w:bCs/>
          <w:color w:val="auto"/>
          <w:sz w:val="28"/>
          <w:szCs w:val="28"/>
        </w:rPr>
      </w:pPr>
    </w:p>
    <w:p w14:paraId="742EFD90">
      <w:pPr>
        <w:spacing w:line="600" w:lineRule="exact"/>
        <w:jc w:val="center"/>
        <w:rPr>
          <w:rFonts w:hint="eastAsia" w:ascii="宋体" w:hAnsi="宋体" w:cs="宋体"/>
          <w:b/>
          <w:color w:val="auto"/>
          <w:sz w:val="28"/>
          <w:szCs w:val="28"/>
        </w:rPr>
      </w:pPr>
    </w:p>
    <w:p w14:paraId="49C27A71">
      <w:pPr>
        <w:spacing w:line="600" w:lineRule="exact"/>
        <w:jc w:val="center"/>
        <w:rPr>
          <w:rFonts w:hint="eastAsia" w:ascii="宋体" w:hAnsi="宋体" w:cs="宋体"/>
          <w:b/>
          <w:color w:val="auto"/>
          <w:sz w:val="28"/>
          <w:szCs w:val="28"/>
        </w:rPr>
      </w:pPr>
    </w:p>
    <w:p w14:paraId="44E02814">
      <w:pPr>
        <w:spacing w:line="600" w:lineRule="exact"/>
        <w:jc w:val="center"/>
        <w:rPr>
          <w:rFonts w:hint="eastAsia" w:ascii="宋体" w:hAnsi="宋体" w:cs="宋体"/>
          <w:b/>
          <w:color w:val="auto"/>
          <w:sz w:val="28"/>
          <w:szCs w:val="28"/>
        </w:rPr>
      </w:pPr>
    </w:p>
    <w:p w14:paraId="666E57BD">
      <w:pPr>
        <w:spacing w:line="600" w:lineRule="exact"/>
        <w:jc w:val="center"/>
        <w:rPr>
          <w:rFonts w:hint="eastAsia" w:ascii="宋体" w:hAnsi="宋体" w:cs="宋体"/>
          <w:b/>
          <w:color w:val="auto"/>
          <w:sz w:val="28"/>
          <w:szCs w:val="28"/>
        </w:rPr>
      </w:pPr>
    </w:p>
    <w:p w14:paraId="3228CAA6">
      <w:pPr>
        <w:spacing w:line="600" w:lineRule="exact"/>
        <w:jc w:val="center"/>
        <w:rPr>
          <w:rFonts w:hint="eastAsia" w:ascii="宋体" w:hAnsi="宋体" w:cs="宋体"/>
          <w:b/>
          <w:color w:val="auto"/>
          <w:sz w:val="28"/>
          <w:szCs w:val="28"/>
        </w:rPr>
      </w:pPr>
    </w:p>
    <w:p w14:paraId="61F305BD">
      <w:pPr>
        <w:jc w:val="center"/>
        <w:rPr>
          <w:rFonts w:hint="eastAsia" w:ascii="宋体" w:hAnsi="宋体" w:cs="宋体"/>
          <w:b/>
          <w:color w:val="auto"/>
          <w:sz w:val="28"/>
          <w:szCs w:val="28"/>
        </w:rPr>
      </w:pPr>
    </w:p>
    <w:p w14:paraId="43300FC8">
      <w:pPr>
        <w:rPr>
          <w:rFonts w:hint="eastAsia" w:ascii="宋体" w:hAnsi="宋体" w:cs="宋体"/>
          <w:b/>
          <w:color w:val="auto"/>
          <w:sz w:val="28"/>
          <w:szCs w:val="28"/>
        </w:rPr>
      </w:pPr>
    </w:p>
    <w:p w14:paraId="25DA499E">
      <w:pPr>
        <w:rPr>
          <w:rFonts w:hint="eastAsia" w:ascii="宋体" w:hAnsi="宋体" w:cs="宋体"/>
          <w:b/>
          <w:color w:val="auto"/>
          <w:sz w:val="28"/>
          <w:szCs w:val="28"/>
        </w:rPr>
      </w:pPr>
    </w:p>
    <w:p w14:paraId="424703B2">
      <w:pPr>
        <w:rPr>
          <w:rFonts w:hint="eastAsia" w:ascii="宋体" w:hAnsi="宋体" w:cs="宋体"/>
          <w:b/>
          <w:color w:val="auto"/>
          <w:sz w:val="28"/>
          <w:szCs w:val="28"/>
        </w:rPr>
      </w:pPr>
      <w:r>
        <w:rPr>
          <w:rFonts w:hint="eastAsia" w:ascii="宋体" w:hAnsi="宋体" w:cs="宋体"/>
          <w:b/>
          <w:color w:val="auto"/>
          <w:sz w:val="28"/>
          <w:szCs w:val="28"/>
        </w:rPr>
        <w:br w:type="page"/>
      </w:r>
    </w:p>
    <w:p w14:paraId="3965A093">
      <w:pPr>
        <w:jc w:val="center"/>
        <w:rPr>
          <w:rFonts w:hint="eastAsia" w:ascii="宋体" w:hAnsi="宋体" w:cs="宋体"/>
          <w:b/>
          <w:color w:val="auto"/>
          <w:sz w:val="28"/>
          <w:szCs w:val="28"/>
        </w:rPr>
      </w:pPr>
      <w:r>
        <w:rPr>
          <w:rFonts w:hint="eastAsia" w:ascii="宋体" w:hAnsi="宋体" w:cs="宋体"/>
          <w:b/>
          <w:color w:val="auto"/>
          <w:sz w:val="28"/>
          <w:szCs w:val="28"/>
        </w:rPr>
        <w:t>2、投标单位简介</w:t>
      </w:r>
    </w:p>
    <w:p w14:paraId="0ACE0A3D">
      <w:pPr>
        <w:jc w:val="center"/>
        <w:rPr>
          <w:rFonts w:hint="eastAsia" w:ascii="宋体" w:hAnsi="宋体" w:cs="宋体"/>
          <w:b/>
          <w:color w:val="auto"/>
          <w:sz w:val="24"/>
          <w:szCs w:val="24"/>
        </w:rPr>
      </w:pPr>
      <w:r>
        <w:rPr>
          <w:rFonts w:hint="eastAsia" w:ascii="宋体" w:hAnsi="宋体" w:cs="宋体"/>
          <w:b/>
          <w:color w:val="auto"/>
          <w:sz w:val="24"/>
          <w:szCs w:val="24"/>
        </w:rPr>
        <w:t>（由投标人自行编制）</w:t>
      </w:r>
    </w:p>
    <w:p w14:paraId="1D6B69AE">
      <w:pPr>
        <w:rPr>
          <w:rFonts w:hint="eastAsia" w:ascii="宋体" w:hAnsi="宋体" w:cs="宋体"/>
          <w:b/>
          <w:color w:val="auto"/>
          <w:sz w:val="28"/>
          <w:szCs w:val="28"/>
        </w:rPr>
      </w:pPr>
    </w:p>
    <w:p w14:paraId="3CC1EF6F">
      <w:pPr>
        <w:rPr>
          <w:rFonts w:hint="eastAsia" w:ascii="宋体" w:hAnsi="宋体" w:cs="宋体"/>
          <w:b/>
          <w:color w:val="auto"/>
          <w:sz w:val="28"/>
          <w:szCs w:val="28"/>
        </w:rPr>
      </w:pPr>
    </w:p>
    <w:p w14:paraId="770B4A24">
      <w:pPr>
        <w:ind w:firstLine="482" w:firstLineChars="200"/>
        <w:rPr>
          <w:rFonts w:hint="eastAsia" w:ascii="宋体" w:hAnsi="宋体" w:cs="宋体"/>
          <w:b/>
          <w:color w:val="auto"/>
          <w:sz w:val="24"/>
          <w:szCs w:val="24"/>
        </w:rPr>
      </w:pPr>
    </w:p>
    <w:p w14:paraId="07283899">
      <w:pPr>
        <w:ind w:firstLine="482" w:firstLineChars="200"/>
        <w:rPr>
          <w:rFonts w:hint="eastAsia" w:ascii="宋体" w:hAnsi="宋体" w:cs="宋体"/>
          <w:b/>
          <w:color w:val="auto"/>
          <w:sz w:val="24"/>
          <w:szCs w:val="24"/>
        </w:rPr>
      </w:pPr>
      <w:r>
        <w:rPr>
          <w:rFonts w:hint="eastAsia" w:ascii="宋体" w:hAnsi="宋体" w:cs="宋体"/>
          <w:b/>
          <w:color w:val="auto"/>
          <w:sz w:val="24"/>
          <w:szCs w:val="24"/>
        </w:rPr>
        <w:t>附：投标人单位相关资质证件；</w:t>
      </w:r>
    </w:p>
    <w:p w14:paraId="2D100041">
      <w:pPr>
        <w:ind w:firstLine="562" w:firstLineChars="200"/>
        <w:rPr>
          <w:rFonts w:hint="eastAsia" w:ascii="宋体" w:hAnsi="宋体" w:cs="宋体"/>
          <w:b/>
          <w:color w:val="auto"/>
          <w:sz w:val="28"/>
          <w:szCs w:val="28"/>
        </w:rPr>
      </w:pPr>
    </w:p>
    <w:p w14:paraId="59E679B4">
      <w:pPr>
        <w:ind w:firstLine="562" w:firstLineChars="200"/>
        <w:rPr>
          <w:rFonts w:hint="eastAsia" w:ascii="宋体" w:hAnsi="宋体" w:cs="宋体"/>
          <w:b/>
          <w:color w:val="auto"/>
          <w:sz w:val="28"/>
          <w:szCs w:val="28"/>
        </w:rPr>
      </w:pPr>
    </w:p>
    <w:p w14:paraId="79D7E227">
      <w:pPr>
        <w:ind w:firstLine="562" w:firstLineChars="200"/>
        <w:rPr>
          <w:rFonts w:hint="eastAsia" w:ascii="宋体" w:hAnsi="宋体" w:cs="宋体"/>
          <w:b/>
          <w:color w:val="auto"/>
          <w:sz w:val="28"/>
          <w:szCs w:val="28"/>
        </w:rPr>
      </w:pPr>
    </w:p>
    <w:p w14:paraId="6A0BE45B">
      <w:pPr>
        <w:ind w:firstLine="562" w:firstLineChars="200"/>
        <w:rPr>
          <w:rFonts w:hint="eastAsia" w:ascii="宋体" w:hAnsi="宋体" w:cs="宋体"/>
          <w:b/>
          <w:color w:val="auto"/>
          <w:sz w:val="28"/>
          <w:szCs w:val="28"/>
        </w:rPr>
      </w:pPr>
    </w:p>
    <w:p w14:paraId="6544705E">
      <w:pPr>
        <w:pStyle w:val="12"/>
        <w:ind w:firstLine="0"/>
        <w:rPr>
          <w:rFonts w:hint="eastAsia" w:cs="宋体"/>
          <w:b/>
          <w:color w:val="auto"/>
          <w:szCs w:val="28"/>
        </w:rPr>
      </w:pPr>
    </w:p>
    <w:p w14:paraId="0D97A2EA">
      <w:pPr>
        <w:pStyle w:val="12"/>
        <w:ind w:firstLine="0"/>
        <w:jc w:val="center"/>
        <w:rPr>
          <w:rFonts w:hint="eastAsia" w:cs="宋体"/>
          <w:b/>
          <w:color w:val="auto"/>
          <w:szCs w:val="28"/>
        </w:rPr>
      </w:pPr>
      <w:r>
        <w:rPr>
          <w:rFonts w:hint="eastAsia" w:cs="宋体"/>
          <w:b/>
          <w:color w:val="auto"/>
          <w:szCs w:val="28"/>
        </w:rPr>
        <w:br w:type="page"/>
      </w:r>
      <w:r>
        <w:rPr>
          <w:rFonts w:hint="eastAsia" w:cs="宋体"/>
          <w:b/>
          <w:color w:val="auto"/>
          <w:szCs w:val="28"/>
        </w:rPr>
        <w:t>3、营业执照函</w:t>
      </w:r>
    </w:p>
    <w:p w14:paraId="0D51998B">
      <w:pPr>
        <w:pStyle w:val="12"/>
        <w:ind w:firstLine="0"/>
        <w:rPr>
          <w:rFonts w:hint="eastAsia" w:cs="宋体"/>
          <w:b/>
          <w:color w:val="auto"/>
          <w:szCs w:val="28"/>
        </w:rPr>
      </w:pPr>
    </w:p>
    <w:p w14:paraId="0E7C1542">
      <w:pPr>
        <w:pStyle w:val="12"/>
        <w:ind w:firstLine="0"/>
        <w:rPr>
          <w:rFonts w:hint="eastAsia" w:cs="宋体"/>
          <w:b/>
          <w:color w:val="auto"/>
          <w:szCs w:val="28"/>
        </w:rPr>
      </w:pPr>
    </w:p>
    <w:p w14:paraId="49483B73">
      <w:pPr>
        <w:rPr>
          <w:rFonts w:hint="eastAsia" w:ascii="宋体" w:hAnsi="宋体" w:cs="宋体"/>
          <w:color w:val="auto"/>
          <w:sz w:val="24"/>
          <w:szCs w:val="24"/>
        </w:rPr>
      </w:pPr>
      <w:r>
        <w:rPr>
          <w:rFonts w:hint="eastAsia" w:ascii="宋体" w:hAnsi="宋体" w:cs="宋体"/>
          <w:color w:val="auto"/>
          <w:sz w:val="24"/>
          <w:szCs w:val="24"/>
        </w:rPr>
        <w:t>招标人：</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14:paraId="731D86A3">
      <w:pPr>
        <w:rPr>
          <w:rFonts w:hint="eastAsia" w:ascii="宋体" w:hAnsi="宋体" w:cs="宋体"/>
          <w:color w:val="auto"/>
          <w:sz w:val="24"/>
          <w:szCs w:val="24"/>
        </w:rPr>
      </w:pPr>
    </w:p>
    <w:p w14:paraId="4EC30F94">
      <w:pPr>
        <w:rPr>
          <w:rFonts w:hint="eastAsia" w:ascii="宋体" w:hAnsi="宋体" w:cs="宋体"/>
          <w:color w:val="auto"/>
          <w:sz w:val="24"/>
          <w:szCs w:val="24"/>
        </w:rPr>
      </w:pPr>
      <w:r>
        <w:rPr>
          <w:rFonts w:hint="eastAsia" w:ascii="宋体" w:hAnsi="宋体" w:cs="宋体"/>
          <w:color w:val="auto"/>
          <w:sz w:val="24"/>
          <w:szCs w:val="24"/>
        </w:rPr>
        <w:t xml:space="preserve">    现附上由</w:t>
      </w:r>
      <w:r>
        <w:rPr>
          <w:rFonts w:hint="eastAsia" w:ascii="宋体" w:hAnsi="宋体" w:cs="宋体"/>
          <w:color w:val="auto"/>
          <w:sz w:val="24"/>
          <w:szCs w:val="24"/>
          <w:u w:val="single"/>
        </w:rPr>
        <w:t xml:space="preserve">                          </w:t>
      </w:r>
      <w:r>
        <w:rPr>
          <w:rFonts w:hint="eastAsia" w:ascii="宋体" w:hAnsi="宋体" w:cs="宋体"/>
          <w:color w:val="auto"/>
          <w:sz w:val="24"/>
          <w:szCs w:val="24"/>
        </w:rPr>
        <w:t>（签发机关名称）签发的我方法人营业执照复印件，该执照已经年检，真实有效。</w:t>
      </w:r>
    </w:p>
    <w:p w14:paraId="2C397E0E">
      <w:pPr>
        <w:ind w:firstLine="852"/>
        <w:rPr>
          <w:rFonts w:hint="eastAsia" w:ascii="宋体" w:hAnsi="宋体" w:cs="宋体"/>
          <w:color w:val="auto"/>
          <w:sz w:val="24"/>
          <w:szCs w:val="24"/>
        </w:rPr>
      </w:pPr>
    </w:p>
    <w:p w14:paraId="34A59808">
      <w:pPr>
        <w:ind w:firstLine="852"/>
        <w:rPr>
          <w:rFonts w:hint="eastAsia" w:ascii="宋体" w:hAnsi="宋体" w:cs="宋体"/>
          <w:color w:val="auto"/>
          <w:sz w:val="24"/>
          <w:szCs w:val="24"/>
        </w:rPr>
      </w:pPr>
    </w:p>
    <w:p w14:paraId="4FC6468B">
      <w:pPr>
        <w:ind w:firstLine="852"/>
        <w:rPr>
          <w:rFonts w:hint="eastAsia" w:ascii="宋体" w:hAnsi="宋体" w:cs="宋体"/>
          <w:color w:val="auto"/>
          <w:sz w:val="24"/>
          <w:szCs w:val="24"/>
        </w:rPr>
      </w:pPr>
    </w:p>
    <w:p w14:paraId="492498DB">
      <w:pPr>
        <w:rPr>
          <w:rFonts w:hint="eastAsia" w:ascii="宋体" w:hAnsi="宋体" w:cs="宋体"/>
          <w:color w:val="auto"/>
          <w:sz w:val="24"/>
          <w:szCs w:val="24"/>
          <w:u w:val="single"/>
        </w:rPr>
      </w:pPr>
      <w:r>
        <w:rPr>
          <w:rFonts w:hint="eastAsia" w:ascii="宋体" w:hAnsi="宋体" w:cs="宋体"/>
          <w:color w:val="auto"/>
          <w:sz w:val="24"/>
          <w:szCs w:val="24"/>
        </w:rPr>
        <w:t>投标单位：（盖单位公章）</w:t>
      </w:r>
    </w:p>
    <w:p w14:paraId="4D48A64F">
      <w:pPr>
        <w:rPr>
          <w:rFonts w:hint="eastAsia" w:ascii="宋体" w:hAnsi="宋体" w:cs="宋体"/>
          <w:color w:val="auto"/>
          <w:sz w:val="24"/>
          <w:szCs w:val="24"/>
        </w:rPr>
      </w:pPr>
    </w:p>
    <w:p w14:paraId="16DF459A">
      <w:pPr>
        <w:rPr>
          <w:rFonts w:hint="eastAsia" w:ascii="宋体" w:hAnsi="宋体" w:cs="宋体"/>
          <w:color w:val="auto"/>
          <w:sz w:val="24"/>
          <w:szCs w:val="24"/>
        </w:rPr>
      </w:pPr>
      <w:r>
        <w:rPr>
          <w:rFonts w:hint="eastAsia" w:ascii="宋体" w:hAnsi="宋体" w:cs="宋体"/>
          <w:color w:val="auto"/>
          <w:sz w:val="24"/>
          <w:szCs w:val="24"/>
        </w:rPr>
        <w:t>法定代表人或授权代表人（签字或盖章）：</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5DC48C54">
      <w:pPr>
        <w:rPr>
          <w:rFonts w:hint="eastAsia" w:ascii="宋体" w:hAnsi="宋体" w:cs="宋体"/>
          <w:color w:val="auto"/>
          <w:sz w:val="24"/>
          <w:szCs w:val="24"/>
        </w:rPr>
      </w:pPr>
    </w:p>
    <w:p w14:paraId="4487986E">
      <w:pPr>
        <w:rPr>
          <w:rFonts w:hint="eastAsia" w:ascii="宋体" w:hAnsi="宋体" w:cs="宋体"/>
          <w:color w:val="auto"/>
          <w:sz w:val="24"/>
          <w:szCs w:val="24"/>
        </w:rPr>
      </w:pPr>
      <w:r>
        <w:rPr>
          <w:rFonts w:hint="eastAsia" w:ascii="宋体" w:hAnsi="宋体" w:cs="宋体"/>
          <w:color w:val="auto"/>
          <w:sz w:val="24"/>
          <w:szCs w:val="24"/>
        </w:rPr>
        <w:t>日期：    年    月    日</w:t>
      </w:r>
    </w:p>
    <w:p w14:paraId="635E0EA3">
      <w:pPr>
        <w:jc w:val="center"/>
        <w:rPr>
          <w:rFonts w:hint="eastAsia" w:ascii="宋体" w:hAnsi="宋体" w:cs="宋体"/>
          <w:b/>
          <w:color w:val="auto"/>
          <w:sz w:val="28"/>
          <w:szCs w:val="28"/>
        </w:rPr>
      </w:pPr>
    </w:p>
    <w:p w14:paraId="52E19A9F">
      <w:pPr>
        <w:jc w:val="center"/>
        <w:rPr>
          <w:rFonts w:hint="eastAsia" w:ascii="宋体" w:hAnsi="宋体" w:cs="宋体"/>
          <w:b/>
          <w:color w:val="auto"/>
          <w:sz w:val="28"/>
          <w:szCs w:val="28"/>
        </w:rPr>
      </w:pPr>
    </w:p>
    <w:p w14:paraId="33F59C01">
      <w:pPr>
        <w:jc w:val="center"/>
        <w:rPr>
          <w:rFonts w:hint="eastAsia" w:ascii="宋体" w:hAnsi="宋体" w:cs="宋体"/>
          <w:b/>
          <w:color w:val="auto"/>
          <w:sz w:val="28"/>
          <w:szCs w:val="28"/>
        </w:rPr>
      </w:pPr>
    </w:p>
    <w:p w14:paraId="706EAED2">
      <w:pPr>
        <w:jc w:val="center"/>
        <w:rPr>
          <w:rFonts w:hint="eastAsia" w:ascii="宋体" w:hAnsi="宋体" w:cs="宋体"/>
          <w:b/>
          <w:color w:val="auto"/>
          <w:sz w:val="28"/>
          <w:szCs w:val="28"/>
        </w:rPr>
      </w:pPr>
    </w:p>
    <w:p w14:paraId="6135B409">
      <w:pPr>
        <w:jc w:val="center"/>
        <w:rPr>
          <w:rFonts w:hint="eastAsia" w:ascii="宋体" w:hAnsi="宋体" w:cs="宋体"/>
          <w:b/>
          <w:color w:val="auto"/>
          <w:sz w:val="28"/>
          <w:szCs w:val="28"/>
        </w:rPr>
      </w:pPr>
    </w:p>
    <w:p w14:paraId="64489FF3">
      <w:pPr>
        <w:jc w:val="center"/>
        <w:rPr>
          <w:rFonts w:hint="eastAsia" w:ascii="宋体" w:hAnsi="宋体" w:cs="宋体"/>
          <w:b/>
          <w:color w:val="auto"/>
          <w:sz w:val="28"/>
          <w:szCs w:val="28"/>
        </w:rPr>
      </w:pPr>
    </w:p>
    <w:p w14:paraId="512D0F95">
      <w:pPr>
        <w:jc w:val="center"/>
        <w:rPr>
          <w:rFonts w:hint="eastAsia" w:ascii="宋体" w:hAnsi="宋体" w:cs="宋体"/>
          <w:b/>
          <w:color w:val="auto"/>
          <w:sz w:val="28"/>
          <w:szCs w:val="28"/>
        </w:rPr>
      </w:pPr>
    </w:p>
    <w:p w14:paraId="48BBACF5">
      <w:pPr>
        <w:jc w:val="center"/>
        <w:rPr>
          <w:rFonts w:hint="eastAsia" w:ascii="宋体" w:hAnsi="宋体" w:cs="宋体"/>
          <w:b/>
          <w:color w:val="auto"/>
          <w:sz w:val="28"/>
          <w:szCs w:val="28"/>
        </w:rPr>
      </w:pPr>
    </w:p>
    <w:p w14:paraId="62E70712">
      <w:pPr>
        <w:jc w:val="center"/>
        <w:rPr>
          <w:rFonts w:hint="eastAsia" w:ascii="宋体" w:hAnsi="宋体" w:cs="宋体"/>
          <w:b/>
          <w:color w:val="auto"/>
          <w:sz w:val="28"/>
          <w:szCs w:val="28"/>
        </w:rPr>
      </w:pPr>
    </w:p>
    <w:p w14:paraId="54073619">
      <w:pPr>
        <w:jc w:val="center"/>
        <w:rPr>
          <w:rFonts w:hint="eastAsia" w:ascii="宋体" w:hAnsi="宋体" w:cs="宋体"/>
          <w:b/>
          <w:color w:val="auto"/>
          <w:sz w:val="28"/>
          <w:szCs w:val="28"/>
        </w:rPr>
      </w:pPr>
    </w:p>
    <w:p w14:paraId="33B340E3">
      <w:pPr>
        <w:jc w:val="center"/>
        <w:rPr>
          <w:rFonts w:hint="eastAsia" w:ascii="宋体" w:hAnsi="宋体" w:cs="宋体"/>
          <w:b/>
          <w:color w:val="auto"/>
          <w:sz w:val="28"/>
          <w:szCs w:val="28"/>
        </w:rPr>
      </w:pPr>
    </w:p>
    <w:p w14:paraId="7ECD1C34">
      <w:pPr>
        <w:jc w:val="center"/>
        <w:rPr>
          <w:rFonts w:hint="eastAsia" w:ascii="宋体" w:hAnsi="宋体" w:cs="宋体"/>
          <w:b/>
          <w:color w:val="auto"/>
          <w:sz w:val="28"/>
          <w:szCs w:val="28"/>
        </w:rPr>
      </w:pPr>
    </w:p>
    <w:p w14:paraId="1DBFEBA2">
      <w:pPr>
        <w:jc w:val="center"/>
        <w:rPr>
          <w:rFonts w:hint="eastAsia" w:ascii="宋体" w:hAnsi="宋体" w:cs="宋体"/>
          <w:b/>
          <w:color w:val="auto"/>
          <w:sz w:val="28"/>
          <w:szCs w:val="28"/>
        </w:rPr>
      </w:pPr>
    </w:p>
    <w:p w14:paraId="66BF5953">
      <w:pPr>
        <w:jc w:val="center"/>
        <w:rPr>
          <w:rFonts w:hint="eastAsia" w:ascii="宋体" w:hAnsi="宋体" w:cs="宋体"/>
          <w:b/>
          <w:color w:val="auto"/>
          <w:sz w:val="28"/>
          <w:szCs w:val="28"/>
        </w:rPr>
      </w:pPr>
    </w:p>
    <w:p w14:paraId="55D2BD30">
      <w:pPr>
        <w:jc w:val="center"/>
        <w:rPr>
          <w:rFonts w:hint="eastAsia" w:ascii="宋体" w:hAnsi="宋体" w:cs="宋体"/>
          <w:b/>
          <w:color w:val="auto"/>
          <w:sz w:val="28"/>
          <w:szCs w:val="28"/>
        </w:rPr>
      </w:pPr>
    </w:p>
    <w:p w14:paraId="10B0B3D5">
      <w:pPr>
        <w:rPr>
          <w:rFonts w:hint="eastAsia" w:ascii="宋体" w:hAnsi="宋体" w:cs="宋体"/>
          <w:b/>
          <w:color w:val="auto"/>
          <w:szCs w:val="28"/>
        </w:rPr>
      </w:pPr>
      <w:r>
        <w:rPr>
          <w:rFonts w:hint="eastAsia" w:ascii="宋体" w:hAnsi="宋体" w:cs="宋体"/>
          <w:b/>
          <w:color w:val="auto"/>
          <w:szCs w:val="28"/>
        </w:rPr>
        <w:br w:type="page"/>
      </w:r>
    </w:p>
    <w:p w14:paraId="65EF9A3D">
      <w:pPr>
        <w:pStyle w:val="12"/>
        <w:ind w:firstLine="0"/>
        <w:jc w:val="center"/>
        <w:rPr>
          <w:rFonts w:hint="eastAsia" w:cs="宋体"/>
          <w:b/>
          <w:color w:val="auto"/>
          <w:szCs w:val="28"/>
        </w:rPr>
      </w:pPr>
      <w:r>
        <w:rPr>
          <w:rFonts w:hint="eastAsia" w:cs="宋体"/>
          <w:b/>
          <w:color w:val="auto"/>
          <w:szCs w:val="28"/>
        </w:rPr>
        <w:t>4、法定代表人证明书</w:t>
      </w:r>
    </w:p>
    <w:p w14:paraId="33FD0847">
      <w:pPr>
        <w:pStyle w:val="12"/>
        <w:ind w:firstLine="0"/>
        <w:rPr>
          <w:rFonts w:hint="eastAsia" w:cs="宋体"/>
          <w:b/>
          <w:color w:val="auto"/>
          <w:szCs w:val="28"/>
        </w:rPr>
      </w:pPr>
    </w:p>
    <w:p w14:paraId="0D3357C6">
      <w:pPr>
        <w:pStyle w:val="12"/>
        <w:ind w:firstLine="0"/>
        <w:rPr>
          <w:rFonts w:hint="eastAsia" w:cs="宋体"/>
          <w:b/>
          <w:color w:val="auto"/>
          <w:szCs w:val="28"/>
        </w:rPr>
      </w:pPr>
    </w:p>
    <w:p w14:paraId="05BB0174">
      <w:pPr>
        <w:rPr>
          <w:rFonts w:hint="eastAsia" w:ascii="宋体" w:hAnsi="宋体" w:cs="宋体"/>
          <w:color w:val="auto"/>
          <w:sz w:val="24"/>
          <w:szCs w:val="24"/>
          <w:u w:val="single"/>
        </w:rPr>
      </w:pPr>
      <w:r>
        <w:rPr>
          <w:rFonts w:hint="eastAsia" w:ascii="宋体" w:hAnsi="宋体" w:cs="宋体"/>
          <w:color w:val="auto"/>
          <w:sz w:val="24"/>
          <w:szCs w:val="24"/>
        </w:rPr>
        <w:t>单位名称：</w:t>
      </w:r>
      <w:r>
        <w:rPr>
          <w:rFonts w:hint="eastAsia" w:ascii="宋体" w:hAnsi="宋体" w:cs="宋体"/>
          <w:color w:val="auto"/>
          <w:sz w:val="24"/>
          <w:szCs w:val="24"/>
          <w:u w:val="single"/>
        </w:rPr>
        <w:t xml:space="preserve">                                                  </w:t>
      </w:r>
    </w:p>
    <w:p w14:paraId="72336D4B">
      <w:pPr>
        <w:rPr>
          <w:rFonts w:hint="eastAsia"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39F4D241">
      <w:pPr>
        <w:rPr>
          <w:rFonts w:hint="eastAsia" w:ascii="宋体" w:hAnsi="宋体" w:cs="宋体"/>
          <w:color w:val="auto"/>
          <w:sz w:val="24"/>
          <w:szCs w:val="24"/>
        </w:rPr>
      </w:pPr>
      <w:r>
        <w:rPr>
          <w:rFonts w:hint="eastAsia" w:ascii="宋体" w:hAnsi="宋体" w:cs="宋体"/>
          <w:color w:val="auto"/>
          <w:sz w:val="24"/>
          <w:szCs w:val="24"/>
        </w:rPr>
        <w:t>姓名：</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性别：</w:t>
      </w:r>
      <w:r>
        <w:rPr>
          <w:rFonts w:hint="eastAsia" w:ascii="宋体" w:hAnsi="宋体" w:cs="宋体"/>
          <w:color w:val="auto"/>
          <w:sz w:val="24"/>
          <w:szCs w:val="24"/>
          <w:u w:val="single"/>
        </w:rPr>
        <w:t xml:space="preserve">     </w:t>
      </w:r>
      <w:r>
        <w:rPr>
          <w:rFonts w:hint="eastAsia" w:ascii="宋体" w:hAnsi="宋体" w:cs="宋体"/>
          <w:color w:val="auto"/>
          <w:sz w:val="24"/>
          <w:szCs w:val="24"/>
        </w:rPr>
        <w:t>年龄：</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职务：</w:t>
      </w:r>
      <w:r>
        <w:rPr>
          <w:rFonts w:hint="eastAsia" w:ascii="宋体" w:hAnsi="宋体" w:cs="宋体"/>
          <w:color w:val="auto"/>
          <w:sz w:val="24"/>
          <w:szCs w:val="24"/>
          <w:u w:val="single"/>
        </w:rPr>
        <w:t xml:space="preserve">             </w:t>
      </w:r>
    </w:p>
    <w:p w14:paraId="0032D2C5">
      <w:pPr>
        <w:rPr>
          <w:rFonts w:hint="eastAsia" w:ascii="宋体" w:hAnsi="宋体" w:cs="宋体"/>
          <w:color w:val="auto"/>
          <w:sz w:val="24"/>
          <w:szCs w:val="24"/>
        </w:rPr>
      </w:pPr>
      <w:r>
        <w:rPr>
          <w:rFonts w:hint="eastAsia" w:ascii="宋体" w:hAnsi="宋体" w:cs="宋体"/>
          <w:color w:val="auto"/>
          <w:sz w:val="24"/>
          <w:szCs w:val="24"/>
        </w:rPr>
        <w:t xml:space="preserve">系  </w:t>
      </w:r>
      <w:r>
        <w:rPr>
          <w:rFonts w:hint="eastAsia" w:ascii="宋体" w:hAnsi="宋体" w:cs="宋体"/>
          <w:color w:val="auto"/>
          <w:sz w:val="24"/>
          <w:szCs w:val="24"/>
          <w:u w:val="single"/>
        </w:rPr>
        <w:t xml:space="preserve">                      </w:t>
      </w:r>
      <w:r>
        <w:rPr>
          <w:rFonts w:hint="eastAsia" w:ascii="宋体" w:hAnsi="宋体" w:cs="宋体"/>
          <w:color w:val="auto"/>
          <w:sz w:val="24"/>
          <w:szCs w:val="24"/>
        </w:rPr>
        <w:t>的法定代表人。</w:t>
      </w:r>
    </w:p>
    <w:tbl>
      <w:tblPr>
        <w:tblStyle w:val="27"/>
        <w:tblpPr w:leftFromText="180" w:rightFromText="180" w:vertAnchor="text" w:horzAnchor="page" w:tblpX="1823" w:tblpY="808"/>
        <w:tblOverlap w:val="never"/>
        <w:tblW w:w="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0"/>
      </w:tblGrid>
      <w:tr w14:paraId="6164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3680" w:type="dxa"/>
          </w:tcPr>
          <w:p w14:paraId="38CC8A29">
            <w:pPr>
              <w:rPr>
                <w:rFonts w:hint="eastAsia" w:ascii="宋体" w:hAnsi="宋体" w:cs="宋体"/>
                <w:color w:val="auto"/>
                <w:sz w:val="24"/>
                <w:szCs w:val="24"/>
              </w:rPr>
            </w:pPr>
          </w:p>
          <w:p w14:paraId="19DD2263">
            <w:pPr>
              <w:rPr>
                <w:rFonts w:hint="eastAsia" w:ascii="宋体" w:hAnsi="宋体" w:cs="宋体"/>
                <w:color w:val="auto"/>
                <w:sz w:val="24"/>
                <w:szCs w:val="24"/>
              </w:rPr>
            </w:pPr>
          </w:p>
          <w:p w14:paraId="537CE982">
            <w:pPr>
              <w:jc w:val="center"/>
              <w:rPr>
                <w:rFonts w:hint="eastAsia" w:ascii="宋体" w:hAnsi="宋体" w:cs="宋体"/>
                <w:color w:val="auto"/>
                <w:sz w:val="24"/>
                <w:szCs w:val="24"/>
              </w:rPr>
            </w:pPr>
            <w:r>
              <w:rPr>
                <w:rFonts w:hint="eastAsia" w:ascii="宋体" w:hAnsi="宋体" w:cs="宋体"/>
                <w:color w:val="auto"/>
                <w:sz w:val="24"/>
                <w:szCs w:val="24"/>
              </w:rPr>
              <w:t>法定代表人身份证复印件正面</w:t>
            </w:r>
          </w:p>
          <w:p w14:paraId="7A170D3E">
            <w:pPr>
              <w:rPr>
                <w:rFonts w:hint="eastAsia" w:ascii="宋体" w:hAnsi="宋体" w:cs="宋体"/>
                <w:color w:val="auto"/>
                <w:sz w:val="24"/>
                <w:szCs w:val="24"/>
              </w:rPr>
            </w:pPr>
          </w:p>
        </w:tc>
      </w:tr>
    </w:tbl>
    <w:p w14:paraId="56965561">
      <w:pPr>
        <w:rPr>
          <w:rFonts w:hint="eastAsia" w:ascii="宋体" w:hAnsi="宋体" w:cs="宋体"/>
          <w:color w:val="auto"/>
          <w:sz w:val="24"/>
          <w:szCs w:val="24"/>
        </w:rPr>
      </w:pPr>
    </w:p>
    <w:p w14:paraId="60565994">
      <w:pPr>
        <w:rPr>
          <w:rFonts w:hint="eastAsia" w:ascii="宋体" w:hAnsi="宋体" w:cs="宋体"/>
          <w:color w:val="auto"/>
          <w:sz w:val="24"/>
          <w:szCs w:val="24"/>
        </w:rPr>
      </w:pPr>
    </w:p>
    <w:tbl>
      <w:tblPr>
        <w:tblStyle w:val="27"/>
        <w:tblpPr w:leftFromText="180" w:rightFromText="180" w:vertAnchor="text" w:horzAnchor="page" w:tblpX="5852" w:tblpY="28"/>
        <w:tblOverlap w:val="never"/>
        <w:tblW w:w="3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0"/>
      </w:tblGrid>
      <w:tr w14:paraId="6B77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3760" w:type="dxa"/>
          </w:tcPr>
          <w:p w14:paraId="6BB77FD2">
            <w:pPr>
              <w:ind w:firstLine="480" w:firstLineChars="200"/>
              <w:rPr>
                <w:rFonts w:hint="eastAsia" w:ascii="宋体" w:hAnsi="宋体" w:cs="宋体"/>
                <w:color w:val="auto"/>
                <w:sz w:val="24"/>
                <w:szCs w:val="24"/>
              </w:rPr>
            </w:pPr>
          </w:p>
          <w:p w14:paraId="79AF7B32">
            <w:pPr>
              <w:ind w:firstLine="480" w:firstLineChars="200"/>
              <w:rPr>
                <w:rFonts w:hint="eastAsia" w:ascii="宋体" w:hAnsi="宋体" w:cs="宋体"/>
                <w:color w:val="auto"/>
                <w:sz w:val="24"/>
                <w:szCs w:val="24"/>
              </w:rPr>
            </w:pPr>
          </w:p>
          <w:p w14:paraId="5C161A2F">
            <w:pPr>
              <w:jc w:val="center"/>
              <w:rPr>
                <w:rFonts w:hint="eastAsia" w:ascii="宋体" w:hAnsi="宋体" w:cs="宋体"/>
                <w:color w:val="auto"/>
                <w:sz w:val="24"/>
                <w:szCs w:val="24"/>
              </w:rPr>
            </w:pPr>
            <w:r>
              <w:rPr>
                <w:rFonts w:hint="eastAsia" w:ascii="宋体" w:hAnsi="宋体" w:cs="宋体"/>
                <w:color w:val="auto"/>
                <w:sz w:val="24"/>
                <w:szCs w:val="24"/>
              </w:rPr>
              <w:t>法定代表人身份证复印件反面</w:t>
            </w:r>
          </w:p>
          <w:p w14:paraId="56F76200">
            <w:pPr>
              <w:rPr>
                <w:rFonts w:hint="eastAsia" w:ascii="宋体" w:hAnsi="宋体" w:cs="宋体"/>
                <w:color w:val="auto"/>
                <w:sz w:val="24"/>
                <w:szCs w:val="24"/>
              </w:rPr>
            </w:pPr>
          </w:p>
        </w:tc>
      </w:tr>
    </w:tbl>
    <w:p w14:paraId="647DC46B">
      <w:pPr>
        <w:rPr>
          <w:rFonts w:hint="eastAsia" w:ascii="宋体" w:hAnsi="宋体" w:cs="宋体"/>
          <w:color w:val="auto"/>
          <w:sz w:val="24"/>
          <w:szCs w:val="24"/>
        </w:rPr>
      </w:pPr>
    </w:p>
    <w:p w14:paraId="47E51C41">
      <w:pPr>
        <w:rPr>
          <w:rFonts w:hint="eastAsia" w:ascii="宋体" w:hAnsi="宋体" w:cs="宋体"/>
          <w:color w:val="auto"/>
          <w:sz w:val="24"/>
          <w:szCs w:val="24"/>
        </w:rPr>
      </w:pPr>
    </w:p>
    <w:p w14:paraId="3B79CC38">
      <w:pPr>
        <w:rPr>
          <w:rFonts w:hint="eastAsia" w:ascii="宋体" w:hAnsi="宋体" w:cs="宋体"/>
          <w:color w:val="auto"/>
          <w:sz w:val="24"/>
          <w:szCs w:val="24"/>
        </w:rPr>
      </w:pPr>
    </w:p>
    <w:p w14:paraId="4A9C5BAE">
      <w:pPr>
        <w:rPr>
          <w:rFonts w:hint="eastAsia" w:ascii="宋体" w:hAnsi="宋体" w:cs="宋体"/>
          <w:color w:val="auto"/>
          <w:sz w:val="24"/>
          <w:szCs w:val="24"/>
        </w:rPr>
      </w:pPr>
    </w:p>
    <w:p w14:paraId="6B760C28">
      <w:pPr>
        <w:rPr>
          <w:rFonts w:hint="eastAsia" w:ascii="宋体" w:hAnsi="宋体" w:cs="宋体"/>
          <w:color w:val="auto"/>
          <w:sz w:val="24"/>
          <w:szCs w:val="24"/>
        </w:rPr>
      </w:pPr>
    </w:p>
    <w:p w14:paraId="2ABD5497">
      <w:pPr>
        <w:rPr>
          <w:rFonts w:hint="eastAsia" w:ascii="宋体" w:hAnsi="宋体" w:cs="宋体"/>
          <w:color w:val="auto"/>
          <w:sz w:val="24"/>
          <w:szCs w:val="24"/>
        </w:rPr>
      </w:pPr>
    </w:p>
    <w:p w14:paraId="3C62FAA6">
      <w:pPr>
        <w:rPr>
          <w:rFonts w:hint="eastAsia" w:ascii="宋体" w:hAnsi="宋体" w:cs="宋体"/>
          <w:color w:val="auto"/>
          <w:sz w:val="24"/>
          <w:szCs w:val="24"/>
        </w:rPr>
      </w:pPr>
    </w:p>
    <w:p w14:paraId="3C368B52">
      <w:pPr>
        <w:rPr>
          <w:rFonts w:hint="eastAsia" w:ascii="宋体" w:hAnsi="宋体" w:cs="宋体"/>
          <w:color w:val="auto"/>
          <w:sz w:val="24"/>
          <w:szCs w:val="24"/>
        </w:rPr>
      </w:pPr>
    </w:p>
    <w:p w14:paraId="138B9A8A">
      <w:pPr>
        <w:rPr>
          <w:rFonts w:hint="eastAsia" w:ascii="宋体" w:hAnsi="宋体" w:cs="宋体"/>
          <w:color w:val="auto"/>
          <w:sz w:val="24"/>
          <w:szCs w:val="24"/>
        </w:rPr>
      </w:pPr>
    </w:p>
    <w:p w14:paraId="6DB45A20">
      <w:pPr>
        <w:rPr>
          <w:rFonts w:hint="eastAsia" w:ascii="宋体" w:hAnsi="宋体" w:cs="宋体"/>
          <w:color w:val="auto"/>
          <w:sz w:val="24"/>
          <w:szCs w:val="24"/>
        </w:rPr>
      </w:pPr>
    </w:p>
    <w:p w14:paraId="3AF26E18">
      <w:pPr>
        <w:rPr>
          <w:rFonts w:hint="eastAsia" w:ascii="宋体" w:hAnsi="宋体" w:cs="宋体"/>
          <w:color w:val="auto"/>
          <w:sz w:val="24"/>
          <w:szCs w:val="24"/>
        </w:rPr>
      </w:pPr>
    </w:p>
    <w:p w14:paraId="01765AED">
      <w:pPr>
        <w:rPr>
          <w:rFonts w:hint="eastAsia" w:ascii="宋体" w:hAnsi="宋体" w:cs="宋体"/>
          <w:color w:val="auto"/>
          <w:sz w:val="24"/>
          <w:szCs w:val="24"/>
        </w:rPr>
      </w:pPr>
    </w:p>
    <w:p w14:paraId="348ADF29">
      <w:pPr>
        <w:rPr>
          <w:rFonts w:hint="eastAsia" w:ascii="宋体" w:hAnsi="宋体" w:cs="宋体"/>
          <w:color w:val="auto"/>
          <w:sz w:val="24"/>
          <w:szCs w:val="24"/>
        </w:rPr>
      </w:pPr>
    </w:p>
    <w:p w14:paraId="4E9FF00D">
      <w:pPr>
        <w:rPr>
          <w:rFonts w:hint="eastAsia" w:ascii="宋体" w:hAnsi="宋体" w:cs="宋体"/>
          <w:color w:val="auto"/>
          <w:sz w:val="24"/>
          <w:szCs w:val="24"/>
        </w:rPr>
      </w:pPr>
      <w:r>
        <w:rPr>
          <w:rFonts w:hint="eastAsia" w:ascii="宋体" w:hAnsi="宋体" w:cs="宋体"/>
          <w:color w:val="auto"/>
          <w:sz w:val="24"/>
          <w:szCs w:val="24"/>
        </w:rPr>
        <w:t>投标单位名称：</w:t>
      </w:r>
      <w:r>
        <w:rPr>
          <w:rFonts w:hint="eastAsia" w:ascii="宋体" w:hAnsi="宋体" w:cs="宋体"/>
          <w:color w:val="auto"/>
          <w:sz w:val="24"/>
          <w:szCs w:val="24"/>
          <w:u w:val="single"/>
        </w:rPr>
        <w:t xml:space="preserve">                       </w:t>
      </w:r>
    </w:p>
    <w:p w14:paraId="68C904FD">
      <w:pPr>
        <w:rPr>
          <w:rFonts w:hint="eastAsia" w:ascii="宋体" w:hAnsi="宋体" w:cs="宋体"/>
          <w:color w:val="auto"/>
          <w:sz w:val="24"/>
          <w:szCs w:val="24"/>
        </w:rPr>
      </w:pPr>
      <w:r>
        <w:rPr>
          <w:rFonts w:hint="eastAsia" w:ascii="宋体" w:hAnsi="宋体" w:cs="宋体"/>
          <w:color w:val="auto"/>
          <w:sz w:val="24"/>
          <w:szCs w:val="24"/>
        </w:rPr>
        <w:t>（盖单位章）</w:t>
      </w:r>
    </w:p>
    <w:p w14:paraId="02D15367">
      <w:pPr>
        <w:ind w:firstLine="960" w:firstLineChars="400"/>
        <w:jc w:val="right"/>
        <w:rPr>
          <w:rFonts w:hint="eastAsia" w:ascii="宋体" w:hAnsi="宋体" w:cs="宋体"/>
          <w:color w:val="auto"/>
          <w:sz w:val="24"/>
          <w:szCs w:val="24"/>
        </w:rPr>
      </w:pPr>
    </w:p>
    <w:p w14:paraId="337942B4">
      <w:pPr>
        <w:ind w:firstLine="960" w:firstLineChars="400"/>
        <w:jc w:val="right"/>
        <w:rPr>
          <w:rFonts w:hint="eastAsia" w:ascii="宋体" w:hAnsi="宋体" w:cs="宋体"/>
          <w:color w:val="auto"/>
          <w:sz w:val="24"/>
          <w:szCs w:val="24"/>
        </w:rPr>
      </w:pPr>
    </w:p>
    <w:p w14:paraId="4E00B448">
      <w:pPr>
        <w:ind w:firstLine="960" w:firstLineChars="400"/>
        <w:jc w:val="right"/>
        <w:rPr>
          <w:rFonts w:hint="eastAsia" w:ascii="宋体" w:hAnsi="宋体" w:cs="宋体"/>
          <w:color w:val="auto"/>
          <w:sz w:val="24"/>
          <w:szCs w:val="24"/>
        </w:rPr>
      </w:pPr>
    </w:p>
    <w:p w14:paraId="0C11042D">
      <w:pPr>
        <w:ind w:firstLine="960" w:firstLineChars="400"/>
        <w:jc w:val="right"/>
        <w:rPr>
          <w:rFonts w:hint="eastAsia" w:ascii="宋体" w:hAnsi="宋体" w:cs="宋体"/>
          <w:color w:val="auto"/>
          <w:sz w:val="24"/>
          <w:szCs w:val="24"/>
        </w:rPr>
      </w:pPr>
    </w:p>
    <w:p w14:paraId="03D9F9E8">
      <w:pPr>
        <w:ind w:firstLine="960" w:firstLineChars="400"/>
        <w:rPr>
          <w:rFonts w:hint="eastAsia" w:ascii="宋体" w:hAnsi="宋体" w:cs="宋体"/>
          <w:color w:val="auto"/>
          <w:sz w:val="28"/>
          <w:szCs w:val="28"/>
        </w:rPr>
      </w:pPr>
      <w:r>
        <w:rPr>
          <w:rFonts w:hint="eastAsia" w:ascii="宋体" w:hAnsi="宋体" w:cs="宋体"/>
          <w:color w:val="auto"/>
          <w:sz w:val="24"/>
          <w:szCs w:val="24"/>
        </w:rPr>
        <w:t xml:space="preserve">                                 日期：   年   月   日</w:t>
      </w:r>
    </w:p>
    <w:p w14:paraId="5C54FEAA">
      <w:pPr>
        <w:jc w:val="center"/>
        <w:rPr>
          <w:rFonts w:hint="eastAsia" w:ascii="宋体" w:hAnsi="宋体" w:cs="宋体"/>
          <w:color w:val="auto"/>
          <w:sz w:val="28"/>
          <w:szCs w:val="28"/>
        </w:rPr>
      </w:pPr>
    </w:p>
    <w:p w14:paraId="44063021">
      <w:pPr>
        <w:jc w:val="center"/>
        <w:rPr>
          <w:rFonts w:hint="eastAsia" w:ascii="宋体" w:hAnsi="宋体" w:cs="宋体"/>
          <w:color w:val="auto"/>
          <w:sz w:val="28"/>
          <w:szCs w:val="28"/>
        </w:rPr>
        <w:sectPr>
          <w:headerReference r:id="rId6" w:type="default"/>
          <w:footerReference r:id="rId7" w:type="default"/>
          <w:pgSz w:w="11906" w:h="16838"/>
          <w:pgMar w:top="1440" w:right="1080" w:bottom="1440" w:left="1080" w:header="851" w:footer="992" w:gutter="0"/>
          <w:cols w:space="720" w:num="1"/>
          <w:docGrid w:type="lines" w:linePitch="385" w:charSpace="0"/>
        </w:sectPr>
      </w:pPr>
    </w:p>
    <w:p w14:paraId="69C8870F">
      <w:pPr>
        <w:jc w:val="center"/>
        <w:rPr>
          <w:rFonts w:hint="eastAsia" w:ascii="宋体" w:hAnsi="宋体" w:cs="宋体"/>
          <w:b/>
          <w:color w:val="auto"/>
          <w:sz w:val="30"/>
          <w:szCs w:val="30"/>
        </w:rPr>
      </w:pPr>
      <w:bookmarkStart w:id="183" w:name="_Toc16844"/>
      <w:r>
        <w:rPr>
          <w:rFonts w:hint="eastAsia" w:ascii="宋体" w:hAnsi="宋体" w:cs="宋体"/>
          <w:b/>
          <w:color w:val="auto"/>
          <w:sz w:val="30"/>
          <w:szCs w:val="30"/>
        </w:rPr>
        <w:t>4-1法定代表人授权委托书</w:t>
      </w:r>
      <w:bookmarkEnd w:id="183"/>
    </w:p>
    <w:p w14:paraId="4CF24BDA">
      <w:pPr>
        <w:ind w:firstLine="420" w:firstLineChars="200"/>
        <w:rPr>
          <w:rFonts w:hint="eastAsia" w:ascii="宋体" w:hAnsi="宋体" w:cs="宋体"/>
          <w:color w:val="auto"/>
          <w:szCs w:val="21"/>
        </w:rPr>
      </w:pPr>
    </w:p>
    <w:p w14:paraId="0654B84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发包人名称        </w:t>
      </w:r>
    </w:p>
    <w:p w14:paraId="7B2E133E">
      <w:pPr>
        <w:snapToGrid w:val="0"/>
        <w:spacing w:line="360" w:lineRule="auto"/>
        <w:ind w:firstLine="480" w:firstLineChars="200"/>
        <w:rPr>
          <w:rFonts w:hint="eastAsia" w:ascii="宋体" w:hAnsi="宋体" w:cs="宋体"/>
          <w:color w:val="auto"/>
          <w:sz w:val="24"/>
          <w:szCs w:val="24"/>
        </w:rPr>
      </w:pPr>
    </w:p>
    <w:p w14:paraId="31A52C1B">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本人</w:t>
      </w:r>
      <w:r>
        <w:rPr>
          <w:rFonts w:hint="eastAsia" w:ascii="宋体" w:hAnsi="宋体" w:cs="宋体"/>
          <w:color w:val="auto"/>
          <w:sz w:val="24"/>
          <w:szCs w:val="24"/>
          <w:u w:val="single"/>
        </w:rPr>
        <w:t xml:space="preserve">      姓名     </w:t>
      </w:r>
      <w:r>
        <w:rPr>
          <w:rFonts w:hint="eastAsia" w:ascii="宋体" w:hAnsi="宋体" w:cs="宋体"/>
          <w:color w:val="auto"/>
          <w:sz w:val="24"/>
          <w:szCs w:val="24"/>
        </w:rPr>
        <w:t>系</w:t>
      </w:r>
      <w:r>
        <w:rPr>
          <w:rFonts w:hint="eastAsia" w:ascii="宋体" w:hAnsi="宋体" w:cs="宋体"/>
          <w:color w:val="auto"/>
          <w:sz w:val="24"/>
          <w:szCs w:val="24"/>
          <w:u w:val="single"/>
        </w:rPr>
        <w:t xml:space="preserve">        （投标人全称）        的</w:t>
      </w:r>
      <w:r>
        <w:rPr>
          <w:rFonts w:hint="eastAsia" w:ascii="宋体" w:hAnsi="宋体" w:cs="宋体"/>
          <w:color w:val="auto"/>
          <w:sz w:val="24"/>
          <w:szCs w:val="24"/>
        </w:rPr>
        <w:t>法定代表人，现授权我公司</w:t>
      </w:r>
      <w:r>
        <w:rPr>
          <w:rFonts w:hint="eastAsia" w:ascii="宋体" w:hAnsi="宋体" w:cs="宋体"/>
          <w:color w:val="auto"/>
          <w:sz w:val="24"/>
          <w:szCs w:val="24"/>
          <w:u w:val="single"/>
        </w:rPr>
        <w:t xml:space="preserve">   （投标人代表姓名）  </w:t>
      </w:r>
      <w:r>
        <w:rPr>
          <w:rFonts w:hint="eastAsia" w:ascii="宋体" w:hAnsi="宋体" w:cs="宋体"/>
          <w:color w:val="auto"/>
          <w:sz w:val="24"/>
          <w:szCs w:val="24"/>
        </w:rPr>
        <w:t>为投标人代表，代表本公司参加贵司组织的</w:t>
      </w:r>
      <w:r>
        <w:rPr>
          <w:rFonts w:hint="eastAsia" w:ascii="宋体" w:hAnsi="宋体" w:cs="宋体"/>
          <w:color w:val="auto"/>
          <w:sz w:val="24"/>
          <w:szCs w:val="24"/>
          <w:u w:val="single"/>
        </w:rPr>
        <w:t xml:space="preserve">     项目名称、包段、招标编号     </w:t>
      </w:r>
      <w:r>
        <w:rPr>
          <w:rFonts w:hint="eastAsia" w:ascii="宋体" w:hAnsi="宋体" w:cs="宋体"/>
          <w:color w:val="auto"/>
          <w:sz w:val="24"/>
          <w:szCs w:val="24"/>
        </w:rPr>
        <w:t>）招标活动，全权代表本公司处理招标过程的一切事宜，包括但不限于：投标、参与开标、签约等。投标人代表在招标过程中所签署的一切文件和处理与之有关的一切事务，本公司均予以认可并对此承担责任。投标人代表无转委托权，特此授权。</w:t>
      </w:r>
    </w:p>
    <w:p w14:paraId="2899E7F1">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本授权书自出具之日起生效。</w:t>
      </w:r>
    </w:p>
    <w:p w14:paraId="3363E41D">
      <w:pPr>
        <w:ind w:left="1260"/>
        <w:rPr>
          <w:rFonts w:hint="eastAsia"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3550920</wp:posOffset>
                </wp:positionH>
                <wp:positionV relativeFrom="paragraph">
                  <wp:posOffset>67945</wp:posOffset>
                </wp:positionV>
                <wp:extent cx="2290445" cy="1287145"/>
                <wp:effectExtent l="4445" t="4445" r="16510" b="16510"/>
                <wp:wrapNone/>
                <wp:docPr id="6" name="矩形 6"/>
                <wp:cNvGraphicFramePr/>
                <a:graphic xmlns:a="http://schemas.openxmlformats.org/drawingml/2006/main">
                  <a:graphicData uri="http://schemas.microsoft.com/office/word/2010/wordprocessingShape">
                    <wps:wsp>
                      <wps:cNvSpPr/>
                      <wps:spPr>
                        <a:xfrm>
                          <a:off x="0" y="0"/>
                          <a:ext cx="2290445" cy="12871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A0F741">
                            <w:pPr>
                              <w:rPr>
                                <w:rFonts w:ascii="Calibri" w:hAnsi="Calibri"/>
                                <w:szCs w:val="24"/>
                              </w:rPr>
                            </w:pPr>
                          </w:p>
                          <w:p w14:paraId="1F3A4019">
                            <w:pPr>
                              <w:rPr>
                                <w:rFonts w:ascii="Calibri" w:hAnsi="Calibri"/>
                                <w:szCs w:val="24"/>
                              </w:rPr>
                            </w:pPr>
                          </w:p>
                          <w:p w14:paraId="18B9BD80">
                            <w:pPr>
                              <w:jc w:val="center"/>
                              <w:rPr>
                                <w:rFonts w:hint="eastAsia" w:ascii="仿宋" w:hAnsi="仿宋" w:eastAsia="仿宋" w:cs="仿宋"/>
                                <w:szCs w:val="24"/>
                              </w:rPr>
                            </w:pPr>
                            <w:r>
                              <w:rPr>
                                <w:rFonts w:hint="eastAsia" w:ascii="仿宋" w:hAnsi="仿宋" w:eastAsia="仿宋" w:cs="仿宋"/>
                                <w:szCs w:val="24"/>
                              </w:rPr>
                              <w:t>法定代表人身份证复印件反面</w:t>
                            </w:r>
                          </w:p>
                        </w:txbxContent>
                      </wps:txbx>
                      <wps:bodyPr upright="1"/>
                    </wps:wsp>
                  </a:graphicData>
                </a:graphic>
              </wp:anchor>
            </w:drawing>
          </mc:Choice>
          <mc:Fallback>
            <w:pict>
              <v:rect id="_x0000_s1026" o:spid="_x0000_s1026" o:spt="1" style="position:absolute;left:0pt;margin-left:279.6pt;margin-top:5.35pt;height:101.35pt;width:180.35pt;z-index:251662336;mso-width-relative:page;mso-height-relative:page;" fillcolor="#FFFFFF" filled="t" stroked="t" coordsize="21600,21600" o:gfxdata="UEsDBAoAAAAAAIdO4kAAAAAAAAAAAAAAAAAEAAAAZHJzL1BLAwQUAAAACACHTuJAabja/tgAAAAK&#10;AQAADwAAAGRycy9kb3ducmV2LnhtbE2PMU/DMBCFdyT+g3VIbNROSoGEOB1ARWJs04XtEh9JID5H&#10;sdMGfj1mgvH0Pr33XbFd7CBONPnesYZkpUAQN8703Go4VrubBxA+IBscHJOGL/KwLS8vCsyNO/Oe&#10;TofQiljCPkcNXQhjLqVvOrLoV24kjtm7myyGeE6tNBOeY7kdZKrUnbTYc1zocKSnjprPw2w11H16&#10;xO999aJstluH16X6mN+etb6+StQjiEBL+IPhVz+qQxmdajez8WLQsNlkaURjoO5BRCBLsgxErSFN&#10;1rcgy0L+f6H8AVBLAwQUAAAACACHTuJAnIEqPwECAAAqBAAADgAAAGRycy9lMm9Eb2MueG1srVNL&#10;btswEN0X6B0I7mvJQuImguUs4rqbog2Q9AA0SUkE+AOHtuTTFOiuh+hxil6jQ8p1Pu3Ci2hBzZDD&#10;N/PeDJc3o9FkLwMoZxs6n5WUSMudULZr6NeHzbsrSiAyK5h2Vjb0IIHerN6+WQ6+lpXrnRYyEASx&#10;UA++oX2Mvi4K4L00DGbOS4uHrQuGRXRDV4jABkQ3uqjKclEMLggfHJcAuLueDukRMZwD6NpWcbl2&#10;fGekjRNqkJpFpAS98kBXudq2lTx+aVuQkeiGItOYV0yC9jatxWrJ6i4w3yt+LIGdU8ILToYpi0lP&#10;UGsWGdkF9Q+UUTw4cG2ccWeKiUhWBFnMyxfa3PfMy8wFpQZ/Eh1eD5Z/3t8FokRDF5RYZrDhv7/9&#10;+PXzO1kkbQYPNYbc+7tw9ADNRHRsg0l/pEDGrOfhpKccI+G4WVXX5cXFJSUcz+bV1fs5OohTPF73&#10;AeJH6QxJRkMDNizryPafIE6hf0NSNnBaiY3SOjuh297qQPYMm7vJ3xH9WZi2ZGjo9WWVCmE4sS1O&#10;CprGI2uwXc737AY8BS7z9z/gVNiaQT8VkBFSGKuNijJkq5dMfLCCxINHZS0+KJqKMVJQoiW+v2Tl&#10;yMiUPicStdMWJUydmXqRrDhuR4RJ5taJA7Z054PqepR0nktPJzhCWfvjuKcZfepn0Mcnv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bja/tgAAAAKAQAADwAAAAAAAAABACAAAAAiAAAAZHJzL2Rv&#10;d25yZXYueG1sUEsBAhQAFAAAAAgAh07iQJyBKj8BAgAAKgQAAA4AAAAAAAAAAQAgAAAAJwEAAGRy&#10;cy9lMm9Eb2MueG1sUEsFBgAAAAAGAAYAWQEAAJoFAAAAAA==&#10;">
                <v:fill on="t" focussize="0,0"/>
                <v:stroke color="#000000" joinstyle="miter"/>
                <v:imagedata o:title=""/>
                <o:lock v:ext="edit" aspectratio="f"/>
                <v:textbox>
                  <w:txbxContent>
                    <w:p w14:paraId="29A0F741">
                      <w:pPr>
                        <w:rPr>
                          <w:rFonts w:ascii="Calibri" w:hAnsi="Calibri"/>
                          <w:szCs w:val="24"/>
                        </w:rPr>
                      </w:pPr>
                    </w:p>
                    <w:p w14:paraId="1F3A4019">
                      <w:pPr>
                        <w:rPr>
                          <w:rFonts w:ascii="Calibri" w:hAnsi="Calibri"/>
                          <w:szCs w:val="24"/>
                        </w:rPr>
                      </w:pPr>
                    </w:p>
                    <w:p w14:paraId="18B9BD80">
                      <w:pPr>
                        <w:jc w:val="center"/>
                        <w:rPr>
                          <w:rFonts w:hint="eastAsia" w:ascii="仿宋" w:hAnsi="仿宋" w:eastAsia="仿宋" w:cs="仿宋"/>
                          <w:szCs w:val="24"/>
                        </w:rPr>
                      </w:pPr>
                      <w:r>
                        <w:rPr>
                          <w:rFonts w:hint="eastAsia" w:ascii="仿宋" w:hAnsi="仿宋" w:eastAsia="仿宋" w:cs="仿宋"/>
                          <w:szCs w:val="24"/>
                        </w:rPr>
                        <w:t>法定代表人身份证复印件反面</w:t>
                      </w:r>
                    </w:p>
                  </w:txbxContent>
                </v:textbox>
              </v:rect>
            </w:pict>
          </mc:Fallback>
        </mc:AlternateContent>
      </w:r>
      <w:r>
        <w:rPr>
          <w:rFonts w:hint="eastAsia" w:ascii="宋体" w:hAnsi="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65405</wp:posOffset>
                </wp:positionV>
                <wp:extent cx="2458720" cy="1311910"/>
                <wp:effectExtent l="4445" t="4445" r="13335" b="17145"/>
                <wp:wrapNone/>
                <wp:docPr id="4" name="矩形 4"/>
                <wp:cNvGraphicFramePr/>
                <a:graphic xmlns:a="http://schemas.openxmlformats.org/drawingml/2006/main">
                  <a:graphicData uri="http://schemas.microsoft.com/office/word/2010/wordprocessingShape">
                    <wps:wsp>
                      <wps:cNvSpPr/>
                      <wps:spPr>
                        <a:xfrm>
                          <a:off x="0" y="0"/>
                          <a:ext cx="2458720"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4EB630">
                            <w:pPr>
                              <w:rPr>
                                <w:rFonts w:ascii="Calibri" w:hAnsi="Calibri"/>
                                <w:szCs w:val="24"/>
                              </w:rPr>
                            </w:pPr>
                          </w:p>
                          <w:p w14:paraId="26B02E00">
                            <w:pPr>
                              <w:jc w:val="center"/>
                              <w:rPr>
                                <w:rFonts w:ascii="Calibri" w:hAnsi="Calibri"/>
                                <w:szCs w:val="24"/>
                              </w:rPr>
                            </w:pPr>
                          </w:p>
                          <w:p w14:paraId="4FE17251">
                            <w:pPr>
                              <w:jc w:val="center"/>
                              <w:rPr>
                                <w:rFonts w:hint="eastAsia" w:ascii="仿宋" w:hAnsi="仿宋" w:eastAsia="仿宋" w:cs="仿宋"/>
                                <w:szCs w:val="24"/>
                              </w:rPr>
                            </w:pPr>
                            <w:r>
                              <w:rPr>
                                <w:rFonts w:hint="eastAsia" w:ascii="仿宋" w:hAnsi="仿宋" w:eastAsia="仿宋" w:cs="仿宋"/>
                                <w:szCs w:val="24"/>
                              </w:rPr>
                              <w:t>法定代表人身份证复印件正面</w:t>
                            </w:r>
                          </w:p>
                        </w:txbxContent>
                      </wps:txbx>
                      <wps:bodyPr upright="1"/>
                    </wps:wsp>
                  </a:graphicData>
                </a:graphic>
              </wp:anchor>
            </w:drawing>
          </mc:Choice>
          <mc:Fallback>
            <w:pict>
              <v:rect id="_x0000_s1026" o:spid="_x0000_s1026" o:spt="1" style="position:absolute;left:0pt;margin-left:26.25pt;margin-top:5.15pt;height:103.3pt;width:193.6pt;z-index:251661312;mso-width-relative:page;mso-height-relative:page;" fillcolor="#FFFFFF" filled="t" stroked="t" coordsize="21600,21600" o:gfxdata="UEsDBAoAAAAAAIdO4kAAAAAAAAAAAAAAAAAEAAAAZHJzL1BLAwQUAAAACACHTuJA8nqxQtgAAAAJ&#10;AQAADwAAAGRycy9kb3ducmV2LnhtbE2PQU+DQBCF7yb+h82YeLO7gK2CLD1oauKxpRdvA4yAsruE&#10;XVr01zue6vHNe3nvm3y7mEGcaPK9sxqilQJBtnZNb1sNx3J39wjCB7QNDs6Shm/ysC2ur3LMGne2&#10;ezodQiu4xPoMNXQhjJmUvu7IoF+5kSx7H24yGFhOrWwmPHO5GWSs1EYa7C0vdDjSc0f112E2Gqo+&#10;PuLPvnxVJt0l4W0pP+f3F61vbyL1BCLQEi5h+MNndCiYqXKzbbwYNKzjNSf5rhIQ7N8n6QOISkMc&#10;bVKQRS7/f1D8AlBLAwQUAAAACACHTuJA4XA3uAUCAAAqBAAADgAAAGRycy9lMm9Eb2MueG1srVPN&#10;jtMwEL4j8Q6W7zRNaWE3aroHSrkgWGmXB5g6TmLJf/K4Tfo0SNx4CB4H8RqM3dL9gUMP5JCM4/E3&#10;3/fNeHkzGs32MqBytublZMqZtMI1ynY1/3K/eXXFGUawDWhnZc0PEvnN6uWL5eArOXO9040MjEAs&#10;VoOveR+jr4oCRS8N4MR5aWmzdcFApGXoiibAQOhGF7Pp9E0xuND44IREpL/r4yY/IYZLAF3bKiHX&#10;TuyMtPGIGqSGSJKwVx75KrNtWyni57ZFGZmuOSmN+U1FKN6md7FaQtUF8L0SJwpwCYVnmgwoS0XP&#10;UGuIwHZB/QVllAgOXRsnwpniKCQ7QirK6TNv7nrwMmshq9GfTcf/Bys+7W8DU03N55xZMNTwX1+/&#10;//zxjc2TN4PHilLu/G04rZDCJHRsg0lfksDG7Ofh7KccIxP0czZfXL2dkdWC9srXZXldZseLh+M+&#10;YPwgnWEpqHmghmUfYf8RI5Wk1D8pqRo6rZqN0jovQrd9pwPbAzV3k5/EmY48SdOWDTW/XswWRARo&#10;YluaFAqNJ9Vou1zvyQl8DDzNz7+AE7E1YH8kkBFSGlRGRZn8gqqX0Ly3DYsHT85aulA8kTGy4UxL&#10;un8pypkRlL4kk9RpSyJTZ469SFEctyPBpHDrmgO1dOeD6nqytMzU0w6NUHbnNO5pRh+vM+jDFV/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6sULYAAAACQEAAA8AAAAAAAAAAQAgAAAAIgAAAGRy&#10;cy9kb3ducmV2LnhtbFBLAQIUABQAAAAIAIdO4kDhcDe4BQIAACoEAAAOAAAAAAAAAAEAIAAAACcB&#10;AABkcnMvZTJvRG9jLnhtbFBLBQYAAAAABgAGAFkBAACeBQAAAAA=&#10;">
                <v:fill on="t" focussize="0,0"/>
                <v:stroke color="#000000" joinstyle="miter"/>
                <v:imagedata o:title=""/>
                <o:lock v:ext="edit" aspectratio="f"/>
                <v:textbox>
                  <w:txbxContent>
                    <w:p w14:paraId="404EB630">
                      <w:pPr>
                        <w:rPr>
                          <w:rFonts w:ascii="Calibri" w:hAnsi="Calibri"/>
                          <w:szCs w:val="24"/>
                        </w:rPr>
                      </w:pPr>
                    </w:p>
                    <w:p w14:paraId="26B02E00">
                      <w:pPr>
                        <w:jc w:val="center"/>
                        <w:rPr>
                          <w:rFonts w:ascii="Calibri" w:hAnsi="Calibri"/>
                          <w:szCs w:val="24"/>
                        </w:rPr>
                      </w:pPr>
                    </w:p>
                    <w:p w14:paraId="4FE17251">
                      <w:pPr>
                        <w:jc w:val="center"/>
                        <w:rPr>
                          <w:rFonts w:hint="eastAsia" w:ascii="仿宋" w:hAnsi="仿宋" w:eastAsia="仿宋" w:cs="仿宋"/>
                          <w:szCs w:val="24"/>
                        </w:rPr>
                      </w:pPr>
                      <w:r>
                        <w:rPr>
                          <w:rFonts w:hint="eastAsia" w:ascii="仿宋" w:hAnsi="仿宋" w:eastAsia="仿宋" w:cs="仿宋"/>
                          <w:szCs w:val="24"/>
                        </w:rPr>
                        <w:t>法定代表人身份证复印件正面</w:t>
                      </w:r>
                    </w:p>
                  </w:txbxContent>
                </v:textbox>
              </v:rect>
            </w:pict>
          </mc:Fallback>
        </mc:AlternateContent>
      </w:r>
    </w:p>
    <w:p w14:paraId="1A330507">
      <w:pPr>
        <w:ind w:left="1260"/>
        <w:rPr>
          <w:rFonts w:hint="eastAsia" w:ascii="宋体" w:hAnsi="宋体" w:cs="宋体"/>
          <w:color w:val="auto"/>
          <w:szCs w:val="21"/>
        </w:rPr>
      </w:pPr>
    </w:p>
    <w:p w14:paraId="3254A4E0">
      <w:pPr>
        <w:ind w:left="1260"/>
        <w:rPr>
          <w:rFonts w:hint="eastAsia" w:ascii="宋体" w:hAnsi="宋体" w:cs="宋体"/>
          <w:color w:val="auto"/>
          <w:szCs w:val="21"/>
        </w:rPr>
      </w:pPr>
    </w:p>
    <w:p w14:paraId="7445FC37">
      <w:pPr>
        <w:ind w:left="1260"/>
        <w:rPr>
          <w:rFonts w:hint="eastAsia" w:ascii="宋体" w:hAnsi="宋体" w:cs="宋体"/>
          <w:color w:val="auto"/>
          <w:szCs w:val="21"/>
        </w:rPr>
      </w:pPr>
    </w:p>
    <w:p w14:paraId="3BE9B7D3">
      <w:pPr>
        <w:ind w:left="1260"/>
        <w:rPr>
          <w:rFonts w:hint="eastAsia" w:ascii="宋体" w:hAnsi="宋体" w:cs="宋体"/>
          <w:color w:val="auto"/>
          <w:szCs w:val="21"/>
        </w:rPr>
      </w:pPr>
    </w:p>
    <w:p w14:paraId="103DFE96">
      <w:pPr>
        <w:ind w:left="1260"/>
        <w:rPr>
          <w:rFonts w:hint="eastAsia" w:ascii="宋体" w:hAnsi="宋体" w:cs="宋体"/>
          <w:color w:val="auto"/>
          <w:szCs w:val="21"/>
        </w:rPr>
      </w:pPr>
    </w:p>
    <w:p w14:paraId="355C674E">
      <w:pPr>
        <w:rPr>
          <w:rFonts w:hint="eastAsia" w:ascii="宋体" w:hAnsi="宋体" w:cs="宋体"/>
          <w:color w:val="auto"/>
          <w:szCs w:val="21"/>
        </w:rPr>
      </w:pPr>
    </w:p>
    <w:p w14:paraId="34F3F89F">
      <w:pPr>
        <w:ind w:left="1260"/>
        <w:rPr>
          <w:rFonts w:hint="eastAsia"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4384" behindDoc="0" locked="0" layoutInCell="1" allowOverlap="1">
                <wp:simplePos x="0" y="0"/>
                <wp:positionH relativeFrom="column">
                  <wp:posOffset>3528695</wp:posOffset>
                </wp:positionH>
                <wp:positionV relativeFrom="paragraph">
                  <wp:posOffset>110490</wp:posOffset>
                </wp:positionV>
                <wp:extent cx="2330450" cy="1330325"/>
                <wp:effectExtent l="4445" t="4445" r="14605" b="11430"/>
                <wp:wrapNone/>
                <wp:docPr id="7" name="矩形 7"/>
                <wp:cNvGraphicFramePr/>
                <a:graphic xmlns:a="http://schemas.openxmlformats.org/drawingml/2006/main">
                  <a:graphicData uri="http://schemas.microsoft.com/office/word/2010/wordprocessingShape">
                    <wps:wsp>
                      <wps:cNvSpPr/>
                      <wps:spPr>
                        <a:xfrm>
                          <a:off x="0" y="0"/>
                          <a:ext cx="2330450" cy="1330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2A3EC2">
                            <w:pPr>
                              <w:jc w:val="center"/>
                              <w:rPr>
                                <w:rFonts w:ascii="Calibri" w:hAnsi="Calibri"/>
                                <w:szCs w:val="24"/>
                              </w:rPr>
                            </w:pPr>
                          </w:p>
                          <w:p w14:paraId="2CB692E9">
                            <w:pPr>
                              <w:jc w:val="center"/>
                              <w:rPr>
                                <w:rFonts w:ascii="Calibri" w:hAnsi="Calibri"/>
                                <w:szCs w:val="24"/>
                              </w:rPr>
                            </w:pPr>
                          </w:p>
                          <w:p w14:paraId="732EC6D7">
                            <w:pPr>
                              <w:jc w:val="center"/>
                              <w:rPr>
                                <w:rFonts w:hint="eastAsia" w:ascii="仿宋" w:hAnsi="仿宋" w:eastAsia="仿宋" w:cs="仿宋"/>
                                <w:szCs w:val="24"/>
                              </w:rPr>
                            </w:pPr>
                            <w:r>
                              <w:rPr>
                                <w:rFonts w:hint="eastAsia" w:ascii="仿宋" w:hAnsi="仿宋" w:eastAsia="仿宋" w:cs="仿宋"/>
                                <w:szCs w:val="24"/>
                              </w:rPr>
                              <w:t>授权代表身份证复印件反面</w:t>
                            </w:r>
                          </w:p>
                        </w:txbxContent>
                      </wps:txbx>
                      <wps:bodyPr upright="1"/>
                    </wps:wsp>
                  </a:graphicData>
                </a:graphic>
              </wp:anchor>
            </w:drawing>
          </mc:Choice>
          <mc:Fallback>
            <w:pict>
              <v:rect id="_x0000_s1026" o:spid="_x0000_s1026" o:spt="1" style="position:absolute;left:0pt;margin-left:277.85pt;margin-top:8.7pt;height:104.75pt;width:183.5pt;z-index:251664384;mso-width-relative:page;mso-height-relative:page;" fillcolor="#FFFFFF" filled="t" stroked="t" coordsize="21600,21600" o:gfxdata="UEsDBAoAAAAAAIdO4kAAAAAAAAAAAAAAAAAEAAAAZHJzL1BLAwQUAAAACACHTuJAPu6evtgAAAAK&#10;AQAADwAAAGRycy9kb3ducmV2LnhtbE2PsU7DMBCGdyTewTokNmrXkJakcTqAisTYpgvbJTZJSmxH&#10;sdMGnp5jKuPd/+m/7/LtbHt2NmPovFOwXAhgxtVed65RcCx3D8/AQkSnsffOKPg2AbbF7U2OmfYX&#10;tzfnQ2wYlbiQoYI2xiHjPNStsRgWfjCOsk8/Wow0jg3XI16o3PZcCrHiFjtHF1oczEtr6q/DZBVU&#10;nTziz758EzbdPcb3uTxNH69K3d8txQZYNHO8wvCnT+pQkFPlJ6cD6xUkSbImlIL1EzACUilpUSmQ&#10;cpUCL3L+/4XiF1BLAwQUAAAACACHTuJAucmDzf8BAAAqBAAADgAAAGRycy9lMm9Eb2MueG1srVNN&#10;rtMwEN4jcQfLe5q0pTxe1PQtKGWD4EkPDuDaTmLJf/K4TXoaJHYcguMgrsHYCX1/LLogC2fGHn8z&#10;3zfj9c1gNDnKAMrZms5nJSXScieUbWv69cvu1VtKIDIrmHZW1vQkgd5sXr5Y976SC9c5LWQgCGKh&#10;6n1Nuxh9VRTAO2kYzJyXFg8bFwyL6Ia2EIH1iG50sSjLN0XvgvDBcQmAu9vxkE6I4RJA1zSKy63j&#10;ByNtHFGD1CwiJeiUB7rJ1TaN5PFz04CMRNcUmca8YhK092ktNmtWtYH5TvGpBHZJCU84GaYsJj1D&#10;bVlk5BDUMyijeHDgmjjjzhQjkawIspiXT7S565iXmQtKDf4sOvw/WP7peBuIEjW9osQygw3//e3H&#10;r5/fyVXSpvdQYcidvw2TB2gmokMTTPojBTJkPU9nPeUQCcfNxXJZvl6h1BzP5ugsF6uEWtxf9wHi&#10;B+kMSUZNAzYs68iOHyGOoX9DUjZwWomd0jo7od2/04EcGTZ3l78J/VGYtqSv6fUKcxPOcGIbnBQ0&#10;jUfWYNuc79ENeAhc5u9fwKmwLYNuLCAjpDBWGRVlyFYnmXhvBYknj8pafFA0FWOkoERLfH/JypGR&#10;KX1JJGqnLUqYOjP2Illx2A8Ik8y9Eyds6cEH1XYo6TyXnk5whLL207inGX3oZ9D7J77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7unr7YAAAACgEAAA8AAAAAAAAAAQAgAAAAIgAAAGRycy9kb3du&#10;cmV2LnhtbFBLAQIUABQAAAAIAIdO4kC5yYPN/wEAACoEAAAOAAAAAAAAAAEAIAAAACcBAABkcnMv&#10;ZTJvRG9jLnhtbFBLBQYAAAAABgAGAFkBAACYBQAAAAA=&#10;">
                <v:fill on="t" focussize="0,0"/>
                <v:stroke color="#000000" joinstyle="miter"/>
                <v:imagedata o:title=""/>
                <o:lock v:ext="edit" aspectratio="f"/>
                <v:textbox>
                  <w:txbxContent>
                    <w:p w14:paraId="612A3EC2">
                      <w:pPr>
                        <w:jc w:val="center"/>
                        <w:rPr>
                          <w:rFonts w:ascii="Calibri" w:hAnsi="Calibri"/>
                          <w:szCs w:val="24"/>
                        </w:rPr>
                      </w:pPr>
                    </w:p>
                    <w:p w14:paraId="2CB692E9">
                      <w:pPr>
                        <w:jc w:val="center"/>
                        <w:rPr>
                          <w:rFonts w:ascii="Calibri" w:hAnsi="Calibri"/>
                          <w:szCs w:val="24"/>
                        </w:rPr>
                      </w:pPr>
                    </w:p>
                    <w:p w14:paraId="732EC6D7">
                      <w:pPr>
                        <w:jc w:val="center"/>
                        <w:rPr>
                          <w:rFonts w:hint="eastAsia" w:ascii="仿宋" w:hAnsi="仿宋" w:eastAsia="仿宋" w:cs="仿宋"/>
                          <w:szCs w:val="24"/>
                        </w:rPr>
                      </w:pPr>
                      <w:r>
                        <w:rPr>
                          <w:rFonts w:hint="eastAsia" w:ascii="仿宋" w:hAnsi="仿宋" w:eastAsia="仿宋" w:cs="仿宋"/>
                          <w:szCs w:val="24"/>
                        </w:rPr>
                        <w:t>授权代表身份证复印件反面</w:t>
                      </w:r>
                    </w:p>
                  </w:txbxContent>
                </v:textbox>
              </v:rect>
            </w:pict>
          </mc:Fallback>
        </mc:AlternateContent>
      </w:r>
      <w:r>
        <w:rPr>
          <w:rFonts w:hint="eastAsia" w:ascii="宋体" w:hAnsi="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304165</wp:posOffset>
                </wp:positionH>
                <wp:positionV relativeFrom="paragraph">
                  <wp:posOffset>147320</wp:posOffset>
                </wp:positionV>
                <wp:extent cx="2478405" cy="1311910"/>
                <wp:effectExtent l="4445" t="4445" r="6350" b="17145"/>
                <wp:wrapNone/>
                <wp:docPr id="5" name="矩形 5"/>
                <wp:cNvGraphicFramePr/>
                <a:graphic xmlns:a="http://schemas.openxmlformats.org/drawingml/2006/main">
                  <a:graphicData uri="http://schemas.microsoft.com/office/word/2010/wordprocessingShape">
                    <wps:wsp>
                      <wps:cNvSpPr/>
                      <wps:spPr>
                        <a:xfrm>
                          <a:off x="0" y="0"/>
                          <a:ext cx="2478405" cy="1311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7C0762">
                            <w:pPr>
                              <w:jc w:val="center"/>
                              <w:rPr>
                                <w:rFonts w:ascii="Calibri" w:hAnsi="Calibri"/>
                                <w:szCs w:val="24"/>
                              </w:rPr>
                            </w:pPr>
                          </w:p>
                          <w:p w14:paraId="57342F57">
                            <w:pPr>
                              <w:jc w:val="center"/>
                              <w:rPr>
                                <w:rFonts w:ascii="Calibri" w:hAnsi="Calibri"/>
                                <w:szCs w:val="24"/>
                              </w:rPr>
                            </w:pPr>
                          </w:p>
                          <w:p w14:paraId="0808F64C">
                            <w:pPr>
                              <w:jc w:val="center"/>
                              <w:rPr>
                                <w:rFonts w:hint="eastAsia" w:ascii="仿宋" w:hAnsi="仿宋" w:eastAsia="仿宋" w:cs="仿宋"/>
                                <w:szCs w:val="24"/>
                              </w:rPr>
                            </w:pPr>
                            <w:r>
                              <w:rPr>
                                <w:rFonts w:hint="eastAsia" w:ascii="仿宋" w:hAnsi="仿宋" w:eastAsia="仿宋" w:cs="仿宋"/>
                                <w:szCs w:val="24"/>
                              </w:rPr>
                              <w:t>授权代表身份证复印件正面</w:t>
                            </w:r>
                          </w:p>
                          <w:p w14:paraId="5ADD8558">
                            <w:pPr>
                              <w:rPr>
                                <w:rFonts w:ascii="Calibri" w:hAnsi="Calibri"/>
                                <w:szCs w:val="24"/>
                              </w:rPr>
                            </w:pPr>
                          </w:p>
                          <w:p w14:paraId="7F516299">
                            <w:pPr>
                              <w:rPr>
                                <w:rFonts w:ascii="Calibri" w:hAnsi="Calibri"/>
                                <w:szCs w:val="24"/>
                              </w:rPr>
                            </w:pPr>
                            <w:r>
                              <w:rPr>
                                <w:rFonts w:hint="eastAsia" w:ascii="Calibri" w:hAnsi="Calibri"/>
                                <w:szCs w:val="24"/>
                              </w:rPr>
                              <w:t xml:space="preserve">         </w:t>
                            </w:r>
                          </w:p>
                        </w:txbxContent>
                      </wps:txbx>
                      <wps:bodyPr upright="1"/>
                    </wps:wsp>
                  </a:graphicData>
                </a:graphic>
              </wp:anchor>
            </w:drawing>
          </mc:Choice>
          <mc:Fallback>
            <w:pict>
              <v:rect id="_x0000_s1026" o:spid="_x0000_s1026" o:spt="1" style="position:absolute;left:0pt;margin-left:23.95pt;margin-top:11.6pt;height:103.3pt;width:195.15pt;z-index:251663360;mso-width-relative:page;mso-height-relative:page;" fillcolor="#FFFFFF" filled="t" stroked="t" coordsize="21600,21600" o:gfxdata="UEsDBAoAAAAAAIdO4kAAAAAAAAAAAAAAAAAEAAAAZHJzL1BLAwQUAAAACACHTuJACdH+JdgAAAAJ&#10;AQAADwAAAGRycy9kb3ducmV2LnhtbE2PMU/DMBCFdyT+g3VIbNSuU0GSxukAKhJjmy5sl9gkKbEd&#10;xU4b+PUcE2x3957efa/YLXZgFzOF3jsF65UAZlzjde9aBadq/5ACCxGdxsE7o+DLBNiVtzcF5tpf&#10;3cFcjrFlFOJCjgq6GMec89B0xmJY+dE40j78ZDHSOrVcT3ilcDtwKcQjt9g7+tDhaJ4703weZ6ug&#10;7uUJvw/Vq7DZPolvS3We31+Uur9biy2waJb4Z4ZffEKHkphqPzsd2KBg85SRU4FMJDDSN0lKQ00H&#10;maXAy4L/b1D+AFBLAwQUAAAACACHTuJAKxkquwQCAAAqBAAADgAAAGRycy9lMm9Eb2MueG1srVPN&#10;jtMwEL4j8Q6W72ySsoXdqOkeKOWCYKVdHmDqOIkl/8njNunTIHHjIXgcxGswdkv3Bw49kEMyjsff&#10;fN8348XNZDTbyYDK2YZXFyVn0grXKts3/Mv9+tUVZxjBtqCdlQ3fS+Q3y5cvFqOv5cwNTrcyMAKx&#10;WI++4UOMvi4KFIM0gBfOS0ubnQsGIi1DX7QBRkI3upiV5ZtidKH1wQmJSH9Xh01+RAznALquU0Ku&#10;nNgaaeMBNUgNkSThoDzyZWbbdVLEz12HMjLdcFIa85uKULxJ72K5gLoP4AcljhTgHArPNBlQloqe&#10;oFYQgW2D+gvKKBEcui5eCGeKg5DsCKmoymfe3A3gZdZCVqM/mY7/D1Z82t0GptqGzzmzYKjhv75+&#10;//njG5snb0aPNaXc+dtwXCGFSejUBZO+JIFN2c/9yU85RSbo5+zy7dVlScCC9qrXVXVdZceLh+M+&#10;YPwgnWEpaHighmUfYfcRI5Wk1D8pqRo6rdq10jovQr95pwPbATV3nZ/EmY48SdOWjQ2/ns8SEaCJ&#10;7WhSKDSeVKPtc70nJ/AxcJmffwEnYivA4UAgI6Q0qI2KMvkF9SChfW9bFveenLV0oXgiY2TLmZZ0&#10;/1KUMyMofU4mqdOWRKbOHHqRojhtJoJJ4ca1e2rp1gfVD2RplamnHRqh7M5x3NOMPl5n0Icrvv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dH+JdgAAAAJAQAADwAAAAAAAAABACAAAAAiAAAAZHJz&#10;L2Rvd25yZXYueG1sUEsBAhQAFAAAAAgAh07iQCsZKrsEAgAAKgQAAA4AAAAAAAAAAQAgAAAAJwEA&#10;AGRycy9lMm9Eb2MueG1sUEsFBgAAAAAGAAYAWQEAAJ0FAAAAAA==&#10;">
                <v:fill on="t" focussize="0,0"/>
                <v:stroke color="#000000" joinstyle="miter"/>
                <v:imagedata o:title=""/>
                <o:lock v:ext="edit" aspectratio="f"/>
                <v:textbox>
                  <w:txbxContent>
                    <w:p w14:paraId="5E7C0762">
                      <w:pPr>
                        <w:jc w:val="center"/>
                        <w:rPr>
                          <w:rFonts w:ascii="Calibri" w:hAnsi="Calibri"/>
                          <w:szCs w:val="24"/>
                        </w:rPr>
                      </w:pPr>
                    </w:p>
                    <w:p w14:paraId="57342F57">
                      <w:pPr>
                        <w:jc w:val="center"/>
                        <w:rPr>
                          <w:rFonts w:ascii="Calibri" w:hAnsi="Calibri"/>
                          <w:szCs w:val="24"/>
                        </w:rPr>
                      </w:pPr>
                    </w:p>
                    <w:p w14:paraId="0808F64C">
                      <w:pPr>
                        <w:jc w:val="center"/>
                        <w:rPr>
                          <w:rFonts w:hint="eastAsia" w:ascii="仿宋" w:hAnsi="仿宋" w:eastAsia="仿宋" w:cs="仿宋"/>
                          <w:szCs w:val="24"/>
                        </w:rPr>
                      </w:pPr>
                      <w:r>
                        <w:rPr>
                          <w:rFonts w:hint="eastAsia" w:ascii="仿宋" w:hAnsi="仿宋" w:eastAsia="仿宋" w:cs="仿宋"/>
                          <w:szCs w:val="24"/>
                        </w:rPr>
                        <w:t>授权代表身份证复印件正面</w:t>
                      </w:r>
                    </w:p>
                    <w:p w14:paraId="5ADD8558">
                      <w:pPr>
                        <w:rPr>
                          <w:rFonts w:ascii="Calibri" w:hAnsi="Calibri"/>
                          <w:szCs w:val="24"/>
                        </w:rPr>
                      </w:pPr>
                    </w:p>
                    <w:p w14:paraId="7F516299">
                      <w:pPr>
                        <w:rPr>
                          <w:rFonts w:ascii="Calibri" w:hAnsi="Calibri"/>
                          <w:szCs w:val="24"/>
                        </w:rPr>
                      </w:pPr>
                      <w:r>
                        <w:rPr>
                          <w:rFonts w:hint="eastAsia" w:ascii="Calibri" w:hAnsi="Calibri"/>
                          <w:szCs w:val="24"/>
                        </w:rPr>
                        <w:t xml:space="preserve">         </w:t>
                      </w:r>
                    </w:p>
                  </w:txbxContent>
                </v:textbox>
              </v:rect>
            </w:pict>
          </mc:Fallback>
        </mc:AlternateContent>
      </w:r>
    </w:p>
    <w:p w14:paraId="0E95CB13">
      <w:pPr>
        <w:ind w:left="1260"/>
        <w:rPr>
          <w:rFonts w:hint="eastAsia" w:ascii="宋体" w:hAnsi="宋体" w:cs="宋体"/>
          <w:color w:val="auto"/>
          <w:szCs w:val="21"/>
        </w:rPr>
      </w:pPr>
    </w:p>
    <w:p w14:paraId="239C4D2E">
      <w:pPr>
        <w:ind w:left="1260"/>
        <w:rPr>
          <w:rFonts w:hint="eastAsia" w:ascii="宋体" w:hAnsi="宋体" w:cs="宋体"/>
          <w:color w:val="auto"/>
          <w:szCs w:val="21"/>
        </w:rPr>
      </w:pPr>
    </w:p>
    <w:p w14:paraId="3E4996CF">
      <w:pPr>
        <w:ind w:left="1260"/>
        <w:rPr>
          <w:rFonts w:hint="eastAsia" w:ascii="宋体" w:hAnsi="宋体" w:cs="宋体"/>
          <w:color w:val="auto"/>
          <w:szCs w:val="21"/>
        </w:rPr>
      </w:pPr>
    </w:p>
    <w:p w14:paraId="282B4669">
      <w:pPr>
        <w:ind w:left="1260"/>
        <w:rPr>
          <w:rFonts w:hint="eastAsia" w:ascii="宋体" w:hAnsi="宋体" w:cs="宋体"/>
          <w:color w:val="auto"/>
          <w:szCs w:val="21"/>
        </w:rPr>
      </w:pPr>
    </w:p>
    <w:p w14:paraId="1F39015D">
      <w:pPr>
        <w:ind w:left="1260"/>
        <w:rPr>
          <w:rFonts w:hint="eastAsia" w:ascii="宋体" w:hAnsi="宋体" w:cs="宋体"/>
          <w:color w:val="auto"/>
          <w:szCs w:val="21"/>
        </w:rPr>
      </w:pPr>
    </w:p>
    <w:p w14:paraId="68F610BE">
      <w:pPr>
        <w:rPr>
          <w:rFonts w:hint="eastAsia" w:ascii="宋体" w:hAnsi="宋体" w:cs="宋体"/>
          <w:color w:val="auto"/>
          <w:szCs w:val="21"/>
        </w:rPr>
      </w:pPr>
    </w:p>
    <w:p w14:paraId="42ED3F8F">
      <w:pPr>
        <w:pStyle w:val="35"/>
        <w:rPr>
          <w:rFonts w:cs="宋体"/>
          <w:color w:val="auto"/>
        </w:rPr>
      </w:pPr>
    </w:p>
    <w:p w14:paraId="22AC386D">
      <w:pPr>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代理人姓名：</w:t>
      </w:r>
      <w:r>
        <w:rPr>
          <w:rFonts w:hint="eastAsia" w:ascii="宋体" w:hAnsi="宋体" w:cs="宋体"/>
          <w:color w:val="auto"/>
          <w:szCs w:val="21"/>
          <w:u w:val="single"/>
        </w:rPr>
        <w:t xml:space="preserve">       </w:t>
      </w:r>
      <w:r>
        <w:rPr>
          <w:rFonts w:hint="eastAsia" w:ascii="宋体" w:hAnsi="宋体" w:cs="宋体"/>
          <w:color w:val="auto"/>
          <w:szCs w:val="21"/>
        </w:rPr>
        <w:t>性别 ：</w:t>
      </w:r>
      <w:r>
        <w:rPr>
          <w:rFonts w:hint="eastAsia" w:ascii="宋体" w:hAnsi="宋体" w:cs="宋体"/>
          <w:color w:val="auto"/>
          <w:szCs w:val="21"/>
          <w:u w:val="single"/>
        </w:rPr>
        <w:t xml:space="preserve">       </w:t>
      </w:r>
      <w:r>
        <w:rPr>
          <w:rFonts w:hint="eastAsia" w:ascii="宋体" w:hAnsi="宋体" w:cs="宋体"/>
          <w:color w:val="auto"/>
          <w:szCs w:val="21"/>
        </w:rPr>
        <w:t>年龄：_______</w:t>
      </w:r>
    </w:p>
    <w:p w14:paraId="43FD818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p>
    <w:p w14:paraId="6F5E8F9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（盖章）                    </w:t>
      </w:r>
    </w:p>
    <w:p w14:paraId="19B6E67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（签字或盖章）               </w:t>
      </w:r>
    </w:p>
    <w:p w14:paraId="18B3A0E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授权委托日期：</w:t>
      </w:r>
      <w:r>
        <w:rPr>
          <w:rFonts w:hint="eastAsia" w:ascii="宋体" w:hAnsi="宋体" w:cs="宋体"/>
          <w:color w:val="auto"/>
          <w:szCs w:val="21"/>
          <w:u w:val="single"/>
        </w:rPr>
        <w:t xml:space="preserve">       </w:t>
      </w:r>
      <w:r>
        <w:rPr>
          <w:rFonts w:hint="eastAsia" w:ascii="宋体" w:hAnsi="宋体" w:cs="宋体"/>
          <w:color w:val="auto"/>
          <w:szCs w:val="21"/>
        </w:rPr>
        <w:t xml:space="preserve">年 </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D77F47F">
      <w:pPr>
        <w:pStyle w:val="25"/>
        <w:ind w:firstLine="480"/>
        <w:rPr>
          <w:rFonts w:hint="eastAsia" w:cs="宋体"/>
          <w:color w:val="auto"/>
        </w:rPr>
        <w:sectPr>
          <w:pgSz w:w="11906" w:h="16838"/>
          <w:pgMar w:top="1440" w:right="1080" w:bottom="1440" w:left="1080" w:header="851" w:footer="992" w:gutter="0"/>
          <w:cols w:space="720" w:num="1"/>
          <w:docGrid w:type="lines" w:linePitch="385" w:charSpace="0"/>
        </w:sectPr>
      </w:pPr>
    </w:p>
    <w:p w14:paraId="01A6C5DE">
      <w:pPr>
        <w:pStyle w:val="25"/>
        <w:ind w:firstLine="480"/>
        <w:rPr>
          <w:rFonts w:hint="eastAsia" w:cs="宋体"/>
          <w:color w:val="auto"/>
        </w:rPr>
      </w:pPr>
    </w:p>
    <w:p w14:paraId="76019662">
      <w:pPr>
        <w:ind w:firstLine="562" w:firstLineChars="200"/>
        <w:jc w:val="left"/>
        <w:rPr>
          <w:rFonts w:hint="eastAsia" w:ascii="宋体" w:hAnsi="宋体" w:cs="宋体"/>
          <w:b/>
          <w:color w:val="auto"/>
          <w:sz w:val="28"/>
          <w:szCs w:val="28"/>
        </w:rPr>
      </w:pPr>
      <w:r>
        <w:rPr>
          <w:rFonts w:hint="eastAsia" w:ascii="宋体" w:hAnsi="宋体" w:cs="宋体"/>
          <w:b/>
          <w:color w:val="auto"/>
          <w:sz w:val="28"/>
          <w:szCs w:val="28"/>
        </w:rPr>
        <w:t>5、提供本单位缴纳的近六个月（任意一月）社保缴纳证明（单位社保缴费凭证，2025年后成立的公司按实际发生提供）；</w:t>
      </w:r>
    </w:p>
    <w:p w14:paraId="35F32B69">
      <w:pPr>
        <w:pStyle w:val="25"/>
        <w:ind w:firstLine="480"/>
        <w:rPr>
          <w:rFonts w:hint="eastAsia" w:cs="宋体"/>
          <w:color w:val="auto"/>
        </w:rPr>
      </w:pPr>
    </w:p>
    <w:p w14:paraId="2636E912">
      <w:pPr>
        <w:pStyle w:val="25"/>
        <w:tabs>
          <w:tab w:val="left" w:pos="2959"/>
        </w:tabs>
        <w:ind w:firstLine="480"/>
        <w:rPr>
          <w:rFonts w:hint="eastAsia" w:cs="宋体"/>
          <w:color w:val="auto"/>
        </w:rPr>
      </w:pPr>
      <w:r>
        <w:rPr>
          <w:rFonts w:hint="eastAsia" w:cs="宋体"/>
          <w:color w:val="auto"/>
        </w:rPr>
        <w:tab/>
      </w:r>
    </w:p>
    <w:p w14:paraId="23982731">
      <w:pPr>
        <w:pStyle w:val="25"/>
        <w:ind w:firstLine="562"/>
        <w:rPr>
          <w:rFonts w:hint="eastAsia" w:cs="宋体"/>
          <w:color w:val="auto"/>
          <w:sz w:val="28"/>
          <w:szCs w:val="28"/>
        </w:rPr>
      </w:pPr>
      <w:r>
        <w:rPr>
          <w:rFonts w:hint="eastAsia" w:cs="宋体"/>
          <w:b/>
          <w:color w:val="auto"/>
          <w:sz w:val="28"/>
          <w:szCs w:val="28"/>
        </w:rPr>
        <w:t>6、提供税务机关出具近六个月（任意一个月）的完税证明（2025年后成立的公司按实际发生提供）；</w:t>
      </w:r>
    </w:p>
    <w:p w14:paraId="1F243980">
      <w:pPr>
        <w:pStyle w:val="25"/>
        <w:ind w:firstLine="560"/>
        <w:rPr>
          <w:rFonts w:hint="eastAsia" w:cs="宋体"/>
          <w:color w:val="auto"/>
          <w:sz w:val="28"/>
          <w:szCs w:val="28"/>
        </w:rPr>
      </w:pPr>
    </w:p>
    <w:p w14:paraId="4BBEADE7">
      <w:pPr>
        <w:ind w:firstLine="562" w:firstLineChars="200"/>
        <w:jc w:val="left"/>
        <w:rPr>
          <w:rFonts w:hint="eastAsia" w:ascii="宋体" w:hAnsi="宋体" w:cs="宋体"/>
          <w:b/>
          <w:color w:val="auto"/>
          <w:sz w:val="28"/>
          <w:szCs w:val="28"/>
        </w:rPr>
      </w:pPr>
      <w:r>
        <w:rPr>
          <w:rFonts w:hint="eastAsia" w:ascii="宋体" w:hAnsi="宋体" w:cs="宋体"/>
          <w:b/>
          <w:color w:val="auto"/>
          <w:sz w:val="28"/>
          <w:szCs w:val="28"/>
        </w:rPr>
        <w:t>7、</w:t>
      </w:r>
      <w:r>
        <w:rPr>
          <w:rFonts w:hint="eastAsia" w:ascii="宋体" w:hAnsi="宋体" w:cs="宋体"/>
          <w:b/>
          <w:color w:val="auto"/>
          <w:sz w:val="28"/>
          <w:szCs w:val="28"/>
          <w:lang w:eastAsia="zh-CN"/>
        </w:rPr>
        <w:t>提供2024年度由第三方财务审计机构出具的财务审计报告或提供银行出具的近期资信证明</w:t>
      </w:r>
      <w:r>
        <w:rPr>
          <w:rFonts w:hint="eastAsia" w:ascii="宋体" w:hAnsi="宋体" w:cs="宋体"/>
          <w:b/>
          <w:color w:val="auto"/>
          <w:sz w:val="28"/>
          <w:szCs w:val="28"/>
        </w:rPr>
        <w:t>；</w:t>
      </w:r>
    </w:p>
    <w:p w14:paraId="6D225EEA">
      <w:pPr>
        <w:jc w:val="center"/>
        <w:rPr>
          <w:rFonts w:hint="eastAsia" w:ascii="宋体" w:hAnsi="宋体" w:cs="宋体"/>
          <w:b/>
          <w:color w:val="auto"/>
          <w:sz w:val="28"/>
          <w:szCs w:val="28"/>
        </w:rPr>
      </w:pPr>
    </w:p>
    <w:p w14:paraId="5AA03BB4">
      <w:pPr>
        <w:jc w:val="center"/>
        <w:rPr>
          <w:rFonts w:hint="eastAsia" w:ascii="宋体" w:hAnsi="宋体" w:cs="宋体"/>
          <w:b/>
          <w:color w:val="auto"/>
          <w:sz w:val="28"/>
          <w:szCs w:val="28"/>
        </w:rPr>
      </w:pPr>
    </w:p>
    <w:p w14:paraId="501F5C9B">
      <w:pPr>
        <w:pStyle w:val="7"/>
        <w:rPr>
          <w:rFonts w:hint="eastAsia" w:ascii="宋体" w:hAnsi="宋体" w:cs="宋体"/>
          <w:color w:val="auto"/>
        </w:rPr>
      </w:pPr>
    </w:p>
    <w:p w14:paraId="5E307595">
      <w:pPr>
        <w:jc w:val="center"/>
        <w:rPr>
          <w:rFonts w:hint="eastAsia" w:ascii="宋体" w:hAnsi="宋体" w:cs="宋体"/>
          <w:b/>
          <w:bCs/>
          <w:color w:val="auto"/>
          <w:sz w:val="28"/>
          <w:szCs w:val="28"/>
        </w:rPr>
      </w:pPr>
    </w:p>
    <w:p w14:paraId="041BB5B7">
      <w:pPr>
        <w:jc w:val="center"/>
        <w:rPr>
          <w:rFonts w:hint="eastAsia" w:ascii="宋体" w:hAnsi="宋体" w:cs="宋体"/>
          <w:b/>
          <w:bCs/>
          <w:color w:val="auto"/>
          <w:sz w:val="28"/>
          <w:szCs w:val="28"/>
        </w:rPr>
      </w:pPr>
    </w:p>
    <w:p w14:paraId="3616E621">
      <w:pPr>
        <w:jc w:val="center"/>
        <w:rPr>
          <w:rFonts w:hint="eastAsia" w:ascii="宋体" w:hAnsi="宋体" w:cs="宋体"/>
          <w:b/>
          <w:bCs/>
          <w:color w:val="auto"/>
          <w:sz w:val="28"/>
          <w:szCs w:val="28"/>
        </w:rPr>
      </w:pPr>
    </w:p>
    <w:p w14:paraId="27873FC1">
      <w:pPr>
        <w:spacing w:line="460" w:lineRule="exact"/>
        <w:jc w:val="center"/>
        <w:rPr>
          <w:rFonts w:hint="eastAsia" w:ascii="宋体" w:hAnsi="宋体" w:cs="宋体"/>
          <w:b/>
          <w:bCs/>
          <w:color w:val="auto"/>
          <w:sz w:val="28"/>
          <w:szCs w:val="28"/>
          <w:highlight w:val="yellow"/>
        </w:rPr>
      </w:pPr>
      <w:r>
        <w:rPr>
          <w:rFonts w:hint="eastAsia" w:ascii="宋体" w:hAnsi="宋体" w:cs="宋体"/>
          <w:color w:val="auto"/>
          <w:sz w:val="28"/>
          <w:szCs w:val="28"/>
        </w:rPr>
        <w:br w:type="page"/>
      </w:r>
      <w:r>
        <w:rPr>
          <w:rFonts w:hint="eastAsia" w:ascii="宋体" w:hAnsi="宋体" w:cs="宋体"/>
          <w:b/>
          <w:bCs/>
          <w:color w:val="auto"/>
          <w:sz w:val="28"/>
          <w:szCs w:val="28"/>
        </w:rPr>
        <w:t>8</w:t>
      </w:r>
      <w:r>
        <w:rPr>
          <w:rFonts w:hint="eastAsia" w:ascii="宋体" w:hAnsi="宋体" w:cs="宋体"/>
          <w:b/>
          <w:bCs/>
          <w:color w:val="auto"/>
          <w:sz w:val="28"/>
          <w:szCs w:val="28"/>
          <w:highlight w:val="none"/>
        </w:rPr>
        <w:t>、近三年业绩及相关证明</w:t>
      </w:r>
    </w:p>
    <w:p w14:paraId="0AA598B2">
      <w:pPr>
        <w:pStyle w:val="7"/>
        <w:rPr>
          <w:rFonts w:hint="eastAsia" w:ascii="宋体" w:hAnsi="宋体" w:cs="宋体"/>
          <w:color w:val="auto"/>
          <w:highlight w:val="yellow"/>
        </w:rPr>
      </w:pPr>
    </w:p>
    <w:p w14:paraId="0DDFA661">
      <w:pPr>
        <w:pStyle w:val="59"/>
        <w:ind w:firstLine="240" w:firstLineChars="100"/>
        <w:rPr>
          <w:rFonts w:hint="eastAsia" w:ascii="宋体" w:hAnsi="宋体" w:cs="宋体"/>
          <w:color w:val="auto"/>
          <w:szCs w:val="24"/>
        </w:rPr>
      </w:pPr>
      <w:r>
        <w:rPr>
          <w:rFonts w:hint="eastAsia" w:ascii="宋体" w:hAnsi="宋体" w:cs="宋体"/>
          <w:color w:val="auto"/>
          <w:szCs w:val="24"/>
        </w:rPr>
        <w:t xml:space="preserve">项目名称 ：                        </w:t>
      </w:r>
    </w:p>
    <w:tbl>
      <w:tblPr>
        <w:tblStyle w:val="26"/>
        <w:tblW w:w="9476" w:type="dxa"/>
        <w:jc w:val="center"/>
        <w:tblLayout w:type="fixed"/>
        <w:tblCellMar>
          <w:top w:w="0" w:type="dxa"/>
          <w:left w:w="108" w:type="dxa"/>
          <w:bottom w:w="0" w:type="dxa"/>
          <w:right w:w="108" w:type="dxa"/>
        </w:tblCellMar>
      </w:tblPr>
      <w:tblGrid>
        <w:gridCol w:w="873"/>
        <w:gridCol w:w="1456"/>
        <w:gridCol w:w="1719"/>
        <w:gridCol w:w="1712"/>
        <w:gridCol w:w="1858"/>
        <w:gridCol w:w="1858"/>
      </w:tblGrid>
      <w:tr w14:paraId="08DD1BC1">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vAlign w:val="center"/>
          </w:tcPr>
          <w:p w14:paraId="57FE962D">
            <w:pPr>
              <w:pStyle w:val="60"/>
              <w:jc w:val="center"/>
              <w:rPr>
                <w:rFonts w:hint="eastAsia" w:ascii="宋体" w:hAnsi="宋体" w:cs="宋体"/>
                <w:color w:val="auto"/>
              </w:rPr>
            </w:pPr>
            <w:r>
              <w:rPr>
                <w:rFonts w:hint="eastAsia" w:ascii="宋体" w:hAnsi="宋体" w:cs="宋体"/>
                <w:color w:val="auto"/>
              </w:rPr>
              <w:t>序号</w:t>
            </w:r>
          </w:p>
        </w:tc>
        <w:tc>
          <w:tcPr>
            <w:tcW w:w="1456" w:type="dxa"/>
            <w:tcBorders>
              <w:top w:val="single" w:color="auto" w:sz="6" w:space="0"/>
              <w:left w:val="single" w:color="auto" w:sz="6" w:space="0"/>
              <w:bottom w:val="single" w:color="auto" w:sz="6" w:space="0"/>
              <w:right w:val="single" w:color="auto" w:sz="6" w:space="0"/>
            </w:tcBorders>
            <w:vAlign w:val="center"/>
          </w:tcPr>
          <w:p w14:paraId="5CD42C5D">
            <w:pPr>
              <w:pStyle w:val="60"/>
              <w:jc w:val="center"/>
              <w:rPr>
                <w:rFonts w:hint="eastAsia" w:ascii="宋体" w:hAnsi="宋体" w:cs="宋体"/>
                <w:color w:val="auto"/>
              </w:rPr>
            </w:pPr>
            <w:r>
              <w:rPr>
                <w:rFonts w:hint="eastAsia" w:ascii="宋体" w:hAnsi="宋体" w:cs="宋体"/>
                <w:color w:val="auto"/>
              </w:rPr>
              <w:t>项目名称</w:t>
            </w:r>
          </w:p>
        </w:tc>
        <w:tc>
          <w:tcPr>
            <w:tcW w:w="1719" w:type="dxa"/>
            <w:tcBorders>
              <w:top w:val="single" w:color="auto" w:sz="6" w:space="0"/>
              <w:left w:val="single" w:color="auto" w:sz="6" w:space="0"/>
              <w:bottom w:val="single" w:color="auto" w:sz="6" w:space="0"/>
              <w:right w:val="single" w:color="auto" w:sz="6" w:space="0"/>
            </w:tcBorders>
            <w:vAlign w:val="center"/>
          </w:tcPr>
          <w:p w14:paraId="52B6DAD4">
            <w:pPr>
              <w:pStyle w:val="60"/>
              <w:jc w:val="center"/>
              <w:rPr>
                <w:rFonts w:hint="eastAsia" w:ascii="宋体" w:hAnsi="宋体" w:cs="宋体"/>
                <w:color w:val="auto"/>
              </w:rPr>
            </w:pPr>
            <w:r>
              <w:rPr>
                <w:rFonts w:hint="eastAsia" w:ascii="宋体" w:hAnsi="宋体" w:cs="宋体"/>
                <w:color w:val="auto"/>
              </w:rPr>
              <w:t>项目内容</w:t>
            </w:r>
          </w:p>
        </w:tc>
        <w:tc>
          <w:tcPr>
            <w:tcW w:w="1712" w:type="dxa"/>
            <w:tcBorders>
              <w:top w:val="single" w:color="auto" w:sz="6" w:space="0"/>
              <w:left w:val="single" w:color="auto" w:sz="6" w:space="0"/>
              <w:bottom w:val="single" w:color="auto" w:sz="6" w:space="0"/>
              <w:right w:val="single" w:color="auto" w:sz="6" w:space="0"/>
            </w:tcBorders>
            <w:vAlign w:val="center"/>
          </w:tcPr>
          <w:p w14:paraId="4BF5D832">
            <w:pPr>
              <w:pStyle w:val="60"/>
              <w:jc w:val="center"/>
              <w:rPr>
                <w:rFonts w:hint="eastAsia" w:ascii="宋体" w:hAnsi="宋体" w:cs="宋体"/>
                <w:color w:val="auto"/>
              </w:rPr>
            </w:pPr>
            <w:r>
              <w:rPr>
                <w:rFonts w:hint="eastAsia" w:ascii="宋体" w:hAnsi="宋体" w:cs="宋体"/>
                <w:color w:val="auto"/>
              </w:rPr>
              <w:t>合同金额</w:t>
            </w:r>
          </w:p>
        </w:tc>
        <w:tc>
          <w:tcPr>
            <w:tcW w:w="1858" w:type="dxa"/>
            <w:tcBorders>
              <w:top w:val="single" w:color="auto" w:sz="6" w:space="0"/>
              <w:left w:val="single" w:color="auto" w:sz="6" w:space="0"/>
              <w:bottom w:val="single" w:color="auto" w:sz="6" w:space="0"/>
              <w:right w:val="single" w:color="auto" w:sz="6" w:space="0"/>
            </w:tcBorders>
          </w:tcPr>
          <w:p w14:paraId="3173E68F">
            <w:pPr>
              <w:pStyle w:val="60"/>
              <w:jc w:val="center"/>
              <w:rPr>
                <w:rFonts w:hint="eastAsia" w:ascii="宋体" w:hAnsi="宋体" w:cs="宋体"/>
                <w:color w:val="auto"/>
              </w:rPr>
            </w:pPr>
            <w:r>
              <w:rPr>
                <w:rFonts w:hint="eastAsia" w:ascii="宋体" w:hAnsi="宋体" w:cs="宋体"/>
                <w:color w:val="auto"/>
              </w:rPr>
              <w:t>项目单位联系人及电话</w:t>
            </w:r>
          </w:p>
        </w:tc>
        <w:tc>
          <w:tcPr>
            <w:tcW w:w="1858" w:type="dxa"/>
            <w:tcBorders>
              <w:top w:val="single" w:color="auto" w:sz="6" w:space="0"/>
              <w:left w:val="single" w:color="auto" w:sz="6" w:space="0"/>
              <w:bottom w:val="single" w:color="auto" w:sz="6" w:space="0"/>
              <w:right w:val="single" w:color="auto" w:sz="6" w:space="0"/>
            </w:tcBorders>
            <w:vAlign w:val="center"/>
          </w:tcPr>
          <w:p w14:paraId="4660C11C">
            <w:pPr>
              <w:pStyle w:val="60"/>
              <w:jc w:val="center"/>
              <w:rPr>
                <w:rFonts w:hint="eastAsia" w:ascii="宋体" w:hAnsi="宋体" w:cs="宋体"/>
                <w:color w:val="auto"/>
              </w:rPr>
            </w:pPr>
            <w:r>
              <w:rPr>
                <w:rFonts w:hint="eastAsia" w:ascii="宋体" w:hAnsi="宋体" w:cs="宋体"/>
                <w:color w:val="auto"/>
              </w:rPr>
              <w:t>备  注</w:t>
            </w:r>
          </w:p>
        </w:tc>
      </w:tr>
      <w:tr w14:paraId="5BF8A25B">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tcPr>
          <w:p w14:paraId="257E60A8">
            <w:pPr>
              <w:pStyle w:val="60"/>
              <w:rPr>
                <w:rFonts w:hint="eastAsia" w:ascii="宋体" w:hAnsi="宋体" w:cs="宋体"/>
                <w:color w:val="auto"/>
              </w:rPr>
            </w:pPr>
          </w:p>
        </w:tc>
        <w:tc>
          <w:tcPr>
            <w:tcW w:w="1456" w:type="dxa"/>
            <w:tcBorders>
              <w:top w:val="single" w:color="auto" w:sz="6" w:space="0"/>
              <w:left w:val="single" w:color="auto" w:sz="6" w:space="0"/>
              <w:bottom w:val="single" w:color="auto" w:sz="6" w:space="0"/>
              <w:right w:val="single" w:color="auto" w:sz="6" w:space="0"/>
            </w:tcBorders>
          </w:tcPr>
          <w:p w14:paraId="7C4EC094">
            <w:pPr>
              <w:pStyle w:val="60"/>
              <w:rPr>
                <w:rFonts w:hint="eastAsia" w:ascii="宋体" w:hAnsi="宋体" w:cs="宋体"/>
                <w:color w:val="auto"/>
              </w:rPr>
            </w:pPr>
          </w:p>
        </w:tc>
        <w:tc>
          <w:tcPr>
            <w:tcW w:w="1719" w:type="dxa"/>
            <w:tcBorders>
              <w:top w:val="single" w:color="auto" w:sz="6" w:space="0"/>
              <w:left w:val="single" w:color="auto" w:sz="6" w:space="0"/>
              <w:bottom w:val="single" w:color="auto" w:sz="6" w:space="0"/>
              <w:right w:val="single" w:color="auto" w:sz="6" w:space="0"/>
            </w:tcBorders>
          </w:tcPr>
          <w:p w14:paraId="743EECC4">
            <w:pPr>
              <w:pStyle w:val="60"/>
              <w:rPr>
                <w:rFonts w:hint="eastAsia" w:ascii="宋体" w:hAnsi="宋体" w:cs="宋体"/>
                <w:color w:val="auto"/>
              </w:rPr>
            </w:pPr>
          </w:p>
        </w:tc>
        <w:tc>
          <w:tcPr>
            <w:tcW w:w="1712" w:type="dxa"/>
            <w:tcBorders>
              <w:top w:val="single" w:color="auto" w:sz="6" w:space="0"/>
              <w:left w:val="single" w:color="auto" w:sz="6" w:space="0"/>
              <w:bottom w:val="single" w:color="auto" w:sz="6" w:space="0"/>
              <w:right w:val="single" w:color="auto" w:sz="6" w:space="0"/>
            </w:tcBorders>
          </w:tcPr>
          <w:p w14:paraId="2D0E16E9">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1091BE4A">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423DE7F6">
            <w:pPr>
              <w:pStyle w:val="60"/>
              <w:rPr>
                <w:rFonts w:hint="eastAsia" w:ascii="宋体" w:hAnsi="宋体" w:cs="宋体"/>
                <w:color w:val="auto"/>
              </w:rPr>
            </w:pPr>
          </w:p>
        </w:tc>
      </w:tr>
      <w:tr w14:paraId="53A407F8">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tcPr>
          <w:p w14:paraId="6C795CAA">
            <w:pPr>
              <w:pStyle w:val="60"/>
              <w:rPr>
                <w:rFonts w:hint="eastAsia" w:ascii="宋体" w:hAnsi="宋体" w:cs="宋体"/>
                <w:color w:val="auto"/>
              </w:rPr>
            </w:pPr>
          </w:p>
        </w:tc>
        <w:tc>
          <w:tcPr>
            <w:tcW w:w="1456" w:type="dxa"/>
            <w:tcBorders>
              <w:top w:val="single" w:color="auto" w:sz="6" w:space="0"/>
              <w:left w:val="single" w:color="auto" w:sz="6" w:space="0"/>
              <w:bottom w:val="single" w:color="auto" w:sz="6" w:space="0"/>
              <w:right w:val="single" w:color="auto" w:sz="6" w:space="0"/>
            </w:tcBorders>
          </w:tcPr>
          <w:p w14:paraId="06E4DD46">
            <w:pPr>
              <w:pStyle w:val="60"/>
              <w:rPr>
                <w:rFonts w:hint="eastAsia" w:ascii="宋体" w:hAnsi="宋体" w:cs="宋体"/>
                <w:color w:val="auto"/>
              </w:rPr>
            </w:pPr>
          </w:p>
        </w:tc>
        <w:tc>
          <w:tcPr>
            <w:tcW w:w="1719" w:type="dxa"/>
            <w:tcBorders>
              <w:top w:val="single" w:color="auto" w:sz="6" w:space="0"/>
              <w:left w:val="single" w:color="auto" w:sz="6" w:space="0"/>
              <w:bottom w:val="single" w:color="auto" w:sz="6" w:space="0"/>
              <w:right w:val="single" w:color="auto" w:sz="6" w:space="0"/>
            </w:tcBorders>
          </w:tcPr>
          <w:p w14:paraId="15096F1E">
            <w:pPr>
              <w:pStyle w:val="60"/>
              <w:rPr>
                <w:rFonts w:hint="eastAsia" w:ascii="宋体" w:hAnsi="宋体" w:cs="宋体"/>
                <w:color w:val="auto"/>
              </w:rPr>
            </w:pPr>
          </w:p>
        </w:tc>
        <w:tc>
          <w:tcPr>
            <w:tcW w:w="1712" w:type="dxa"/>
            <w:tcBorders>
              <w:top w:val="single" w:color="auto" w:sz="6" w:space="0"/>
              <w:left w:val="single" w:color="auto" w:sz="6" w:space="0"/>
              <w:bottom w:val="single" w:color="auto" w:sz="6" w:space="0"/>
              <w:right w:val="single" w:color="auto" w:sz="6" w:space="0"/>
            </w:tcBorders>
          </w:tcPr>
          <w:p w14:paraId="25F89D94">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4DC1FBC6">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25E4BFEF">
            <w:pPr>
              <w:pStyle w:val="60"/>
              <w:rPr>
                <w:rFonts w:hint="eastAsia" w:ascii="宋体" w:hAnsi="宋体" w:cs="宋体"/>
                <w:color w:val="auto"/>
              </w:rPr>
            </w:pPr>
          </w:p>
        </w:tc>
      </w:tr>
      <w:tr w14:paraId="1CFB2BF0">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tcPr>
          <w:p w14:paraId="56D28E42">
            <w:pPr>
              <w:pStyle w:val="60"/>
              <w:rPr>
                <w:rFonts w:hint="eastAsia" w:ascii="宋体" w:hAnsi="宋体" w:cs="宋体"/>
                <w:color w:val="auto"/>
              </w:rPr>
            </w:pPr>
          </w:p>
        </w:tc>
        <w:tc>
          <w:tcPr>
            <w:tcW w:w="1456" w:type="dxa"/>
            <w:tcBorders>
              <w:top w:val="single" w:color="auto" w:sz="6" w:space="0"/>
              <w:left w:val="single" w:color="auto" w:sz="6" w:space="0"/>
              <w:bottom w:val="single" w:color="auto" w:sz="6" w:space="0"/>
              <w:right w:val="single" w:color="auto" w:sz="6" w:space="0"/>
            </w:tcBorders>
          </w:tcPr>
          <w:p w14:paraId="66A859A8">
            <w:pPr>
              <w:pStyle w:val="60"/>
              <w:rPr>
                <w:rFonts w:hint="eastAsia" w:ascii="宋体" w:hAnsi="宋体" w:cs="宋体"/>
                <w:color w:val="auto"/>
              </w:rPr>
            </w:pPr>
          </w:p>
        </w:tc>
        <w:tc>
          <w:tcPr>
            <w:tcW w:w="1719" w:type="dxa"/>
            <w:tcBorders>
              <w:top w:val="single" w:color="auto" w:sz="6" w:space="0"/>
              <w:left w:val="single" w:color="auto" w:sz="6" w:space="0"/>
              <w:bottom w:val="single" w:color="auto" w:sz="6" w:space="0"/>
              <w:right w:val="single" w:color="auto" w:sz="6" w:space="0"/>
            </w:tcBorders>
          </w:tcPr>
          <w:p w14:paraId="63848082">
            <w:pPr>
              <w:pStyle w:val="60"/>
              <w:rPr>
                <w:rFonts w:hint="eastAsia" w:ascii="宋体" w:hAnsi="宋体" w:cs="宋体"/>
                <w:color w:val="auto"/>
              </w:rPr>
            </w:pPr>
          </w:p>
        </w:tc>
        <w:tc>
          <w:tcPr>
            <w:tcW w:w="1712" w:type="dxa"/>
            <w:tcBorders>
              <w:top w:val="single" w:color="auto" w:sz="6" w:space="0"/>
              <w:left w:val="single" w:color="auto" w:sz="6" w:space="0"/>
              <w:bottom w:val="single" w:color="auto" w:sz="6" w:space="0"/>
              <w:right w:val="single" w:color="auto" w:sz="6" w:space="0"/>
            </w:tcBorders>
          </w:tcPr>
          <w:p w14:paraId="6D42EC71">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3B759680">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291B7243">
            <w:pPr>
              <w:pStyle w:val="60"/>
              <w:rPr>
                <w:rFonts w:hint="eastAsia" w:ascii="宋体" w:hAnsi="宋体" w:cs="宋体"/>
                <w:color w:val="auto"/>
              </w:rPr>
            </w:pPr>
          </w:p>
        </w:tc>
      </w:tr>
      <w:tr w14:paraId="2F44D16A">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tcPr>
          <w:p w14:paraId="6AD1677B">
            <w:pPr>
              <w:pStyle w:val="60"/>
              <w:rPr>
                <w:rFonts w:hint="eastAsia" w:ascii="宋体" w:hAnsi="宋体" w:cs="宋体"/>
                <w:color w:val="auto"/>
              </w:rPr>
            </w:pPr>
          </w:p>
        </w:tc>
        <w:tc>
          <w:tcPr>
            <w:tcW w:w="1456" w:type="dxa"/>
            <w:tcBorders>
              <w:top w:val="single" w:color="auto" w:sz="6" w:space="0"/>
              <w:left w:val="single" w:color="auto" w:sz="6" w:space="0"/>
              <w:bottom w:val="single" w:color="auto" w:sz="6" w:space="0"/>
              <w:right w:val="single" w:color="auto" w:sz="6" w:space="0"/>
            </w:tcBorders>
          </w:tcPr>
          <w:p w14:paraId="7E7BDCF4">
            <w:pPr>
              <w:pStyle w:val="60"/>
              <w:rPr>
                <w:rFonts w:hint="eastAsia" w:ascii="宋体" w:hAnsi="宋体" w:cs="宋体"/>
                <w:color w:val="auto"/>
              </w:rPr>
            </w:pPr>
          </w:p>
        </w:tc>
        <w:tc>
          <w:tcPr>
            <w:tcW w:w="1719" w:type="dxa"/>
            <w:tcBorders>
              <w:top w:val="single" w:color="auto" w:sz="6" w:space="0"/>
              <w:left w:val="single" w:color="auto" w:sz="6" w:space="0"/>
              <w:bottom w:val="single" w:color="auto" w:sz="6" w:space="0"/>
              <w:right w:val="single" w:color="auto" w:sz="6" w:space="0"/>
            </w:tcBorders>
          </w:tcPr>
          <w:p w14:paraId="70D885D5">
            <w:pPr>
              <w:pStyle w:val="60"/>
              <w:rPr>
                <w:rFonts w:hint="eastAsia" w:ascii="宋体" w:hAnsi="宋体" w:cs="宋体"/>
                <w:color w:val="auto"/>
              </w:rPr>
            </w:pPr>
          </w:p>
        </w:tc>
        <w:tc>
          <w:tcPr>
            <w:tcW w:w="1712" w:type="dxa"/>
            <w:tcBorders>
              <w:top w:val="single" w:color="auto" w:sz="6" w:space="0"/>
              <w:left w:val="single" w:color="auto" w:sz="6" w:space="0"/>
              <w:bottom w:val="single" w:color="auto" w:sz="6" w:space="0"/>
              <w:right w:val="single" w:color="auto" w:sz="6" w:space="0"/>
            </w:tcBorders>
          </w:tcPr>
          <w:p w14:paraId="3D932CB2">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52268D4B">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2C074DEA">
            <w:pPr>
              <w:pStyle w:val="60"/>
              <w:rPr>
                <w:rFonts w:hint="eastAsia" w:ascii="宋体" w:hAnsi="宋体" w:cs="宋体"/>
                <w:color w:val="auto"/>
              </w:rPr>
            </w:pPr>
          </w:p>
        </w:tc>
      </w:tr>
      <w:tr w14:paraId="0FF7817F">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tcPr>
          <w:p w14:paraId="7E22AD51">
            <w:pPr>
              <w:pStyle w:val="60"/>
              <w:rPr>
                <w:rFonts w:hint="eastAsia" w:ascii="宋体" w:hAnsi="宋体" w:cs="宋体"/>
                <w:color w:val="auto"/>
              </w:rPr>
            </w:pPr>
          </w:p>
        </w:tc>
        <w:tc>
          <w:tcPr>
            <w:tcW w:w="1456" w:type="dxa"/>
            <w:tcBorders>
              <w:top w:val="single" w:color="auto" w:sz="6" w:space="0"/>
              <w:left w:val="single" w:color="auto" w:sz="6" w:space="0"/>
              <w:bottom w:val="single" w:color="auto" w:sz="6" w:space="0"/>
              <w:right w:val="single" w:color="auto" w:sz="6" w:space="0"/>
            </w:tcBorders>
          </w:tcPr>
          <w:p w14:paraId="135FE627">
            <w:pPr>
              <w:pStyle w:val="60"/>
              <w:rPr>
                <w:rFonts w:hint="eastAsia" w:ascii="宋体" w:hAnsi="宋体" w:cs="宋体"/>
                <w:color w:val="auto"/>
              </w:rPr>
            </w:pPr>
          </w:p>
        </w:tc>
        <w:tc>
          <w:tcPr>
            <w:tcW w:w="1719" w:type="dxa"/>
            <w:tcBorders>
              <w:top w:val="single" w:color="auto" w:sz="6" w:space="0"/>
              <w:left w:val="single" w:color="auto" w:sz="6" w:space="0"/>
              <w:bottom w:val="single" w:color="auto" w:sz="6" w:space="0"/>
              <w:right w:val="single" w:color="auto" w:sz="6" w:space="0"/>
            </w:tcBorders>
          </w:tcPr>
          <w:p w14:paraId="610D2508">
            <w:pPr>
              <w:pStyle w:val="60"/>
              <w:rPr>
                <w:rFonts w:hint="eastAsia" w:ascii="宋体" w:hAnsi="宋体" w:cs="宋体"/>
                <w:color w:val="auto"/>
              </w:rPr>
            </w:pPr>
          </w:p>
        </w:tc>
        <w:tc>
          <w:tcPr>
            <w:tcW w:w="1712" w:type="dxa"/>
            <w:tcBorders>
              <w:top w:val="single" w:color="auto" w:sz="6" w:space="0"/>
              <w:left w:val="single" w:color="auto" w:sz="6" w:space="0"/>
              <w:bottom w:val="single" w:color="auto" w:sz="6" w:space="0"/>
              <w:right w:val="single" w:color="auto" w:sz="6" w:space="0"/>
            </w:tcBorders>
          </w:tcPr>
          <w:p w14:paraId="50528CF4">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09F65FCF">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4BC642A5">
            <w:pPr>
              <w:pStyle w:val="60"/>
              <w:rPr>
                <w:rFonts w:hint="eastAsia" w:ascii="宋体" w:hAnsi="宋体" w:cs="宋体"/>
                <w:color w:val="auto"/>
              </w:rPr>
            </w:pPr>
          </w:p>
        </w:tc>
      </w:tr>
      <w:tr w14:paraId="63F4BF6C">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tcPr>
          <w:p w14:paraId="252F988A">
            <w:pPr>
              <w:pStyle w:val="60"/>
              <w:rPr>
                <w:rFonts w:hint="eastAsia" w:ascii="宋体" w:hAnsi="宋体" w:cs="宋体"/>
                <w:color w:val="auto"/>
              </w:rPr>
            </w:pPr>
          </w:p>
        </w:tc>
        <w:tc>
          <w:tcPr>
            <w:tcW w:w="1456" w:type="dxa"/>
            <w:tcBorders>
              <w:top w:val="single" w:color="auto" w:sz="6" w:space="0"/>
              <w:left w:val="single" w:color="auto" w:sz="6" w:space="0"/>
              <w:bottom w:val="single" w:color="auto" w:sz="6" w:space="0"/>
              <w:right w:val="single" w:color="auto" w:sz="6" w:space="0"/>
            </w:tcBorders>
          </w:tcPr>
          <w:p w14:paraId="2DFBB0D6">
            <w:pPr>
              <w:pStyle w:val="60"/>
              <w:rPr>
                <w:rFonts w:hint="eastAsia" w:ascii="宋体" w:hAnsi="宋体" w:cs="宋体"/>
                <w:color w:val="auto"/>
              </w:rPr>
            </w:pPr>
          </w:p>
        </w:tc>
        <w:tc>
          <w:tcPr>
            <w:tcW w:w="1719" w:type="dxa"/>
            <w:tcBorders>
              <w:top w:val="single" w:color="auto" w:sz="6" w:space="0"/>
              <w:left w:val="single" w:color="auto" w:sz="6" w:space="0"/>
              <w:bottom w:val="single" w:color="auto" w:sz="6" w:space="0"/>
              <w:right w:val="single" w:color="auto" w:sz="6" w:space="0"/>
            </w:tcBorders>
          </w:tcPr>
          <w:p w14:paraId="2BBBDF41">
            <w:pPr>
              <w:pStyle w:val="60"/>
              <w:rPr>
                <w:rFonts w:hint="eastAsia" w:ascii="宋体" w:hAnsi="宋体" w:cs="宋体"/>
                <w:color w:val="auto"/>
              </w:rPr>
            </w:pPr>
          </w:p>
        </w:tc>
        <w:tc>
          <w:tcPr>
            <w:tcW w:w="1712" w:type="dxa"/>
            <w:tcBorders>
              <w:top w:val="single" w:color="auto" w:sz="6" w:space="0"/>
              <w:left w:val="single" w:color="auto" w:sz="6" w:space="0"/>
              <w:bottom w:val="single" w:color="auto" w:sz="6" w:space="0"/>
              <w:right w:val="single" w:color="auto" w:sz="6" w:space="0"/>
            </w:tcBorders>
          </w:tcPr>
          <w:p w14:paraId="61708E76">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36163A81">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0DCF4773">
            <w:pPr>
              <w:pStyle w:val="60"/>
              <w:rPr>
                <w:rFonts w:hint="eastAsia" w:ascii="宋体" w:hAnsi="宋体" w:cs="宋体"/>
                <w:color w:val="auto"/>
              </w:rPr>
            </w:pPr>
          </w:p>
        </w:tc>
      </w:tr>
      <w:tr w14:paraId="48CCB965">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tcPr>
          <w:p w14:paraId="3F60785D">
            <w:pPr>
              <w:pStyle w:val="60"/>
              <w:rPr>
                <w:rFonts w:hint="eastAsia" w:ascii="宋体" w:hAnsi="宋体" w:cs="宋体"/>
                <w:color w:val="auto"/>
              </w:rPr>
            </w:pPr>
          </w:p>
        </w:tc>
        <w:tc>
          <w:tcPr>
            <w:tcW w:w="1456" w:type="dxa"/>
            <w:tcBorders>
              <w:top w:val="single" w:color="auto" w:sz="6" w:space="0"/>
              <w:left w:val="single" w:color="auto" w:sz="6" w:space="0"/>
              <w:bottom w:val="single" w:color="auto" w:sz="6" w:space="0"/>
              <w:right w:val="single" w:color="auto" w:sz="6" w:space="0"/>
            </w:tcBorders>
          </w:tcPr>
          <w:p w14:paraId="72F6515D">
            <w:pPr>
              <w:pStyle w:val="60"/>
              <w:rPr>
                <w:rFonts w:hint="eastAsia" w:ascii="宋体" w:hAnsi="宋体" w:cs="宋体"/>
                <w:color w:val="auto"/>
              </w:rPr>
            </w:pPr>
          </w:p>
        </w:tc>
        <w:tc>
          <w:tcPr>
            <w:tcW w:w="1719" w:type="dxa"/>
            <w:tcBorders>
              <w:top w:val="single" w:color="auto" w:sz="6" w:space="0"/>
              <w:left w:val="single" w:color="auto" w:sz="6" w:space="0"/>
              <w:bottom w:val="single" w:color="auto" w:sz="6" w:space="0"/>
              <w:right w:val="single" w:color="auto" w:sz="6" w:space="0"/>
            </w:tcBorders>
          </w:tcPr>
          <w:p w14:paraId="6E9C44DC">
            <w:pPr>
              <w:pStyle w:val="60"/>
              <w:rPr>
                <w:rFonts w:hint="eastAsia" w:ascii="宋体" w:hAnsi="宋体" w:cs="宋体"/>
                <w:color w:val="auto"/>
              </w:rPr>
            </w:pPr>
          </w:p>
        </w:tc>
        <w:tc>
          <w:tcPr>
            <w:tcW w:w="1712" w:type="dxa"/>
            <w:tcBorders>
              <w:top w:val="single" w:color="auto" w:sz="6" w:space="0"/>
              <w:left w:val="single" w:color="auto" w:sz="6" w:space="0"/>
              <w:bottom w:val="single" w:color="auto" w:sz="6" w:space="0"/>
              <w:right w:val="single" w:color="auto" w:sz="6" w:space="0"/>
            </w:tcBorders>
          </w:tcPr>
          <w:p w14:paraId="7C0A914C">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3C7507AC">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70B41D16">
            <w:pPr>
              <w:pStyle w:val="60"/>
              <w:rPr>
                <w:rFonts w:hint="eastAsia" w:ascii="宋体" w:hAnsi="宋体" w:cs="宋体"/>
                <w:color w:val="auto"/>
              </w:rPr>
            </w:pPr>
          </w:p>
        </w:tc>
      </w:tr>
      <w:tr w14:paraId="6C5E7CF9">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tcPr>
          <w:p w14:paraId="70F140D0">
            <w:pPr>
              <w:pStyle w:val="60"/>
              <w:rPr>
                <w:rFonts w:hint="eastAsia" w:ascii="宋体" w:hAnsi="宋体" w:cs="宋体"/>
                <w:color w:val="auto"/>
              </w:rPr>
            </w:pPr>
          </w:p>
        </w:tc>
        <w:tc>
          <w:tcPr>
            <w:tcW w:w="1456" w:type="dxa"/>
            <w:tcBorders>
              <w:top w:val="single" w:color="auto" w:sz="6" w:space="0"/>
              <w:left w:val="single" w:color="auto" w:sz="6" w:space="0"/>
              <w:bottom w:val="single" w:color="auto" w:sz="6" w:space="0"/>
              <w:right w:val="single" w:color="auto" w:sz="6" w:space="0"/>
            </w:tcBorders>
          </w:tcPr>
          <w:p w14:paraId="725065B1">
            <w:pPr>
              <w:pStyle w:val="60"/>
              <w:rPr>
                <w:rFonts w:hint="eastAsia" w:ascii="宋体" w:hAnsi="宋体" w:cs="宋体"/>
                <w:color w:val="auto"/>
              </w:rPr>
            </w:pPr>
          </w:p>
        </w:tc>
        <w:tc>
          <w:tcPr>
            <w:tcW w:w="1719" w:type="dxa"/>
            <w:tcBorders>
              <w:top w:val="single" w:color="auto" w:sz="6" w:space="0"/>
              <w:left w:val="single" w:color="auto" w:sz="6" w:space="0"/>
              <w:bottom w:val="single" w:color="auto" w:sz="6" w:space="0"/>
              <w:right w:val="single" w:color="auto" w:sz="6" w:space="0"/>
            </w:tcBorders>
          </w:tcPr>
          <w:p w14:paraId="115A3A81">
            <w:pPr>
              <w:pStyle w:val="60"/>
              <w:rPr>
                <w:rFonts w:hint="eastAsia" w:ascii="宋体" w:hAnsi="宋体" w:cs="宋体"/>
                <w:color w:val="auto"/>
              </w:rPr>
            </w:pPr>
          </w:p>
        </w:tc>
        <w:tc>
          <w:tcPr>
            <w:tcW w:w="1712" w:type="dxa"/>
            <w:tcBorders>
              <w:top w:val="single" w:color="auto" w:sz="6" w:space="0"/>
              <w:left w:val="single" w:color="auto" w:sz="6" w:space="0"/>
              <w:bottom w:val="single" w:color="auto" w:sz="6" w:space="0"/>
              <w:right w:val="single" w:color="auto" w:sz="6" w:space="0"/>
            </w:tcBorders>
          </w:tcPr>
          <w:p w14:paraId="4D831C70">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39E6C9A8">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65D30B1E">
            <w:pPr>
              <w:pStyle w:val="60"/>
              <w:rPr>
                <w:rFonts w:hint="eastAsia" w:ascii="宋体" w:hAnsi="宋体" w:cs="宋体"/>
                <w:color w:val="auto"/>
              </w:rPr>
            </w:pPr>
          </w:p>
        </w:tc>
      </w:tr>
      <w:tr w14:paraId="06B683F9">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tcPr>
          <w:p w14:paraId="7FED5F0E">
            <w:pPr>
              <w:pStyle w:val="60"/>
              <w:rPr>
                <w:rFonts w:hint="eastAsia" w:ascii="宋体" w:hAnsi="宋体" w:cs="宋体"/>
                <w:color w:val="auto"/>
              </w:rPr>
            </w:pPr>
          </w:p>
        </w:tc>
        <w:tc>
          <w:tcPr>
            <w:tcW w:w="1456" w:type="dxa"/>
            <w:tcBorders>
              <w:top w:val="single" w:color="auto" w:sz="6" w:space="0"/>
              <w:left w:val="single" w:color="auto" w:sz="6" w:space="0"/>
              <w:bottom w:val="single" w:color="auto" w:sz="6" w:space="0"/>
              <w:right w:val="single" w:color="auto" w:sz="6" w:space="0"/>
            </w:tcBorders>
          </w:tcPr>
          <w:p w14:paraId="50648D01">
            <w:pPr>
              <w:pStyle w:val="60"/>
              <w:rPr>
                <w:rFonts w:hint="eastAsia" w:ascii="宋体" w:hAnsi="宋体" w:cs="宋体"/>
                <w:color w:val="auto"/>
              </w:rPr>
            </w:pPr>
          </w:p>
        </w:tc>
        <w:tc>
          <w:tcPr>
            <w:tcW w:w="1719" w:type="dxa"/>
            <w:tcBorders>
              <w:top w:val="single" w:color="auto" w:sz="6" w:space="0"/>
              <w:left w:val="single" w:color="auto" w:sz="6" w:space="0"/>
              <w:bottom w:val="single" w:color="auto" w:sz="6" w:space="0"/>
              <w:right w:val="single" w:color="auto" w:sz="6" w:space="0"/>
            </w:tcBorders>
          </w:tcPr>
          <w:p w14:paraId="3C822F03">
            <w:pPr>
              <w:pStyle w:val="60"/>
              <w:rPr>
                <w:rFonts w:hint="eastAsia" w:ascii="宋体" w:hAnsi="宋体" w:cs="宋体"/>
                <w:color w:val="auto"/>
              </w:rPr>
            </w:pPr>
          </w:p>
        </w:tc>
        <w:tc>
          <w:tcPr>
            <w:tcW w:w="1712" w:type="dxa"/>
            <w:tcBorders>
              <w:top w:val="single" w:color="auto" w:sz="6" w:space="0"/>
              <w:left w:val="single" w:color="auto" w:sz="6" w:space="0"/>
              <w:bottom w:val="single" w:color="auto" w:sz="6" w:space="0"/>
              <w:right w:val="single" w:color="auto" w:sz="6" w:space="0"/>
            </w:tcBorders>
          </w:tcPr>
          <w:p w14:paraId="69526326">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18B29993">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16BA5E0B">
            <w:pPr>
              <w:pStyle w:val="60"/>
              <w:rPr>
                <w:rFonts w:hint="eastAsia" w:ascii="宋体" w:hAnsi="宋体" w:cs="宋体"/>
                <w:color w:val="auto"/>
              </w:rPr>
            </w:pPr>
          </w:p>
        </w:tc>
      </w:tr>
      <w:tr w14:paraId="6D6B80CA">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tcPr>
          <w:p w14:paraId="22F18EDF">
            <w:pPr>
              <w:pStyle w:val="60"/>
              <w:rPr>
                <w:rFonts w:hint="eastAsia" w:ascii="宋体" w:hAnsi="宋体" w:cs="宋体"/>
                <w:color w:val="auto"/>
              </w:rPr>
            </w:pPr>
          </w:p>
        </w:tc>
        <w:tc>
          <w:tcPr>
            <w:tcW w:w="1456" w:type="dxa"/>
            <w:tcBorders>
              <w:top w:val="single" w:color="auto" w:sz="6" w:space="0"/>
              <w:left w:val="single" w:color="auto" w:sz="6" w:space="0"/>
              <w:bottom w:val="single" w:color="auto" w:sz="6" w:space="0"/>
              <w:right w:val="single" w:color="auto" w:sz="6" w:space="0"/>
            </w:tcBorders>
          </w:tcPr>
          <w:p w14:paraId="2802C952">
            <w:pPr>
              <w:pStyle w:val="60"/>
              <w:rPr>
                <w:rFonts w:hint="eastAsia" w:ascii="宋体" w:hAnsi="宋体" w:cs="宋体"/>
                <w:color w:val="auto"/>
              </w:rPr>
            </w:pPr>
          </w:p>
        </w:tc>
        <w:tc>
          <w:tcPr>
            <w:tcW w:w="1719" w:type="dxa"/>
            <w:tcBorders>
              <w:top w:val="single" w:color="auto" w:sz="6" w:space="0"/>
              <w:left w:val="single" w:color="auto" w:sz="6" w:space="0"/>
              <w:bottom w:val="single" w:color="auto" w:sz="6" w:space="0"/>
              <w:right w:val="single" w:color="auto" w:sz="6" w:space="0"/>
            </w:tcBorders>
          </w:tcPr>
          <w:p w14:paraId="0DF20D22">
            <w:pPr>
              <w:pStyle w:val="60"/>
              <w:rPr>
                <w:rFonts w:hint="eastAsia" w:ascii="宋体" w:hAnsi="宋体" w:cs="宋体"/>
                <w:color w:val="auto"/>
              </w:rPr>
            </w:pPr>
          </w:p>
        </w:tc>
        <w:tc>
          <w:tcPr>
            <w:tcW w:w="1712" w:type="dxa"/>
            <w:tcBorders>
              <w:top w:val="single" w:color="auto" w:sz="6" w:space="0"/>
              <w:left w:val="single" w:color="auto" w:sz="6" w:space="0"/>
              <w:bottom w:val="single" w:color="auto" w:sz="6" w:space="0"/>
              <w:right w:val="single" w:color="auto" w:sz="6" w:space="0"/>
            </w:tcBorders>
          </w:tcPr>
          <w:p w14:paraId="19EE89A0">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6F228268">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19F1D455">
            <w:pPr>
              <w:pStyle w:val="60"/>
              <w:rPr>
                <w:rFonts w:hint="eastAsia" w:ascii="宋体" w:hAnsi="宋体" w:cs="宋体"/>
                <w:color w:val="auto"/>
              </w:rPr>
            </w:pPr>
          </w:p>
        </w:tc>
      </w:tr>
      <w:tr w14:paraId="6952EF1B">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tcPr>
          <w:p w14:paraId="5038C343">
            <w:pPr>
              <w:pStyle w:val="60"/>
              <w:rPr>
                <w:rFonts w:hint="eastAsia" w:ascii="宋体" w:hAnsi="宋体" w:cs="宋体"/>
                <w:color w:val="auto"/>
              </w:rPr>
            </w:pPr>
          </w:p>
        </w:tc>
        <w:tc>
          <w:tcPr>
            <w:tcW w:w="1456" w:type="dxa"/>
            <w:tcBorders>
              <w:top w:val="single" w:color="auto" w:sz="6" w:space="0"/>
              <w:left w:val="single" w:color="auto" w:sz="6" w:space="0"/>
              <w:bottom w:val="single" w:color="auto" w:sz="6" w:space="0"/>
              <w:right w:val="single" w:color="auto" w:sz="6" w:space="0"/>
            </w:tcBorders>
          </w:tcPr>
          <w:p w14:paraId="2CA7C12D">
            <w:pPr>
              <w:pStyle w:val="60"/>
              <w:rPr>
                <w:rFonts w:hint="eastAsia" w:ascii="宋体" w:hAnsi="宋体" w:cs="宋体"/>
                <w:color w:val="auto"/>
              </w:rPr>
            </w:pPr>
          </w:p>
        </w:tc>
        <w:tc>
          <w:tcPr>
            <w:tcW w:w="1719" w:type="dxa"/>
            <w:tcBorders>
              <w:top w:val="single" w:color="auto" w:sz="6" w:space="0"/>
              <w:left w:val="single" w:color="auto" w:sz="6" w:space="0"/>
              <w:bottom w:val="single" w:color="auto" w:sz="6" w:space="0"/>
              <w:right w:val="single" w:color="auto" w:sz="6" w:space="0"/>
            </w:tcBorders>
          </w:tcPr>
          <w:p w14:paraId="3AAA9B0A">
            <w:pPr>
              <w:pStyle w:val="60"/>
              <w:rPr>
                <w:rFonts w:hint="eastAsia" w:ascii="宋体" w:hAnsi="宋体" w:cs="宋体"/>
                <w:color w:val="auto"/>
              </w:rPr>
            </w:pPr>
          </w:p>
        </w:tc>
        <w:tc>
          <w:tcPr>
            <w:tcW w:w="1712" w:type="dxa"/>
            <w:tcBorders>
              <w:top w:val="single" w:color="auto" w:sz="6" w:space="0"/>
              <w:left w:val="single" w:color="auto" w:sz="6" w:space="0"/>
              <w:bottom w:val="single" w:color="auto" w:sz="6" w:space="0"/>
              <w:right w:val="single" w:color="auto" w:sz="6" w:space="0"/>
            </w:tcBorders>
          </w:tcPr>
          <w:p w14:paraId="3E0A913F">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3672E3B9">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7096EEC5">
            <w:pPr>
              <w:pStyle w:val="60"/>
              <w:rPr>
                <w:rFonts w:hint="eastAsia" w:ascii="宋体" w:hAnsi="宋体" w:cs="宋体"/>
                <w:color w:val="auto"/>
              </w:rPr>
            </w:pPr>
          </w:p>
        </w:tc>
      </w:tr>
      <w:tr w14:paraId="71C3D7BD">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tcPr>
          <w:p w14:paraId="2DABBC3F">
            <w:pPr>
              <w:pStyle w:val="60"/>
              <w:rPr>
                <w:rFonts w:hint="eastAsia" w:ascii="宋体" w:hAnsi="宋体" w:cs="宋体"/>
                <w:color w:val="auto"/>
              </w:rPr>
            </w:pPr>
          </w:p>
        </w:tc>
        <w:tc>
          <w:tcPr>
            <w:tcW w:w="1456" w:type="dxa"/>
            <w:tcBorders>
              <w:top w:val="single" w:color="auto" w:sz="6" w:space="0"/>
              <w:left w:val="single" w:color="auto" w:sz="6" w:space="0"/>
              <w:bottom w:val="single" w:color="auto" w:sz="6" w:space="0"/>
              <w:right w:val="single" w:color="auto" w:sz="6" w:space="0"/>
            </w:tcBorders>
          </w:tcPr>
          <w:p w14:paraId="306183C5">
            <w:pPr>
              <w:pStyle w:val="60"/>
              <w:rPr>
                <w:rFonts w:hint="eastAsia" w:ascii="宋体" w:hAnsi="宋体" w:cs="宋体"/>
                <w:color w:val="auto"/>
              </w:rPr>
            </w:pPr>
          </w:p>
        </w:tc>
        <w:tc>
          <w:tcPr>
            <w:tcW w:w="1719" w:type="dxa"/>
            <w:tcBorders>
              <w:top w:val="single" w:color="auto" w:sz="6" w:space="0"/>
              <w:left w:val="single" w:color="auto" w:sz="6" w:space="0"/>
              <w:bottom w:val="single" w:color="auto" w:sz="6" w:space="0"/>
              <w:right w:val="single" w:color="auto" w:sz="6" w:space="0"/>
            </w:tcBorders>
          </w:tcPr>
          <w:p w14:paraId="2808EFF7">
            <w:pPr>
              <w:pStyle w:val="60"/>
              <w:rPr>
                <w:rFonts w:hint="eastAsia" w:ascii="宋体" w:hAnsi="宋体" w:cs="宋体"/>
                <w:color w:val="auto"/>
              </w:rPr>
            </w:pPr>
          </w:p>
        </w:tc>
        <w:tc>
          <w:tcPr>
            <w:tcW w:w="1712" w:type="dxa"/>
            <w:tcBorders>
              <w:top w:val="single" w:color="auto" w:sz="6" w:space="0"/>
              <w:left w:val="single" w:color="auto" w:sz="6" w:space="0"/>
              <w:bottom w:val="single" w:color="auto" w:sz="6" w:space="0"/>
              <w:right w:val="single" w:color="auto" w:sz="6" w:space="0"/>
            </w:tcBorders>
          </w:tcPr>
          <w:p w14:paraId="79EA9092">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36B939EF">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7AF05A44">
            <w:pPr>
              <w:pStyle w:val="60"/>
              <w:rPr>
                <w:rFonts w:hint="eastAsia" w:ascii="宋体" w:hAnsi="宋体" w:cs="宋体"/>
                <w:color w:val="auto"/>
              </w:rPr>
            </w:pPr>
          </w:p>
        </w:tc>
      </w:tr>
      <w:tr w14:paraId="36A90919">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tcPr>
          <w:p w14:paraId="01386360">
            <w:pPr>
              <w:pStyle w:val="60"/>
              <w:rPr>
                <w:rFonts w:hint="eastAsia" w:ascii="宋体" w:hAnsi="宋体" w:cs="宋体"/>
                <w:color w:val="auto"/>
              </w:rPr>
            </w:pPr>
          </w:p>
        </w:tc>
        <w:tc>
          <w:tcPr>
            <w:tcW w:w="1456" w:type="dxa"/>
            <w:tcBorders>
              <w:top w:val="single" w:color="auto" w:sz="6" w:space="0"/>
              <w:left w:val="single" w:color="auto" w:sz="6" w:space="0"/>
              <w:bottom w:val="single" w:color="auto" w:sz="6" w:space="0"/>
              <w:right w:val="single" w:color="auto" w:sz="6" w:space="0"/>
            </w:tcBorders>
          </w:tcPr>
          <w:p w14:paraId="6B491B23">
            <w:pPr>
              <w:pStyle w:val="60"/>
              <w:rPr>
                <w:rFonts w:hint="eastAsia" w:ascii="宋体" w:hAnsi="宋体" w:cs="宋体"/>
                <w:color w:val="auto"/>
              </w:rPr>
            </w:pPr>
          </w:p>
        </w:tc>
        <w:tc>
          <w:tcPr>
            <w:tcW w:w="1719" w:type="dxa"/>
            <w:tcBorders>
              <w:top w:val="single" w:color="auto" w:sz="6" w:space="0"/>
              <w:left w:val="single" w:color="auto" w:sz="6" w:space="0"/>
              <w:bottom w:val="single" w:color="auto" w:sz="6" w:space="0"/>
              <w:right w:val="single" w:color="auto" w:sz="6" w:space="0"/>
            </w:tcBorders>
          </w:tcPr>
          <w:p w14:paraId="6EA2EF92">
            <w:pPr>
              <w:pStyle w:val="60"/>
              <w:rPr>
                <w:rFonts w:hint="eastAsia" w:ascii="宋体" w:hAnsi="宋体" w:cs="宋体"/>
                <w:color w:val="auto"/>
              </w:rPr>
            </w:pPr>
          </w:p>
        </w:tc>
        <w:tc>
          <w:tcPr>
            <w:tcW w:w="1712" w:type="dxa"/>
            <w:tcBorders>
              <w:top w:val="single" w:color="auto" w:sz="6" w:space="0"/>
              <w:left w:val="single" w:color="auto" w:sz="6" w:space="0"/>
              <w:bottom w:val="single" w:color="auto" w:sz="6" w:space="0"/>
              <w:right w:val="single" w:color="auto" w:sz="6" w:space="0"/>
            </w:tcBorders>
          </w:tcPr>
          <w:p w14:paraId="7BCDA1F5">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1ACB1FD4">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7D90CA2D">
            <w:pPr>
              <w:pStyle w:val="60"/>
              <w:rPr>
                <w:rFonts w:hint="eastAsia" w:ascii="宋体" w:hAnsi="宋体" w:cs="宋体"/>
                <w:color w:val="auto"/>
              </w:rPr>
            </w:pPr>
          </w:p>
        </w:tc>
      </w:tr>
      <w:tr w14:paraId="125A6F5A">
        <w:tblPrEx>
          <w:tblCellMar>
            <w:top w:w="0" w:type="dxa"/>
            <w:left w:w="108" w:type="dxa"/>
            <w:bottom w:w="0" w:type="dxa"/>
            <w:right w:w="108" w:type="dxa"/>
          </w:tblCellMar>
        </w:tblPrEx>
        <w:trPr>
          <w:jc w:val="center"/>
        </w:trPr>
        <w:tc>
          <w:tcPr>
            <w:tcW w:w="873" w:type="dxa"/>
            <w:tcBorders>
              <w:top w:val="single" w:color="auto" w:sz="6" w:space="0"/>
              <w:left w:val="single" w:color="auto" w:sz="6" w:space="0"/>
              <w:bottom w:val="single" w:color="auto" w:sz="6" w:space="0"/>
              <w:right w:val="single" w:color="auto" w:sz="6" w:space="0"/>
            </w:tcBorders>
          </w:tcPr>
          <w:p w14:paraId="0DCEDB87">
            <w:pPr>
              <w:pStyle w:val="60"/>
              <w:rPr>
                <w:rFonts w:hint="eastAsia" w:ascii="宋体" w:hAnsi="宋体" w:cs="宋体"/>
                <w:color w:val="auto"/>
              </w:rPr>
            </w:pPr>
          </w:p>
        </w:tc>
        <w:tc>
          <w:tcPr>
            <w:tcW w:w="1456" w:type="dxa"/>
            <w:tcBorders>
              <w:top w:val="single" w:color="auto" w:sz="6" w:space="0"/>
              <w:left w:val="single" w:color="auto" w:sz="6" w:space="0"/>
              <w:bottom w:val="single" w:color="auto" w:sz="6" w:space="0"/>
              <w:right w:val="single" w:color="auto" w:sz="6" w:space="0"/>
            </w:tcBorders>
          </w:tcPr>
          <w:p w14:paraId="53C87C8B">
            <w:pPr>
              <w:pStyle w:val="60"/>
              <w:rPr>
                <w:rFonts w:hint="eastAsia" w:ascii="宋体" w:hAnsi="宋体" w:cs="宋体"/>
                <w:color w:val="auto"/>
              </w:rPr>
            </w:pPr>
          </w:p>
        </w:tc>
        <w:tc>
          <w:tcPr>
            <w:tcW w:w="1719" w:type="dxa"/>
            <w:tcBorders>
              <w:top w:val="single" w:color="auto" w:sz="6" w:space="0"/>
              <w:left w:val="single" w:color="auto" w:sz="6" w:space="0"/>
              <w:bottom w:val="single" w:color="auto" w:sz="6" w:space="0"/>
              <w:right w:val="single" w:color="auto" w:sz="6" w:space="0"/>
            </w:tcBorders>
          </w:tcPr>
          <w:p w14:paraId="4D5ECAAB">
            <w:pPr>
              <w:pStyle w:val="60"/>
              <w:rPr>
                <w:rFonts w:hint="eastAsia" w:ascii="宋体" w:hAnsi="宋体" w:cs="宋体"/>
                <w:color w:val="auto"/>
              </w:rPr>
            </w:pPr>
          </w:p>
        </w:tc>
        <w:tc>
          <w:tcPr>
            <w:tcW w:w="1712" w:type="dxa"/>
            <w:tcBorders>
              <w:top w:val="single" w:color="auto" w:sz="6" w:space="0"/>
              <w:left w:val="single" w:color="auto" w:sz="6" w:space="0"/>
              <w:bottom w:val="single" w:color="auto" w:sz="6" w:space="0"/>
              <w:right w:val="single" w:color="auto" w:sz="6" w:space="0"/>
            </w:tcBorders>
          </w:tcPr>
          <w:p w14:paraId="4891EAB9">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20E68490">
            <w:pPr>
              <w:pStyle w:val="60"/>
              <w:rPr>
                <w:rFonts w:hint="eastAsia" w:ascii="宋体" w:hAnsi="宋体" w:cs="宋体"/>
                <w:color w:val="auto"/>
              </w:rPr>
            </w:pPr>
          </w:p>
        </w:tc>
        <w:tc>
          <w:tcPr>
            <w:tcW w:w="1858" w:type="dxa"/>
            <w:tcBorders>
              <w:top w:val="single" w:color="auto" w:sz="6" w:space="0"/>
              <w:left w:val="single" w:color="auto" w:sz="6" w:space="0"/>
              <w:bottom w:val="single" w:color="auto" w:sz="6" w:space="0"/>
              <w:right w:val="single" w:color="auto" w:sz="6" w:space="0"/>
            </w:tcBorders>
          </w:tcPr>
          <w:p w14:paraId="46785B7C">
            <w:pPr>
              <w:pStyle w:val="60"/>
              <w:rPr>
                <w:rFonts w:hint="eastAsia" w:ascii="宋体" w:hAnsi="宋体" w:cs="宋体"/>
                <w:color w:val="auto"/>
              </w:rPr>
            </w:pPr>
          </w:p>
        </w:tc>
      </w:tr>
    </w:tbl>
    <w:p w14:paraId="326E983A">
      <w:pPr>
        <w:spacing w:line="400" w:lineRule="exact"/>
        <w:rPr>
          <w:rFonts w:hint="default" w:ascii="宋体" w:hAnsi="宋体" w:eastAsia="宋体" w:cs="宋体"/>
          <w:color w:val="auto"/>
          <w:sz w:val="24"/>
          <w:szCs w:val="24"/>
          <w:lang w:val="en-US" w:eastAsia="zh-CN"/>
        </w:rPr>
      </w:pPr>
      <w:r>
        <w:rPr>
          <w:rFonts w:hint="eastAsia" w:ascii="宋体" w:hAnsi="宋体" w:cs="宋体"/>
          <w:color w:val="auto"/>
          <w:sz w:val="24"/>
          <w:szCs w:val="24"/>
        </w:rPr>
        <w:t>附:提供相关证明（中标通知书或合同）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近三年指2022年1月1日至今。</w:t>
      </w:r>
    </w:p>
    <w:p w14:paraId="57D2BC51">
      <w:pPr>
        <w:rPr>
          <w:rFonts w:hint="eastAsia" w:ascii="宋体" w:hAnsi="宋体" w:cs="宋体"/>
          <w:color w:val="auto"/>
        </w:rPr>
      </w:pPr>
    </w:p>
    <w:p w14:paraId="7BFBBE70">
      <w:pPr>
        <w:rPr>
          <w:rFonts w:hint="eastAsia" w:ascii="宋体" w:hAnsi="宋体" w:cs="宋体"/>
          <w:color w:val="auto"/>
        </w:rPr>
      </w:pPr>
    </w:p>
    <w:p w14:paraId="41E7DA14">
      <w:pPr>
        <w:rPr>
          <w:rFonts w:hint="eastAsia" w:ascii="宋体" w:hAnsi="宋体" w:cs="宋体"/>
          <w:color w:val="auto"/>
        </w:rPr>
      </w:pPr>
    </w:p>
    <w:p w14:paraId="788850B1">
      <w:pPr>
        <w:rPr>
          <w:rFonts w:hint="eastAsia" w:ascii="宋体" w:hAnsi="宋体" w:cs="宋体"/>
          <w:color w:val="auto"/>
          <w:sz w:val="24"/>
          <w:szCs w:val="24"/>
          <w:u w:val="single"/>
        </w:rPr>
      </w:pPr>
      <w:r>
        <w:rPr>
          <w:rFonts w:hint="eastAsia" w:ascii="宋体" w:hAnsi="宋体" w:cs="宋体"/>
          <w:color w:val="auto"/>
          <w:sz w:val="24"/>
          <w:szCs w:val="24"/>
        </w:rPr>
        <w:t xml:space="preserve">  投标单位：（盖单位公章）</w:t>
      </w:r>
    </w:p>
    <w:p w14:paraId="04A14008">
      <w:pPr>
        <w:rPr>
          <w:rFonts w:hint="eastAsia" w:ascii="宋体" w:hAnsi="宋体" w:cs="宋体"/>
          <w:color w:val="auto"/>
          <w:sz w:val="24"/>
          <w:szCs w:val="24"/>
        </w:rPr>
      </w:pPr>
    </w:p>
    <w:p w14:paraId="7992539B">
      <w:pPr>
        <w:ind w:firstLine="240" w:firstLineChars="100"/>
        <w:rPr>
          <w:rFonts w:hint="eastAsia" w:ascii="宋体" w:hAnsi="宋体" w:cs="宋体"/>
          <w:color w:val="auto"/>
          <w:sz w:val="24"/>
          <w:szCs w:val="24"/>
        </w:rPr>
      </w:pPr>
      <w:r>
        <w:rPr>
          <w:rFonts w:hint="eastAsia" w:ascii="宋体" w:hAnsi="宋体" w:cs="宋体"/>
          <w:color w:val="auto"/>
          <w:sz w:val="24"/>
          <w:szCs w:val="24"/>
        </w:rPr>
        <w:t>法定代表人或授权代表人（签字或盖章）：</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59C0D5F8">
      <w:pPr>
        <w:rPr>
          <w:rFonts w:hint="eastAsia" w:ascii="宋体" w:hAnsi="宋体" w:cs="宋体"/>
          <w:color w:val="auto"/>
          <w:sz w:val="24"/>
          <w:szCs w:val="24"/>
        </w:rPr>
      </w:pPr>
    </w:p>
    <w:p w14:paraId="1312F773">
      <w:pPr>
        <w:ind w:firstLine="240" w:firstLineChars="100"/>
        <w:rPr>
          <w:rFonts w:hint="eastAsia" w:ascii="宋体" w:hAnsi="宋体" w:cs="宋体"/>
          <w:color w:val="auto"/>
          <w:sz w:val="24"/>
          <w:szCs w:val="24"/>
        </w:rPr>
      </w:pPr>
      <w:r>
        <w:rPr>
          <w:rFonts w:hint="eastAsia" w:ascii="宋体" w:hAnsi="宋体" w:cs="宋体"/>
          <w:color w:val="auto"/>
          <w:sz w:val="24"/>
          <w:szCs w:val="24"/>
        </w:rPr>
        <w:t>日期：    年    月    日</w:t>
      </w:r>
    </w:p>
    <w:p w14:paraId="19824FD3">
      <w:pPr>
        <w:spacing w:line="400" w:lineRule="exact"/>
        <w:ind w:firstLine="241" w:firstLineChars="100"/>
        <w:rPr>
          <w:rFonts w:hint="eastAsia" w:ascii="宋体" w:hAnsi="宋体" w:cs="宋体"/>
          <w:b/>
          <w:bCs/>
          <w:color w:val="auto"/>
          <w:sz w:val="24"/>
          <w:szCs w:val="24"/>
        </w:rPr>
      </w:pPr>
    </w:p>
    <w:p w14:paraId="32D482F2">
      <w:pPr>
        <w:pStyle w:val="59"/>
        <w:tabs>
          <w:tab w:val="left" w:pos="540"/>
          <w:tab w:val="left" w:pos="1080"/>
        </w:tabs>
        <w:ind w:firstLine="275" w:firstLineChars="98"/>
        <w:jc w:val="center"/>
        <w:rPr>
          <w:rFonts w:hint="eastAsia" w:ascii="宋体" w:hAnsi="宋体" w:cs="宋体"/>
          <w:b/>
          <w:color w:val="auto"/>
          <w:sz w:val="28"/>
          <w:szCs w:val="28"/>
        </w:rPr>
      </w:pPr>
    </w:p>
    <w:p w14:paraId="1DB05369">
      <w:pPr>
        <w:pStyle w:val="59"/>
        <w:tabs>
          <w:tab w:val="left" w:pos="540"/>
          <w:tab w:val="left" w:pos="1080"/>
        </w:tabs>
        <w:ind w:firstLine="275" w:firstLineChars="98"/>
        <w:jc w:val="center"/>
        <w:rPr>
          <w:rFonts w:hint="eastAsia" w:ascii="宋体" w:hAnsi="宋体" w:cs="宋体"/>
          <w:b/>
          <w:color w:val="auto"/>
          <w:sz w:val="28"/>
          <w:szCs w:val="28"/>
        </w:rPr>
      </w:pPr>
    </w:p>
    <w:p w14:paraId="107CB74B">
      <w:pPr>
        <w:pStyle w:val="59"/>
        <w:tabs>
          <w:tab w:val="left" w:pos="540"/>
          <w:tab w:val="left" w:pos="1080"/>
        </w:tabs>
        <w:ind w:firstLine="275" w:firstLineChars="98"/>
        <w:jc w:val="center"/>
        <w:rPr>
          <w:rFonts w:hint="eastAsia" w:ascii="宋体" w:hAnsi="宋体" w:cs="宋体"/>
          <w:b/>
          <w:color w:val="auto"/>
          <w:sz w:val="28"/>
          <w:szCs w:val="28"/>
        </w:rPr>
      </w:pPr>
    </w:p>
    <w:p w14:paraId="1B906B0D">
      <w:pPr>
        <w:pStyle w:val="59"/>
        <w:tabs>
          <w:tab w:val="left" w:pos="540"/>
          <w:tab w:val="left" w:pos="1080"/>
        </w:tabs>
        <w:ind w:firstLine="275" w:firstLineChars="98"/>
        <w:jc w:val="center"/>
        <w:rPr>
          <w:rFonts w:hint="eastAsia" w:ascii="宋体" w:hAnsi="宋体" w:cs="宋体"/>
          <w:b/>
          <w:color w:val="auto"/>
          <w:sz w:val="28"/>
          <w:szCs w:val="28"/>
        </w:rPr>
      </w:pPr>
    </w:p>
    <w:p w14:paraId="0E678B0C">
      <w:pPr>
        <w:pStyle w:val="59"/>
        <w:tabs>
          <w:tab w:val="left" w:pos="540"/>
          <w:tab w:val="left" w:pos="1080"/>
        </w:tabs>
        <w:ind w:firstLine="275" w:firstLineChars="98"/>
        <w:jc w:val="center"/>
        <w:rPr>
          <w:rFonts w:hint="eastAsia" w:ascii="宋体" w:hAnsi="宋体" w:cs="宋体"/>
          <w:b/>
          <w:color w:val="auto"/>
          <w:sz w:val="28"/>
          <w:szCs w:val="28"/>
        </w:rPr>
      </w:pPr>
    </w:p>
    <w:p w14:paraId="2C8C1D6A">
      <w:pPr>
        <w:jc w:val="both"/>
        <w:rPr>
          <w:rFonts w:hint="eastAsia" w:ascii="宋体" w:hAnsi="宋体" w:cs="宋体"/>
          <w:b/>
          <w:color w:val="auto"/>
          <w:sz w:val="28"/>
          <w:szCs w:val="28"/>
        </w:rPr>
      </w:pPr>
    </w:p>
    <w:p w14:paraId="1651311E">
      <w:pPr>
        <w:jc w:val="center"/>
        <w:rPr>
          <w:rFonts w:hint="eastAsia" w:ascii="宋体" w:hAnsi="宋体" w:cs="宋体"/>
          <w:b/>
          <w:color w:val="auto"/>
          <w:sz w:val="28"/>
          <w:szCs w:val="28"/>
        </w:rPr>
      </w:pPr>
      <w:r>
        <w:rPr>
          <w:rFonts w:hint="eastAsia" w:ascii="宋体" w:hAnsi="宋体" w:cs="宋体"/>
          <w:b/>
          <w:bCs/>
          <w:color w:val="auto"/>
          <w:sz w:val="32"/>
          <w:szCs w:val="32"/>
        </w:rPr>
        <w:t>9、技术、商务条款偏离表</w:t>
      </w:r>
    </w:p>
    <w:p w14:paraId="43D61BEC">
      <w:pPr>
        <w:rPr>
          <w:rFonts w:hint="eastAsia" w:ascii="宋体" w:hAnsi="宋体" w:cs="宋体"/>
          <w:b/>
          <w:color w:val="auto"/>
          <w:sz w:val="28"/>
          <w:szCs w:val="28"/>
        </w:rPr>
      </w:pPr>
    </w:p>
    <w:p w14:paraId="07FA0647">
      <w:pPr>
        <w:ind w:firstLine="240" w:firstLineChars="100"/>
        <w:rPr>
          <w:rFonts w:hint="eastAsia" w:ascii="宋体" w:hAnsi="宋体" w:cs="宋体"/>
          <w:color w:val="auto"/>
          <w:sz w:val="24"/>
          <w:szCs w:val="24"/>
          <w:u w:val="single"/>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r>
        <w:rPr>
          <w:rFonts w:hint="eastAsia" w:ascii="宋体" w:hAnsi="宋体" w:cs="宋体"/>
          <w:color w:val="auto"/>
          <w:sz w:val="24"/>
          <w:szCs w:val="24"/>
        </w:rPr>
        <w:t>项目编号：</w:t>
      </w:r>
      <w:r>
        <w:rPr>
          <w:rFonts w:hint="eastAsia" w:ascii="宋体" w:hAnsi="宋体" w:cs="宋体"/>
          <w:color w:val="auto"/>
          <w:sz w:val="24"/>
          <w:szCs w:val="24"/>
          <w:u w:val="single"/>
        </w:rPr>
        <w:t>　　　　</w:t>
      </w:r>
    </w:p>
    <w:tbl>
      <w:tblPr>
        <w:tblStyle w:val="26"/>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686"/>
        <w:gridCol w:w="3175"/>
        <w:gridCol w:w="2607"/>
        <w:gridCol w:w="1026"/>
      </w:tblGrid>
      <w:tr w14:paraId="3AA1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1" w:type="dxa"/>
            <w:vAlign w:val="center"/>
          </w:tcPr>
          <w:p w14:paraId="1DCF8798">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686" w:type="dxa"/>
            <w:vAlign w:val="center"/>
          </w:tcPr>
          <w:p w14:paraId="3D9195BB">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竞争性磋商文件条款名称</w:t>
            </w:r>
          </w:p>
        </w:tc>
        <w:tc>
          <w:tcPr>
            <w:tcW w:w="3175" w:type="dxa"/>
            <w:vAlign w:val="center"/>
          </w:tcPr>
          <w:p w14:paraId="1529F3AA">
            <w:pPr>
              <w:jc w:val="center"/>
              <w:rPr>
                <w:rFonts w:hint="eastAsia" w:ascii="宋体" w:hAnsi="宋体" w:cs="宋体"/>
                <w:color w:val="auto"/>
                <w:sz w:val="24"/>
                <w:szCs w:val="24"/>
              </w:rPr>
            </w:pPr>
            <w:r>
              <w:rPr>
                <w:rFonts w:hint="eastAsia" w:ascii="宋体" w:hAnsi="宋体" w:cs="宋体"/>
                <w:color w:val="auto"/>
                <w:sz w:val="24"/>
                <w:szCs w:val="24"/>
              </w:rPr>
              <w:t>竞争性磋商文件的技术、商务条款</w:t>
            </w:r>
          </w:p>
        </w:tc>
        <w:tc>
          <w:tcPr>
            <w:tcW w:w="2607" w:type="dxa"/>
            <w:vAlign w:val="center"/>
          </w:tcPr>
          <w:p w14:paraId="0575743D">
            <w:pPr>
              <w:jc w:val="center"/>
              <w:rPr>
                <w:rFonts w:hint="eastAsia" w:ascii="宋体" w:hAnsi="宋体" w:cs="宋体"/>
                <w:color w:val="auto"/>
                <w:sz w:val="24"/>
                <w:szCs w:val="24"/>
              </w:rPr>
            </w:pPr>
            <w:r>
              <w:rPr>
                <w:rFonts w:hint="eastAsia" w:ascii="宋体" w:hAnsi="宋体" w:cs="宋体"/>
                <w:color w:val="auto"/>
                <w:sz w:val="24"/>
                <w:szCs w:val="24"/>
              </w:rPr>
              <w:t>投标文件的技术、商务条款</w:t>
            </w:r>
          </w:p>
        </w:tc>
        <w:tc>
          <w:tcPr>
            <w:tcW w:w="1026" w:type="dxa"/>
            <w:vAlign w:val="center"/>
          </w:tcPr>
          <w:p w14:paraId="05F8F379">
            <w:pPr>
              <w:jc w:val="center"/>
              <w:rPr>
                <w:rFonts w:hint="eastAsia" w:ascii="宋体" w:hAnsi="宋体" w:cs="宋体"/>
                <w:color w:val="auto"/>
                <w:sz w:val="24"/>
                <w:szCs w:val="24"/>
              </w:rPr>
            </w:pPr>
            <w:r>
              <w:rPr>
                <w:rFonts w:hint="eastAsia" w:ascii="宋体" w:hAnsi="宋体" w:cs="宋体"/>
                <w:color w:val="auto"/>
                <w:sz w:val="24"/>
                <w:szCs w:val="24"/>
              </w:rPr>
              <w:t>说明</w:t>
            </w:r>
          </w:p>
        </w:tc>
      </w:tr>
      <w:tr w14:paraId="1D0F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1" w:type="dxa"/>
          </w:tcPr>
          <w:p w14:paraId="51BB60C5">
            <w:pPr>
              <w:jc w:val="center"/>
              <w:rPr>
                <w:rFonts w:hint="eastAsia" w:ascii="宋体" w:hAnsi="宋体" w:cs="宋体"/>
                <w:color w:val="auto"/>
                <w:sz w:val="24"/>
                <w:szCs w:val="24"/>
              </w:rPr>
            </w:pPr>
            <w:r>
              <w:rPr>
                <w:rFonts w:hint="eastAsia" w:ascii="宋体" w:hAnsi="宋体" w:cs="宋体"/>
                <w:color w:val="auto"/>
                <w:sz w:val="24"/>
                <w:szCs w:val="24"/>
              </w:rPr>
              <w:t>1</w:t>
            </w:r>
          </w:p>
        </w:tc>
        <w:tc>
          <w:tcPr>
            <w:tcW w:w="1686" w:type="dxa"/>
          </w:tcPr>
          <w:p w14:paraId="1C7C57AF">
            <w:pPr>
              <w:widowControl/>
              <w:jc w:val="left"/>
              <w:rPr>
                <w:rFonts w:hint="eastAsia" w:ascii="宋体" w:hAnsi="宋体" w:cs="宋体"/>
                <w:color w:val="auto"/>
                <w:sz w:val="24"/>
                <w:szCs w:val="24"/>
              </w:rPr>
            </w:pPr>
          </w:p>
          <w:p w14:paraId="693CA08D">
            <w:pPr>
              <w:rPr>
                <w:rFonts w:hint="eastAsia" w:ascii="宋体" w:hAnsi="宋体" w:cs="宋体"/>
                <w:color w:val="auto"/>
                <w:sz w:val="24"/>
                <w:szCs w:val="24"/>
              </w:rPr>
            </w:pPr>
          </w:p>
        </w:tc>
        <w:tc>
          <w:tcPr>
            <w:tcW w:w="3175" w:type="dxa"/>
          </w:tcPr>
          <w:p w14:paraId="55E8221B">
            <w:pPr>
              <w:rPr>
                <w:rFonts w:hint="eastAsia" w:ascii="宋体" w:hAnsi="宋体" w:cs="宋体"/>
                <w:color w:val="auto"/>
                <w:sz w:val="24"/>
                <w:szCs w:val="24"/>
              </w:rPr>
            </w:pPr>
          </w:p>
        </w:tc>
        <w:tc>
          <w:tcPr>
            <w:tcW w:w="2607" w:type="dxa"/>
          </w:tcPr>
          <w:p w14:paraId="45713A54">
            <w:pPr>
              <w:rPr>
                <w:rFonts w:hint="eastAsia" w:ascii="宋体" w:hAnsi="宋体" w:cs="宋体"/>
                <w:color w:val="auto"/>
                <w:sz w:val="24"/>
                <w:szCs w:val="24"/>
              </w:rPr>
            </w:pPr>
          </w:p>
        </w:tc>
        <w:tc>
          <w:tcPr>
            <w:tcW w:w="1026" w:type="dxa"/>
          </w:tcPr>
          <w:p w14:paraId="23D77E29">
            <w:pPr>
              <w:rPr>
                <w:rFonts w:hint="eastAsia" w:ascii="宋体" w:hAnsi="宋体" w:cs="宋体"/>
                <w:color w:val="auto"/>
                <w:sz w:val="24"/>
                <w:szCs w:val="24"/>
              </w:rPr>
            </w:pPr>
          </w:p>
        </w:tc>
      </w:tr>
      <w:tr w14:paraId="6CD3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01" w:type="dxa"/>
          </w:tcPr>
          <w:p w14:paraId="7EC4EB71">
            <w:pPr>
              <w:jc w:val="center"/>
              <w:rPr>
                <w:rFonts w:hint="eastAsia" w:ascii="宋体" w:hAnsi="宋体" w:cs="宋体"/>
                <w:color w:val="auto"/>
                <w:sz w:val="24"/>
                <w:szCs w:val="24"/>
              </w:rPr>
            </w:pPr>
            <w:r>
              <w:rPr>
                <w:rFonts w:hint="eastAsia" w:ascii="宋体" w:hAnsi="宋体" w:cs="宋体"/>
                <w:color w:val="auto"/>
                <w:sz w:val="24"/>
                <w:szCs w:val="24"/>
              </w:rPr>
              <w:t>2</w:t>
            </w:r>
          </w:p>
          <w:p w14:paraId="63895405">
            <w:pPr>
              <w:jc w:val="center"/>
              <w:rPr>
                <w:rFonts w:hint="eastAsia" w:ascii="宋体" w:hAnsi="宋体" w:cs="宋体"/>
                <w:color w:val="auto"/>
                <w:sz w:val="24"/>
                <w:szCs w:val="24"/>
              </w:rPr>
            </w:pPr>
          </w:p>
        </w:tc>
        <w:tc>
          <w:tcPr>
            <w:tcW w:w="1686" w:type="dxa"/>
          </w:tcPr>
          <w:p w14:paraId="26693B54">
            <w:pPr>
              <w:widowControl/>
              <w:jc w:val="left"/>
              <w:rPr>
                <w:rFonts w:hint="eastAsia" w:ascii="宋体" w:hAnsi="宋体" w:cs="宋体"/>
                <w:color w:val="auto"/>
                <w:sz w:val="24"/>
                <w:szCs w:val="24"/>
              </w:rPr>
            </w:pPr>
          </w:p>
          <w:p w14:paraId="2E15D47E">
            <w:pPr>
              <w:rPr>
                <w:rFonts w:hint="eastAsia" w:ascii="宋体" w:hAnsi="宋体" w:cs="宋体"/>
                <w:color w:val="auto"/>
                <w:sz w:val="24"/>
                <w:szCs w:val="24"/>
              </w:rPr>
            </w:pPr>
          </w:p>
        </w:tc>
        <w:tc>
          <w:tcPr>
            <w:tcW w:w="3175" w:type="dxa"/>
          </w:tcPr>
          <w:p w14:paraId="1685AA7C">
            <w:pPr>
              <w:rPr>
                <w:rFonts w:hint="eastAsia" w:ascii="宋体" w:hAnsi="宋体" w:cs="宋体"/>
                <w:color w:val="auto"/>
                <w:sz w:val="24"/>
                <w:szCs w:val="24"/>
              </w:rPr>
            </w:pPr>
          </w:p>
        </w:tc>
        <w:tc>
          <w:tcPr>
            <w:tcW w:w="2607" w:type="dxa"/>
          </w:tcPr>
          <w:p w14:paraId="20EA202E">
            <w:pPr>
              <w:rPr>
                <w:rFonts w:hint="eastAsia" w:ascii="宋体" w:hAnsi="宋体" w:cs="宋体"/>
                <w:color w:val="auto"/>
                <w:sz w:val="24"/>
                <w:szCs w:val="24"/>
              </w:rPr>
            </w:pPr>
          </w:p>
        </w:tc>
        <w:tc>
          <w:tcPr>
            <w:tcW w:w="1026" w:type="dxa"/>
          </w:tcPr>
          <w:p w14:paraId="50E142FA">
            <w:pPr>
              <w:rPr>
                <w:rFonts w:hint="eastAsia" w:ascii="宋体" w:hAnsi="宋体" w:cs="宋体"/>
                <w:color w:val="auto"/>
                <w:sz w:val="24"/>
                <w:szCs w:val="24"/>
              </w:rPr>
            </w:pPr>
          </w:p>
        </w:tc>
      </w:tr>
      <w:tr w14:paraId="405B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1" w:type="dxa"/>
          </w:tcPr>
          <w:p w14:paraId="0090AAD2">
            <w:pPr>
              <w:jc w:val="center"/>
              <w:rPr>
                <w:rFonts w:hint="eastAsia" w:ascii="宋体" w:hAnsi="宋体" w:cs="宋体"/>
                <w:color w:val="auto"/>
                <w:sz w:val="24"/>
                <w:szCs w:val="24"/>
              </w:rPr>
            </w:pPr>
            <w:r>
              <w:rPr>
                <w:rFonts w:hint="eastAsia" w:ascii="宋体" w:hAnsi="宋体" w:cs="宋体"/>
                <w:color w:val="auto"/>
                <w:sz w:val="24"/>
                <w:szCs w:val="24"/>
              </w:rPr>
              <w:t>3</w:t>
            </w:r>
          </w:p>
          <w:p w14:paraId="48F5F1D0">
            <w:pPr>
              <w:jc w:val="center"/>
              <w:rPr>
                <w:rFonts w:hint="eastAsia" w:ascii="宋体" w:hAnsi="宋体" w:cs="宋体"/>
                <w:color w:val="auto"/>
                <w:sz w:val="24"/>
                <w:szCs w:val="24"/>
              </w:rPr>
            </w:pPr>
          </w:p>
        </w:tc>
        <w:tc>
          <w:tcPr>
            <w:tcW w:w="1686" w:type="dxa"/>
          </w:tcPr>
          <w:p w14:paraId="1E4A82E5">
            <w:pPr>
              <w:widowControl/>
              <w:jc w:val="left"/>
              <w:rPr>
                <w:rFonts w:hint="eastAsia" w:ascii="宋体" w:hAnsi="宋体" w:cs="宋体"/>
                <w:color w:val="auto"/>
                <w:sz w:val="24"/>
                <w:szCs w:val="24"/>
              </w:rPr>
            </w:pPr>
          </w:p>
          <w:p w14:paraId="2B8C5153">
            <w:pPr>
              <w:rPr>
                <w:rFonts w:hint="eastAsia" w:ascii="宋体" w:hAnsi="宋体" w:cs="宋体"/>
                <w:color w:val="auto"/>
                <w:sz w:val="24"/>
                <w:szCs w:val="24"/>
              </w:rPr>
            </w:pPr>
          </w:p>
        </w:tc>
        <w:tc>
          <w:tcPr>
            <w:tcW w:w="3175" w:type="dxa"/>
          </w:tcPr>
          <w:p w14:paraId="4118B797">
            <w:pPr>
              <w:rPr>
                <w:rFonts w:hint="eastAsia" w:ascii="宋体" w:hAnsi="宋体" w:cs="宋体"/>
                <w:color w:val="auto"/>
                <w:sz w:val="24"/>
                <w:szCs w:val="24"/>
              </w:rPr>
            </w:pPr>
          </w:p>
        </w:tc>
        <w:tc>
          <w:tcPr>
            <w:tcW w:w="2607" w:type="dxa"/>
          </w:tcPr>
          <w:p w14:paraId="6C47FEE9">
            <w:pPr>
              <w:rPr>
                <w:rFonts w:hint="eastAsia" w:ascii="宋体" w:hAnsi="宋体" w:cs="宋体"/>
                <w:color w:val="auto"/>
                <w:sz w:val="24"/>
                <w:szCs w:val="24"/>
              </w:rPr>
            </w:pPr>
          </w:p>
        </w:tc>
        <w:tc>
          <w:tcPr>
            <w:tcW w:w="1026" w:type="dxa"/>
          </w:tcPr>
          <w:p w14:paraId="210B0F6E">
            <w:pPr>
              <w:rPr>
                <w:rFonts w:hint="eastAsia" w:ascii="宋体" w:hAnsi="宋体" w:cs="宋体"/>
                <w:color w:val="auto"/>
                <w:sz w:val="24"/>
                <w:szCs w:val="24"/>
              </w:rPr>
            </w:pPr>
          </w:p>
        </w:tc>
      </w:tr>
      <w:tr w14:paraId="2564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01" w:type="dxa"/>
          </w:tcPr>
          <w:p w14:paraId="1AEB80E4">
            <w:pPr>
              <w:jc w:val="center"/>
              <w:rPr>
                <w:rFonts w:hint="eastAsia" w:ascii="宋体" w:hAnsi="宋体" w:cs="宋体"/>
                <w:color w:val="auto"/>
                <w:sz w:val="24"/>
                <w:szCs w:val="24"/>
              </w:rPr>
            </w:pPr>
            <w:r>
              <w:rPr>
                <w:rFonts w:hint="eastAsia" w:ascii="宋体" w:hAnsi="宋体" w:cs="宋体"/>
                <w:color w:val="auto"/>
                <w:sz w:val="24"/>
                <w:szCs w:val="24"/>
              </w:rPr>
              <w:t>…</w:t>
            </w:r>
          </w:p>
          <w:p w14:paraId="57BC674B">
            <w:pPr>
              <w:jc w:val="center"/>
              <w:rPr>
                <w:rFonts w:hint="eastAsia" w:ascii="宋体" w:hAnsi="宋体" w:cs="宋体"/>
                <w:color w:val="auto"/>
                <w:sz w:val="24"/>
                <w:szCs w:val="24"/>
              </w:rPr>
            </w:pPr>
          </w:p>
        </w:tc>
        <w:tc>
          <w:tcPr>
            <w:tcW w:w="1686" w:type="dxa"/>
          </w:tcPr>
          <w:p w14:paraId="71D3987C">
            <w:pPr>
              <w:widowControl/>
              <w:jc w:val="left"/>
              <w:rPr>
                <w:rFonts w:hint="eastAsia" w:ascii="宋体" w:hAnsi="宋体" w:cs="宋体"/>
                <w:color w:val="auto"/>
                <w:sz w:val="24"/>
                <w:szCs w:val="24"/>
              </w:rPr>
            </w:pPr>
          </w:p>
          <w:p w14:paraId="5D8DD0FE">
            <w:pPr>
              <w:rPr>
                <w:rFonts w:hint="eastAsia" w:ascii="宋体" w:hAnsi="宋体" w:cs="宋体"/>
                <w:color w:val="auto"/>
                <w:sz w:val="24"/>
                <w:szCs w:val="24"/>
              </w:rPr>
            </w:pPr>
          </w:p>
        </w:tc>
        <w:tc>
          <w:tcPr>
            <w:tcW w:w="3175" w:type="dxa"/>
          </w:tcPr>
          <w:p w14:paraId="24979B88">
            <w:pPr>
              <w:rPr>
                <w:rFonts w:hint="eastAsia" w:ascii="宋体" w:hAnsi="宋体" w:cs="宋体"/>
                <w:color w:val="auto"/>
                <w:sz w:val="24"/>
                <w:szCs w:val="24"/>
              </w:rPr>
            </w:pPr>
          </w:p>
        </w:tc>
        <w:tc>
          <w:tcPr>
            <w:tcW w:w="2607" w:type="dxa"/>
          </w:tcPr>
          <w:p w14:paraId="67368287">
            <w:pPr>
              <w:rPr>
                <w:rFonts w:hint="eastAsia" w:ascii="宋体" w:hAnsi="宋体" w:cs="宋体"/>
                <w:color w:val="auto"/>
                <w:sz w:val="24"/>
                <w:szCs w:val="24"/>
              </w:rPr>
            </w:pPr>
          </w:p>
        </w:tc>
        <w:tc>
          <w:tcPr>
            <w:tcW w:w="1026" w:type="dxa"/>
          </w:tcPr>
          <w:p w14:paraId="313A51E1">
            <w:pPr>
              <w:rPr>
                <w:rFonts w:hint="eastAsia" w:ascii="宋体" w:hAnsi="宋体" w:cs="宋体"/>
                <w:color w:val="auto"/>
                <w:sz w:val="24"/>
                <w:szCs w:val="24"/>
              </w:rPr>
            </w:pPr>
          </w:p>
        </w:tc>
      </w:tr>
    </w:tbl>
    <w:p w14:paraId="0877E1F3">
      <w:pPr>
        <w:rPr>
          <w:rFonts w:hint="eastAsia" w:ascii="宋体" w:hAnsi="宋体" w:cs="宋体"/>
          <w:color w:val="auto"/>
          <w:sz w:val="24"/>
          <w:szCs w:val="24"/>
        </w:rPr>
      </w:pPr>
    </w:p>
    <w:p w14:paraId="7A23DE1F">
      <w:pPr>
        <w:rPr>
          <w:rFonts w:hint="eastAsia" w:ascii="宋体" w:hAnsi="宋体" w:cs="宋体"/>
          <w:color w:val="auto"/>
          <w:sz w:val="24"/>
          <w:szCs w:val="24"/>
        </w:rPr>
      </w:pPr>
    </w:p>
    <w:p w14:paraId="1676EEEC">
      <w:pPr>
        <w:rPr>
          <w:rFonts w:hint="eastAsia" w:ascii="宋体" w:hAnsi="宋体" w:cs="宋体"/>
          <w:color w:val="auto"/>
          <w:sz w:val="24"/>
          <w:szCs w:val="24"/>
          <w:u w:val="single"/>
        </w:rPr>
      </w:pPr>
      <w:r>
        <w:rPr>
          <w:rFonts w:hint="eastAsia" w:ascii="宋体" w:hAnsi="宋体" w:cs="宋体"/>
          <w:color w:val="auto"/>
          <w:sz w:val="24"/>
          <w:szCs w:val="24"/>
        </w:rPr>
        <w:t>　投标单位：（盖单位公章）</w:t>
      </w:r>
    </w:p>
    <w:p w14:paraId="0BD1B9CB">
      <w:pPr>
        <w:rPr>
          <w:rFonts w:hint="eastAsia" w:ascii="宋体" w:hAnsi="宋体" w:cs="宋体"/>
          <w:color w:val="auto"/>
          <w:sz w:val="24"/>
          <w:szCs w:val="24"/>
        </w:rPr>
      </w:pPr>
    </w:p>
    <w:p w14:paraId="137454D7">
      <w:pPr>
        <w:ind w:firstLine="240" w:firstLineChars="100"/>
        <w:rPr>
          <w:rFonts w:hint="eastAsia" w:ascii="宋体" w:hAnsi="宋体" w:cs="宋体"/>
          <w:color w:val="auto"/>
          <w:sz w:val="24"/>
          <w:szCs w:val="24"/>
        </w:rPr>
      </w:pPr>
      <w:r>
        <w:rPr>
          <w:rFonts w:hint="eastAsia" w:ascii="宋体" w:hAnsi="宋体" w:cs="宋体"/>
          <w:color w:val="auto"/>
          <w:sz w:val="24"/>
          <w:szCs w:val="24"/>
        </w:rPr>
        <w:t>法定代表人或授权代表人（签字或盖章）：</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37204573">
      <w:pPr>
        <w:rPr>
          <w:rFonts w:hint="eastAsia" w:ascii="宋体" w:hAnsi="宋体" w:cs="宋体"/>
          <w:color w:val="auto"/>
          <w:sz w:val="24"/>
          <w:szCs w:val="24"/>
        </w:rPr>
      </w:pPr>
    </w:p>
    <w:p w14:paraId="6BC88186">
      <w:pPr>
        <w:ind w:firstLine="240" w:firstLineChars="100"/>
        <w:rPr>
          <w:rFonts w:hint="eastAsia" w:ascii="宋体" w:hAnsi="宋体" w:cs="宋体"/>
          <w:color w:val="auto"/>
          <w:sz w:val="24"/>
          <w:szCs w:val="24"/>
        </w:rPr>
      </w:pPr>
      <w:r>
        <w:rPr>
          <w:rFonts w:hint="eastAsia" w:ascii="宋体" w:hAnsi="宋体" w:cs="宋体"/>
          <w:color w:val="auto"/>
          <w:sz w:val="24"/>
          <w:szCs w:val="24"/>
        </w:rPr>
        <w:t>日期：    年    月    日</w:t>
      </w:r>
    </w:p>
    <w:p w14:paraId="2595D209">
      <w:pPr>
        <w:ind w:firstLine="240" w:firstLineChars="100"/>
        <w:rPr>
          <w:rFonts w:hint="eastAsia" w:ascii="宋体" w:hAnsi="宋体" w:cs="宋体"/>
          <w:color w:val="auto"/>
          <w:sz w:val="24"/>
          <w:szCs w:val="24"/>
        </w:rPr>
      </w:pPr>
    </w:p>
    <w:p w14:paraId="16540560">
      <w:pPr>
        <w:ind w:firstLine="240" w:firstLineChars="100"/>
        <w:rPr>
          <w:rFonts w:hint="eastAsia" w:ascii="宋体" w:hAnsi="宋体" w:cs="宋体"/>
          <w:color w:val="auto"/>
          <w:sz w:val="24"/>
          <w:szCs w:val="24"/>
        </w:rPr>
      </w:pPr>
    </w:p>
    <w:p w14:paraId="32A748AD">
      <w:pPr>
        <w:pStyle w:val="59"/>
        <w:tabs>
          <w:tab w:val="left" w:pos="540"/>
          <w:tab w:val="left" w:pos="1080"/>
        </w:tabs>
        <w:ind w:firstLine="480" w:firstLineChars="200"/>
        <w:jc w:val="center"/>
        <w:rPr>
          <w:rFonts w:hint="eastAsia" w:ascii="宋体" w:hAnsi="宋体" w:cs="宋体"/>
          <w:color w:val="auto"/>
          <w:szCs w:val="24"/>
        </w:rPr>
      </w:pPr>
      <w:r>
        <w:rPr>
          <w:rFonts w:hint="eastAsia" w:ascii="宋体" w:hAnsi="宋体" w:cs="宋体"/>
          <w:color w:val="auto"/>
          <w:szCs w:val="24"/>
        </w:rPr>
        <w:br w:type="page"/>
      </w:r>
    </w:p>
    <w:p w14:paraId="569BD369">
      <w:pPr>
        <w:autoSpaceDE w:val="0"/>
        <w:autoSpaceDN w:val="0"/>
        <w:adjustRightInd w:val="0"/>
        <w:jc w:val="center"/>
        <w:rPr>
          <w:rFonts w:hint="eastAsia" w:ascii="宋体" w:hAnsi="宋体" w:cs="宋体"/>
          <w:b/>
          <w:color w:val="auto"/>
          <w:kern w:val="0"/>
          <w:sz w:val="28"/>
          <w:szCs w:val="28"/>
          <w:lang w:val="zh-CN"/>
        </w:rPr>
      </w:pPr>
      <w:r>
        <w:rPr>
          <w:rFonts w:hint="eastAsia" w:ascii="宋体" w:hAnsi="宋体" w:cs="宋体"/>
          <w:b/>
          <w:bCs/>
          <w:color w:val="auto"/>
          <w:sz w:val="28"/>
          <w:szCs w:val="28"/>
        </w:rPr>
        <w:t>10</w:t>
      </w:r>
      <w:r>
        <w:rPr>
          <w:rFonts w:hint="eastAsia" w:ascii="宋体" w:hAnsi="宋体" w:cs="宋体"/>
          <w:b/>
          <w:color w:val="auto"/>
          <w:kern w:val="0"/>
          <w:sz w:val="28"/>
          <w:szCs w:val="28"/>
        </w:rPr>
        <w:t>、</w:t>
      </w:r>
      <w:r>
        <w:rPr>
          <w:rFonts w:hint="eastAsia" w:ascii="宋体" w:hAnsi="宋体" w:cs="宋体"/>
          <w:b/>
          <w:color w:val="auto"/>
          <w:kern w:val="0"/>
          <w:sz w:val="28"/>
          <w:szCs w:val="28"/>
          <w:lang w:val="zh-CN"/>
        </w:rPr>
        <w:t>投标单位（投标人）反商业贿赂承诺书</w:t>
      </w:r>
    </w:p>
    <w:p w14:paraId="2EAC54DC">
      <w:pPr>
        <w:autoSpaceDE w:val="0"/>
        <w:autoSpaceDN w:val="0"/>
        <w:adjustRightInd w:val="0"/>
        <w:ind w:left="220"/>
        <w:jc w:val="left"/>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 xml:space="preserve">   </w:t>
      </w:r>
    </w:p>
    <w:p w14:paraId="24405B3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Cs/>
          <w:color w:val="auto"/>
          <w:sz w:val="24"/>
          <w:szCs w:val="24"/>
          <w:lang w:val="zh-CN"/>
        </w:rPr>
      </w:pPr>
      <w:r>
        <w:rPr>
          <w:rFonts w:hint="eastAsia" w:ascii="宋体" w:hAnsi="宋体" w:cs="宋体"/>
          <w:color w:val="auto"/>
          <w:kern w:val="0"/>
          <w:sz w:val="24"/>
          <w:szCs w:val="24"/>
          <w:lang w:val="zh-CN"/>
        </w:rPr>
        <w:t>我公司承诺在</w:t>
      </w:r>
      <w:r>
        <w:rPr>
          <w:rFonts w:hint="eastAsia" w:ascii="宋体" w:hAnsi="宋体" w:cs="宋体"/>
          <w:bCs/>
          <w:color w:val="auto"/>
          <w:sz w:val="24"/>
          <w:szCs w:val="24"/>
          <w:u w:val="single"/>
          <w:lang w:val="zh-CN"/>
        </w:rPr>
        <w:t xml:space="preserve">                             </w:t>
      </w:r>
      <w:r>
        <w:rPr>
          <w:rFonts w:hint="eastAsia" w:ascii="宋体" w:hAnsi="宋体" w:cs="宋体"/>
          <w:color w:val="auto"/>
          <w:kern w:val="0"/>
          <w:sz w:val="24"/>
          <w:szCs w:val="24"/>
          <w:lang w:val="zh-CN"/>
        </w:rPr>
        <w:t xml:space="preserve">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14:paraId="53F8C212">
      <w:pPr>
        <w:spacing w:before="100" w:beforeAutospacing="1" w:after="100" w:afterAutospacing="1"/>
        <w:rPr>
          <w:rFonts w:hint="eastAsia" w:ascii="宋体" w:hAnsi="宋体" w:cs="宋体"/>
          <w:color w:val="auto"/>
          <w:sz w:val="24"/>
          <w:szCs w:val="24"/>
        </w:rPr>
      </w:pPr>
      <w:r>
        <w:rPr>
          <w:rFonts w:hint="eastAsia" w:ascii="宋体" w:hAnsi="宋体" w:cs="宋体"/>
          <w:color w:val="auto"/>
          <w:sz w:val="24"/>
          <w:szCs w:val="24"/>
        </w:rPr>
        <w:t xml:space="preserve">  </w:t>
      </w:r>
    </w:p>
    <w:p w14:paraId="093A0C00">
      <w:pPr>
        <w:spacing w:before="100" w:beforeAutospacing="1" w:after="100" w:afterAutospacing="1"/>
        <w:rPr>
          <w:rFonts w:hint="eastAsia" w:ascii="宋体" w:hAnsi="宋体" w:cs="宋体"/>
          <w:color w:val="auto"/>
          <w:sz w:val="24"/>
          <w:szCs w:val="24"/>
        </w:rPr>
      </w:pPr>
    </w:p>
    <w:p w14:paraId="12EB1F37">
      <w:pPr>
        <w:spacing w:before="100" w:beforeAutospacing="1" w:after="100" w:afterAutospacing="1"/>
        <w:rPr>
          <w:rFonts w:hint="eastAsia" w:ascii="宋体" w:hAnsi="宋体" w:cs="宋体"/>
          <w:color w:val="auto"/>
          <w:sz w:val="24"/>
          <w:szCs w:val="24"/>
        </w:rPr>
      </w:pPr>
    </w:p>
    <w:p w14:paraId="611931D5">
      <w:pPr>
        <w:spacing w:before="100" w:beforeAutospacing="1" w:after="100" w:afterAutospacing="1"/>
        <w:ind w:firstLine="240" w:firstLineChars="100"/>
        <w:rPr>
          <w:rFonts w:hint="eastAsia" w:ascii="宋体" w:hAnsi="宋体" w:cs="宋体"/>
          <w:color w:val="auto"/>
          <w:sz w:val="24"/>
          <w:szCs w:val="24"/>
          <w:u w:val="single"/>
        </w:rPr>
      </w:pPr>
      <w:r>
        <w:rPr>
          <w:rFonts w:hint="eastAsia" w:ascii="宋体" w:hAnsi="宋体" w:cs="宋体"/>
          <w:color w:val="auto"/>
          <w:sz w:val="24"/>
          <w:szCs w:val="24"/>
        </w:rPr>
        <w:t xml:space="preserve">投标单位： </w:t>
      </w:r>
      <w:r>
        <w:rPr>
          <w:rFonts w:hint="eastAsia" w:ascii="宋体" w:hAnsi="宋体" w:cs="宋体"/>
          <w:color w:val="auto"/>
          <w:sz w:val="24"/>
          <w:szCs w:val="24"/>
          <w:u w:val="single"/>
        </w:rPr>
        <w:t xml:space="preserve">                       （盖单位章）   </w:t>
      </w:r>
    </w:p>
    <w:p w14:paraId="1E99A2B4">
      <w:pPr>
        <w:rPr>
          <w:rFonts w:hint="eastAsia" w:ascii="宋体" w:hAnsi="宋体" w:cs="宋体"/>
          <w:color w:val="auto"/>
          <w:sz w:val="24"/>
          <w:szCs w:val="24"/>
          <w:lang w:val="zh-CN"/>
        </w:rPr>
      </w:pPr>
      <w:r>
        <w:rPr>
          <w:rFonts w:hint="eastAsia" w:ascii="宋体" w:hAnsi="宋体" w:cs="宋体"/>
          <w:color w:val="auto"/>
          <w:sz w:val="24"/>
          <w:szCs w:val="24"/>
        </w:rPr>
        <w:t xml:space="preserve">  法定代表人或授权代表人（签字或盖章）：</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0703A391">
      <w:pPr>
        <w:spacing w:before="100" w:beforeAutospacing="1" w:after="100" w:afterAutospacing="1"/>
        <w:rPr>
          <w:rFonts w:hint="eastAsia" w:ascii="宋体" w:hAnsi="宋体" w:cs="宋体"/>
          <w:color w:val="auto"/>
          <w:sz w:val="24"/>
          <w:szCs w:val="24"/>
          <w:lang w:val="zh-CN"/>
        </w:rPr>
      </w:pPr>
      <w:r>
        <w:rPr>
          <w:rFonts w:hint="eastAsia" w:ascii="宋体" w:hAnsi="宋体" w:cs="宋体"/>
          <w:color w:val="auto"/>
          <w:sz w:val="24"/>
          <w:szCs w:val="24"/>
        </w:rPr>
        <w:t xml:space="preserve">  </w:t>
      </w:r>
      <w:r>
        <w:rPr>
          <w:rFonts w:hint="eastAsia" w:ascii="宋体" w:hAnsi="宋体" w:cs="宋体"/>
          <w:color w:val="auto"/>
          <w:sz w:val="24"/>
          <w:szCs w:val="24"/>
          <w:lang w:val="zh-CN"/>
        </w:rPr>
        <w:t>项目经办人签字：</w:t>
      </w:r>
      <w:r>
        <w:rPr>
          <w:rFonts w:hint="eastAsia" w:ascii="宋体" w:hAnsi="宋体" w:cs="宋体"/>
          <w:color w:val="auto"/>
          <w:sz w:val="24"/>
          <w:szCs w:val="24"/>
          <w:u w:val="single"/>
        </w:rPr>
        <w:t xml:space="preserve">                                  </w:t>
      </w:r>
    </w:p>
    <w:p w14:paraId="31A6B2CA">
      <w:pPr>
        <w:spacing w:before="100" w:beforeAutospacing="1" w:after="100" w:afterAutospacing="1"/>
        <w:rPr>
          <w:rFonts w:hint="eastAsia" w:ascii="宋体" w:hAnsi="宋体" w:cs="宋体"/>
          <w:color w:val="auto"/>
          <w:sz w:val="24"/>
          <w:szCs w:val="24"/>
        </w:rPr>
      </w:pPr>
      <w:r>
        <w:rPr>
          <w:rFonts w:hint="eastAsia" w:ascii="宋体" w:hAnsi="宋体" w:cs="宋体"/>
          <w:color w:val="auto"/>
          <w:sz w:val="24"/>
          <w:szCs w:val="24"/>
          <w:lang w:val="zh-CN"/>
        </w:rPr>
        <w:t xml:space="preserve"> </w:t>
      </w:r>
      <w:r>
        <w:rPr>
          <w:rFonts w:hint="eastAsia" w:ascii="宋体" w:hAnsi="宋体" w:cs="宋体"/>
          <w:color w:val="auto"/>
          <w:sz w:val="24"/>
          <w:szCs w:val="24"/>
        </w:rPr>
        <w:t xml:space="preserve"> 日期：   年   月   日</w:t>
      </w:r>
    </w:p>
    <w:p w14:paraId="6325C34D">
      <w:pPr>
        <w:autoSpaceDE w:val="0"/>
        <w:autoSpaceDN w:val="0"/>
        <w:adjustRightInd w:val="0"/>
        <w:ind w:left="220"/>
        <w:jc w:val="left"/>
        <w:rPr>
          <w:rFonts w:hint="eastAsia" w:ascii="宋体" w:hAnsi="宋体" w:cs="宋体"/>
          <w:color w:val="auto"/>
          <w:kern w:val="0"/>
          <w:sz w:val="24"/>
          <w:szCs w:val="24"/>
          <w:lang w:val="zh-CN"/>
        </w:rPr>
      </w:pPr>
    </w:p>
    <w:p w14:paraId="3AC24B99">
      <w:pPr>
        <w:autoSpaceDE w:val="0"/>
        <w:autoSpaceDN w:val="0"/>
        <w:adjustRightInd w:val="0"/>
        <w:ind w:left="220"/>
        <w:jc w:val="left"/>
        <w:rPr>
          <w:rFonts w:hint="eastAsia" w:ascii="宋体" w:hAnsi="宋体" w:cs="宋体"/>
          <w:color w:val="auto"/>
          <w:kern w:val="0"/>
          <w:sz w:val="24"/>
          <w:szCs w:val="24"/>
          <w:lang w:val="zh-CN"/>
        </w:rPr>
      </w:pPr>
    </w:p>
    <w:p w14:paraId="4ADAF244">
      <w:pPr>
        <w:autoSpaceDE w:val="0"/>
        <w:autoSpaceDN w:val="0"/>
        <w:adjustRightInd w:val="0"/>
        <w:ind w:left="220"/>
        <w:jc w:val="left"/>
        <w:rPr>
          <w:rFonts w:hint="eastAsia" w:ascii="宋体" w:hAnsi="宋体" w:cs="宋体"/>
          <w:color w:val="auto"/>
          <w:kern w:val="0"/>
          <w:sz w:val="24"/>
          <w:szCs w:val="24"/>
          <w:lang w:val="zh-CN"/>
        </w:rPr>
      </w:pPr>
    </w:p>
    <w:p w14:paraId="4C8CF1B2">
      <w:pPr>
        <w:autoSpaceDE w:val="0"/>
        <w:autoSpaceDN w:val="0"/>
        <w:adjustRightInd w:val="0"/>
        <w:ind w:left="220"/>
        <w:jc w:val="left"/>
        <w:rPr>
          <w:rFonts w:hint="eastAsia" w:ascii="宋体" w:hAnsi="宋体" w:cs="宋体"/>
          <w:color w:val="auto"/>
          <w:kern w:val="0"/>
          <w:sz w:val="24"/>
          <w:szCs w:val="24"/>
          <w:lang w:val="zh-CN"/>
        </w:rPr>
      </w:pPr>
    </w:p>
    <w:p w14:paraId="56210F15">
      <w:pPr>
        <w:autoSpaceDE w:val="0"/>
        <w:autoSpaceDN w:val="0"/>
        <w:adjustRightInd w:val="0"/>
        <w:ind w:left="220"/>
        <w:jc w:val="left"/>
        <w:rPr>
          <w:rFonts w:hint="eastAsia" w:ascii="宋体" w:hAnsi="宋体" w:cs="宋体"/>
          <w:color w:val="auto"/>
          <w:kern w:val="0"/>
          <w:sz w:val="24"/>
          <w:szCs w:val="24"/>
          <w:lang w:val="zh-CN"/>
        </w:rPr>
      </w:pPr>
    </w:p>
    <w:p w14:paraId="4D4C752A">
      <w:pPr>
        <w:autoSpaceDE w:val="0"/>
        <w:autoSpaceDN w:val="0"/>
        <w:adjustRightInd w:val="0"/>
        <w:ind w:left="220"/>
        <w:jc w:val="left"/>
        <w:rPr>
          <w:rFonts w:hint="eastAsia" w:ascii="宋体" w:hAnsi="宋体" w:cs="宋体"/>
          <w:color w:val="auto"/>
          <w:kern w:val="0"/>
          <w:sz w:val="24"/>
          <w:szCs w:val="24"/>
          <w:lang w:val="zh-CN"/>
        </w:rPr>
      </w:pPr>
    </w:p>
    <w:p w14:paraId="0937B29D">
      <w:pPr>
        <w:pStyle w:val="7"/>
        <w:spacing w:line="420" w:lineRule="exact"/>
        <w:ind w:firstLine="0" w:firstLineChars="0"/>
        <w:rPr>
          <w:rFonts w:hint="eastAsia" w:ascii="宋体" w:hAnsi="宋体" w:cs="宋体"/>
          <w:color w:val="auto"/>
        </w:rPr>
      </w:pPr>
    </w:p>
    <w:p w14:paraId="38CBE928">
      <w:pPr>
        <w:pStyle w:val="7"/>
        <w:spacing w:line="420" w:lineRule="exact"/>
        <w:ind w:firstLine="0" w:firstLineChars="0"/>
        <w:rPr>
          <w:rFonts w:hint="eastAsia" w:ascii="宋体" w:hAnsi="宋体" w:cs="宋体"/>
          <w:color w:val="auto"/>
        </w:rPr>
      </w:pPr>
    </w:p>
    <w:p w14:paraId="01BC7F3F">
      <w:pPr>
        <w:pStyle w:val="7"/>
        <w:spacing w:line="420" w:lineRule="exact"/>
        <w:ind w:firstLine="0" w:firstLineChars="0"/>
        <w:rPr>
          <w:rFonts w:hint="eastAsia" w:ascii="宋体" w:hAnsi="宋体" w:cs="宋体"/>
          <w:color w:val="auto"/>
        </w:rPr>
      </w:pPr>
    </w:p>
    <w:p w14:paraId="376A53F4">
      <w:pPr>
        <w:pStyle w:val="7"/>
        <w:spacing w:line="420" w:lineRule="exact"/>
        <w:ind w:firstLine="0" w:firstLineChars="0"/>
        <w:rPr>
          <w:rFonts w:hint="eastAsia" w:ascii="宋体" w:hAnsi="宋体" w:cs="宋体"/>
          <w:color w:val="auto"/>
        </w:rPr>
      </w:pPr>
    </w:p>
    <w:p w14:paraId="052376BD">
      <w:pPr>
        <w:pStyle w:val="7"/>
        <w:spacing w:line="420" w:lineRule="exact"/>
        <w:ind w:firstLine="0" w:firstLineChars="0"/>
        <w:rPr>
          <w:rFonts w:hint="eastAsia" w:ascii="宋体" w:hAnsi="宋体" w:cs="宋体"/>
          <w:color w:val="auto"/>
        </w:rPr>
      </w:pPr>
    </w:p>
    <w:p w14:paraId="3C8ED287">
      <w:pPr>
        <w:jc w:val="left"/>
        <w:rPr>
          <w:rFonts w:hint="eastAsia" w:ascii="宋体" w:hAnsi="宋体" w:cs="宋体"/>
          <w:b/>
          <w:bCs/>
          <w:color w:val="auto"/>
          <w:sz w:val="24"/>
          <w:szCs w:val="24"/>
        </w:rPr>
      </w:pPr>
    </w:p>
    <w:p w14:paraId="4E2F62C7">
      <w:pPr>
        <w:rPr>
          <w:rFonts w:hint="eastAsia" w:ascii="宋体" w:hAnsi="宋体" w:cs="宋体"/>
          <w:b/>
          <w:bCs/>
          <w:color w:val="auto"/>
          <w:sz w:val="24"/>
          <w:szCs w:val="24"/>
        </w:rPr>
      </w:pPr>
      <w:r>
        <w:rPr>
          <w:rFonts w:hint="eastAsia" w:ascii="宋体" w:hAnsi="宋体" w:cs="宋体"/>
          <w:b/>
          <w:bCs/>
          <w:color w:val="auto"/>
          <w:sz w:val="24"/>
          <w:szCs w:val="24"/>
        </w:rPr>
        <w:br w:type="page"/>
      </w:r>
    </w:p>
    <w:p w14:paraId="0AED4F0D">
      <w:pPr>
        <w:jc w:val="center"/>
        <w:rPr>
          <w:rFonts w:hint="eastAsia" w:ascii="宋体" w:hAnsi="宋体" w:cs="宋体"/>
          <w:b/>
          <w:bCs/>
          <w:color w:val="auto"/>
          <w:sz w:val="28"/>
          <w:szCs w:val="28"/>
        </w:rPr>
      </w:pPr>
      <w:r>
        <w:rPr>
          <w:rFonts w:hint="eastAsia" w:ascii="宋体" w:hAnsi="宋体" w:cs="宋体"/>
          <w:b/>
          <w:bCs/>
          <w:color w:val="auto"/>
          <w:sz w:val="28"/>
          <w:szCs w:val="28"/>
        </w:rPr>
        <w:t>11、投标保证金汇款凭证</w:t>
      </w:r>
    </w:p>
    <w:p w14:paraId="4CFE68A2">
      <w:pPr>
        <w:rPr>
          <w:rFonts w:hint="eastAsia" w:ascii="宋体" w:hAnsi="宋体" w:cs="宋体"/>
          <w:color w:val="auto"/>
        </w:rPr>
      </w:pPr>
    </w:p>
    <w:p w14:paraId="5700F08F">
      <w:pPr>
        <w:rPr>
          <w:rFonts w:hint="eastAsia" w:ascii="宋体" w:hAnsi="宋体" w:cs="宋体"/>
          <w:color w:val="auto"/>
        </w:rPr>
      </w:pPr>
    </w:p>
    <w:p w14:paraId="5A197264">
      <w:pPr>
        <w:rPr>
          <w:rFonts w:hint="eastAsia" w:ascii="宋体" w:hAnsi="宋体" w:cs="宋体"/>
          <w:color w:val="auto"/>
        </w:rPr>
      </w:pPr>
    </w:p>
    <w:tbl>
      <w:tblPr>
        <w:tblStyle w:val="27"/>
        <w:tblpPr w:leftFromText="180" w:rightFromText="180" w:vertAnchor="text" w:horzAnchor="page" w:tblpXSpec="center" w:tblpY="388"/>
        <w:tblOverlap w:val="never"/>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5F54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jc w:val="center"/>
        </w:trPr>
        <w:tc>
          <w:tcPr>
            <w:tcW w:w="8680" w:type="dxa"/>
          </w:tcPr>
          <w:p w14:paraId="1D465B5E">
            <w:pPr>
              <w:keepNext/>
              <w:keepLines/>
              <w:spacing w:before="260" w:after="260" w:line="416" w:lineRule="auto"/>
              <w:jc w:val="center"/>
              <w:rPr>
                <w:rFonts w:hint="eastAsia" w:ascii="宋体" w:hAnsi="宋体" w:cs="宋体"/>
                <w:color w:val="auto"/>
              </w:rPr>
            </w:pPr>
          </w:p>
          <w:p w14:paraId="2F2BF459">
            <w:pPr>
              <w:rPr>
                <w:rFonts w:hint="eastAsia" w:ascii="宋体" w:hAnsi="宋体" w:cs="宋体"/>
                <w:color w:val="auto"/>
              </w:rPr>
            </w:pPr>
          </w:p>
          <w:p w14:paraId="4449D3F2">
            <w:pPr>
              <w:rPr>
                <w:rFonts w:hint="eastAsia" w:ascii="宋体" w:hAnsi="宋体" w:cs="宋体"/>
                <w:color w:val="auto"/>
              </w:rPr>
            </w:pPr>
            <w:r>
              <w:rPr>
                <w:rFonts w:hint="eastAsia" w:ascii="宋体" w:hAnsi="宋体" w:cs="宋体"/>
                <w:color w:val="auto"/>
              </w:rPr>
              <w:t xml:space="preserve">                   保证金缴纳凭证</w:t>
            </w:r>
          </w:p>
        </w:tc>
      </w:tr>
    </w:tbl>
    <w:p w14:paraId="537161BF">
      <w:pPr>
        <w:rPr>
          <w:rFonts w:hint="eastAsia" w:ascii="宋体" w:hAnsi="宋体" w:cs="宋体"/>
          <w:color w:val="auto"/>
        </w:rPr>
      </w:pPr>
    </w:p>
    <w:p w14:paraId="3FBFCFDA">
      <w:pPr>
        <w:pStyle w:val="7"/>
        <w:rPr>
          <w:rFonts w:hint="eastAsia" w:ascii="宋体" w:hAnsi="宋体" w:cs="宋体"/>
          <w:color w:val="auto"/>
        </w:rPr>
      </w:pPr>
    </w:p>
    <w:p w14:paraId="3C95B483">
      <w:pPr>
        <w:pStyle w:val="7"/>
        <w:rPr>
          <w:rFonts w:hint="eastAsia" w:ascii="宋体" w:hAnsi="宋体" w:cs="宋体"/>
          <w:color w:val="auto"/>
        </w:rPr>
      </w:pPr>
    </w:p>
    <w:p w14:paraId="563AE905">
      <w:pPr>
        <w:pStyle w:val="7"/>
        <w:rPr>
          <w:rFonts w:hint="eastAsia" w:ascii="宋体" w:hAnsi="宋体" w:cs="宋体"/>
          <w:color w:val="auto"/>
        </w:rPr>
      </w:pPr>
    </w:p>
    <w:p w14:paraId="2D0A4015">
      <w:pPr>
        <w:pStyle w:val="7"/>
        <w:rPr>
          <w:rFonts w:hint="eastAsia" w:ascii="宋体" w:hAnsi="宋体" w:cs="宋体"/>
          <w:color w:val="auto"/>
        </w:rPr>
      </w:pPr>
    </w:p>
    <w:p w14:paraId="7D49223E">
      <w:pPr>
        <w:pStyle w:val="7"/>
        <w:rPr>
          <w:rFonts w:hint="eastAsia" w:ascii="宋体" w:hAnsi="宋体" w:cs="宋体"/>
          <w:color w:val="auto"/>
        </w:rPr>
      </w:pPr>
    </w:p>
    <w:p w14:paraId="79B3A2B3">
      <w:pPr>
        <w:spacing w:line="600" w:lineRule="exact"/>
        <w:jc w:val="center"/>
        <w:rPr>
          <w:rFonts w:hint="eastAsia" w:ascii="宋体" w:hAnsi="宋体" w:cs="宋体"/>
          <w:b/>
          <w:bCs/>
          <w:color w:val="auto"/>
          <w:sz w:val="44"/>
          <w:szCs w:val="44"/>
        </w:rPr>
      </w:pPr>
    </w:p>
    <w:p w14:paraId="7B75A8BB">
      <w:pPr>
        <w:pStyle w:val="25"/>
        <w:ind w:firstLine="883"/>
        <w:rPr>
          <w:rFonts w:hint="eastAsia" w:cs="宋体"/>
          <w:b/>
          <w:bCs/>
          <w:color w:val="auto"/>
          <w:sz w:val="44"/>
          <w:szCs w:val="44"/>
        </w:rPr>
      </w:pPr>
    </w:p>
    <w:p w14:paraId="6BD709F0">
      <w:pPr>
        <w:pStyle w:val="25"/>
        <w:ind w:firstLine="883"/>
        <w:rPr>
          <w:rFonts w:hint="eastAsia" w:cs="宋体"/>
          <w:b/>
          <w:bCs/>
          <w:color w:val="auto"/>
          <w:sz w:val="44"/>
          <w:szCs w:val="44"/>
        </w:rPr>
      </w:pPr>
    </w:p>
    <w:p w14:paraId="33A52DB4">
      <w:pPr>
        <w:spacing w:line="600" w:lineRule="exact"/>
        <w:jc w:val="center"/>
        <w:rPr>
          <w:rFonts w:hint="eastAsia" w:ascii="宋体" w:hAnsi="宋体" w:cs="宋体"/>
          <w:b/>
          <w:bCs/>
          <w:color w:val="auto"/>
          <w:sz w:val="44"/>
          <w:szCs w:val="44"/>
        </w:rPr>
      </w:pPr>
    </w:p>
    <w:p w14:paraId="62D7336C">
      <w:pPr>
        <w:spacing w:line="600" w:lineRule="exact"/>
        <w:jc w:val="center"/>
        <w:rPr>
          <w:rFonts w:hint="eastAsia" w:ascii="宋体" w:hAnsi="宋体" w:cs="宋体"/>
          <w:b/>
          <w:bCs/>
          <w:color w:val="auto"/>
          <w:sz w:val="44"/>
          <w:szCs w:val="44"/>
        </w:rPr>
      </w:pPr>
    </w:p>
    <w:p w14:paraId="74DC98B0">
      <w:pPr>
        <w:spacing w:line="600" w:lineRule="exact"/>
        <w:jc w:val="center"/>
        <w:rPr>
          <w:rFonts w:hint="eastAsia" w:ascii="宋体" w:hAnsi="宋体" w:cs="宋体"/>
          <w:b/>
          <w:bCs/>
          <w:color w:val="auto"/>
          <w:sz w:val="44"/>
          <w:szCs w:val="44"/>
        </w:rPr>
      </w:pPr>
    </w:p>
    <w:p w14:paraId="4DDA8BB4">
      <w:pPr>
        <w:spacing w:line="600" w:lineRule="exact"/>
        <w:jc w:val="center"/>
        <w:rPr>
          <w:rFonts w:hint="eastAsia" w:ascii="宋体" w:hAnsi="宋体" w:cs="宋体"/>
          <w:b/>
          <w:bCs/>
          <w:color w:val="auto"/>
          <w:sz w:val="44"/>
          <w:szCs w:val="44"/>
        </w:rPr>
      </w:pPr>
    </w:p>
    <w:p w14:paraId="542E444B">
      <w:pPr>
        <w:pStyle w:val="35"/>
        <w:rPr>
          <w:rFonts w:cs="宋体"/>
          <w:color w:val="auto"/>
        </w:rPr>
      </w:pPr>
    </w:p>
    <w:p w14:paraId="0DFECB2A">
      <w:pPr>
        <w:spacing w:line="600" w:lineRule="exact"/>
        <w:jc w:val="center"/>
        <w:rPr>
          <w:rFonts w:hint="eastAsia" w:ascii="宋体" w:hAnsi="宋体" w:cs="宋体"/>
          <w:b/>
          <w:bCs/>
          <w:color w:val="auto"/>
          <w:sz w:val="44"/>
          <w:szCs w:val="44"/>
        </w:rPr>
      </w:pPr>
    </w:p>
    <w:p w14:paraId="02C4BC8A">
      <w:pPr>
        <w:spacing w:line="600" w:lineRule="exact"/>
        <w:jc w:val="center"/>
        <w:rPr>
          <w:rFonts w:hint="eastAsia" w:ascii="宋体" w:hAnsi="宋体" w:cs="宋体"/>
          <w:b/>
          <w:bCs/>
          <w:color w:val="auto"/>
          <w:sz w:val="44"/>
          <w:szCs w:val="44"/>
        </w:rPr>
      </w:pPr>
    </w:p>
    <w:p w14:paraId="5081A90A">
      <w:pPr>
        <w:spacing w:line="600" w:lineRule="exact"/>
        <w:jc w:val="center"/>
        <w:rPr>
          <w:rFonts w:hint="eastAsia" w:ascii="宋体" w:hAnsi="宋体" w:cs="宋体"/>
          <w:b/>
          <w:bCs/>
          <w:color w:val="auto"/>
          <w:sz w:val="44"/>
          <w:szCs w:val="44"/>
        </w:rPr>
      </w:pPr>
    </w:p>
    <w:p w14:paraId="193EB33D">
      <w:pPr>
        <w:spacing w:line="600" w:lineRule="exact"/>
        <w:jc w:val="center"/>
        <w:rPr>
          <w:rFonts w:hint="eastAsia" w:ascii="宋体" w:hAnsi="宋体" w:cs="宋体"/>
          <w:b/>
          <w:bCs/>
          <w:color w:val="auto"/>
          <w:sz w:val="44"/>
          <w:szCs w:val="44"/>
        </w:rPr>
      </w:pPr>
    </w:p>
    <w:p w14:paraId="1E2CE84A">
      <w:pPr>
        <w:spacing w:line="600" w:lineRule="exact"/>
        <w:jc w:val="center"/>
        <w:rPr>
          <w:rFonts w:hint="eastAsia" w:ascii="宋体" w:hAnsi="宋体" w:cs="宋体"/>
          <w:b/>
          <w:bCs/>
          <w:color w:val="auto"/>
          <w:sz w:val="44"/>
          <w:szCs w:val="44"/>
        </w:rPr>
      </w:pPr>
    </w:p>
    <w:p w14:paraId="09947375">
      <w:pPr>
        <w:spacing w:line="600" w:lineRule="exact"/>
        <w:jc w:val="center"/>
        <w:rPr>
          <w:rFonts w:hint="eastAsia" w:ascii="宋体" w:hAnsi="宋体" w:cs="宋体"/>
          <w:b/>
          <w:bCs/>
          <w:color w:val="auto"/>
          <w:sz w:val="44"/>
          <w:szCs w:val="44"/>
        </w:rPr>
      </w:pPr>
    </w:p>
    <w:p w14:paraId="6871D511">
      <w:pPr>
        <w:spacing w:line="600" w:lineRule="exact"/>
        <w:jc w:val="center"/>
        <w:rPr>
          <w:rFonts w:hint="eastAsia" w:ascii="宋体" w:hAnsi="宋体" w:cs="宋体"/>
          <w:b/>
          <w:bCs/>
          <w:color w:val="auto"/>
          <w:sz w:val="44"/>
          <w:szCs w:val="44"/>
        </w:rPr>
      </w:pPr>
    </w:p>
    <w:p w14:paraId="156EE409">
      <w:pPr>
        <w:spacing w:line="600" w:lineRule="exact"/>
        <w:jc w:val="center"/>
        <w:rPr>
          <w:rFonts w:hint="eastAsia" w:ascii="宋体" w:hAnsi="宋体" w:cs="宋体"/>
          <w:b/>
          <w:bCs/>
          <w:color w:val="auto"/>
          <w:sz w:val="44"/>
          <w:szCs w:val="44"/>
        </w:rPr>
      </w:pPr>
      <w:r>
        <w:rPr>
          <w:rFonts w:hint="eastAsia" w:ascii="宋体" w:hAnsi="宋体" w:cs="宋体"/>
          <w:b/>
          <w:bCs/>
          <w:color w:val="auto"/>
          <w:sz w:val="44"/>
          <w:szCs w:val="44"/>
        </w:rPr>
        <w:t>第三部分</w:t>
      </w:r>
    </w:p>
    <w:p w14:paraId="5A2EDB93">
      <w:pPr>
        <w:spacing w:line="600" w:lineRule="exact"/>
        <w:jc w:val="center"/>
        <w:rPr>
          <w:rFonts w:hint="eastAsia" w:ascii="宋体" w:hAnsi="宋体" w:cs="宋体"/>
          <w:b/>
          <w:bCs/>
          <w:color w:val="auto"/>
          <w:sz w:val="44"/>
          <w:szCs w:val="44"/>
        </w:rPr>
      </w:pPr>
      <w:bookmarkStart w:id="184" w:name="_Toc25918"/>
      <w:bookmarkStart w:id="185" w:name="_Toc30654_WPSOffice_Level1"/>
      <w:bookmarkStart w:id="186" w:name="_Toc18705"/>
      <w:bookmarkStart w:id="187" w:name="_Toc25262_WPSOffice_Level1"/>
      <w:bookmarkStart w:id="188" w:name="_Toc4500"/>
      <w:r>
        <w:rPr>
          <w:rFonts w:hint="eastAsia" w:ascii="宋体" w:hAnsi="宋体" w:cs="宋体"/>
          <w:b/>
          <w:bCs/>
          <w:color w:val="auto"/>
          <w:sz w:val="44"/>
          <w:szCs w:val="44"/>
        </w:rPr>
        <w:t>技术部分</w:t>
      </w:r>
      <w:bookmarkEnd w:id="184"/>
      <w:bookmarkEnd w:id="185"/>
      <w:bookmarkEnd w:id="186"/>
      <w:bookmarkEnd w:id="187"/>
      <w:bookmarkEnd w:id="188"/>
    </w:p>
    <w:p w14:paraId="52AA79FB">
      <w:pPr>
        <w:ind w:left="2880" w:hanging="2880"/>
        <w:jc w:val="center"/>
        <w:rPr>
          <w:rFonts w:hint="eastAsia" w:ascii="宋体" w:hAnsi="宋体" w:cs="宋体"/>
          <w:b/>
          <w:color w:val="auto"/>
          <w:sz w:val="28"/>
          <w:szCs w:val="28"/>
        </w:rPr>
      </w:pPr>
    </w:p>
    <w:p w14:paraId="71167B61">
      <w:pPr>
        <w:rPr>
          <w:rFonts w:hint="eastAsia" w:ascii="宋体" w:hAnsi="宋体" w:cs="宋体"/>
          <w:b/>
          <w:color w:val="auto"/>
          <w:sz w:val="28"/>
          <w:szCs w:val="28"/>
        </w:rPr>
      </w:pPr>
    </w:p>
    <w:p w14:paraId="06883958">
      <w:pPr>
        <w:adjustRightInd w:val="0"/>
        <w:snapToGrid w:val="0"/>
        <w:spacing w:line="360" w:lineRule="auto"/>
        <w:ind w:right="105" w:rightChars="50"/>
        <w:jc w:val="left"/>
        <w:rPr>
          <w:rFonts w:hint="eastAsia" w:ascii="宋体" w:hAnsi="宋体" w:cs="宋体"/>
          <w:b/>
          <w:bCs/>
          <w:color w:val="auto"/>
          <w:sz w:val="24"/>
          <w:szCs w:val="24"/>
        </w:rPr>
      </w:pPr>
      <w:r>
        <w:rPr>
          <w:rFonts w:hint="eastAsia" w:ascii="宋体" w:hAnsi="宋体" w:cs="宋体"/>
          <w:b/>
          <w:color w:val="auto"/>
          <w:sz w:val="30"/>
        </w:rPr>
        <w:br w:type="page"/>
      </w:r>
      <w:bookmarkStart w:id="189" w:name="_Toc27850"/>
      <w:bookmarkStart w:id="190" w:name="_Toc11309"/>
      <w:bookmarkStart w:id="191" w:name="_Toc480"/>
    </w:p>
    <w:p w14:paraId="330C973F">
      <w:pPr>
        <w:jc w:val="left"/>
        <w:rPr>
          <w:rFonts w:hint="eastAsia" w:ascii="宋体" w:hAnsi="宋体" w:cs="宋体"/>
          <w:b/>
          <w:bCs/>
          <w:color w:val="auto"/>
          <w:sz w:val="28"/>
          <w:szCs w:val="28"/>
        </w:rPr>
      </w:pPr>
      <w:r>
        <w:rPr>
          <w:rFonts w:hint="eastAsia" w:ascii="宋体" w:hAnsi="宋体" w:cs="宋体"/>
          <w:b/>
          <w:bCs/>
          <w:color w:val="auto"/>
          <w:sz w:val="28"/>
          <w:szCs w:val="28"/>
        </w:rPr>
        <w:t>1、整体服务方案</w:t>
      </w:r>
    </w:p>
    <w:p w14:paraId="05132129">
      <w:pPr>
        <w:ind w:firstLine="482" w:firstLineChars="200"/>
        <w:jc w:val="left"/>
        <w:rPr>
          <w:rFonts w:hint="eastAsia" w:ascii="宋体" w:hAnsi="宋体" w:cs="宋体"/>
          <w:b/>
          <w:bCs/>
          <w:color w:val="auto"/>
          <w:sz w:val="24"/>
          <w:szCs w:val="24"/>
        </w:rPr>
      </w:pPr>
      <w:r>
        <w:rPr>
          <w:rFonts w:hint="eastAsia" w:ascii="宋体" w:hAnsi="宋体" w:cs="宋体"/>
          <w:b/>
          <w:bCs/>
          <w:color w:val="auto"/>
          <w:sz w:val="24"/>
          <w:szCs w:val="24"/>
        </w:rPr>
        <w:t>投标人应按竞争性磋商文件要求的内容和顺序，对完成整个项目提出相应的方案及提供认为必要的其它内容。对含糊不清或欠具体明确之处，评委会可视为投标人履约能力不足或响应不全处理；</w:t>
      </w:r>
      <w:bookmarkEnd w:id="189"/>
      <w:bookmarkEnd w:id="190"/>
      <w:bookmarkEnd w:id="191"/>
    </w:p>
    <w:p w14:paraId="75B64294">
      <w:pPr>
        <w:jc w:val="center"/>
        <w:rPr>
          <w:rFonts w:hint="eastAsia" w:ascii="宋体" w:hAnsi="宋体" w:cs="宋体"/>
          <w:b/>
          <w:bCs/>
          <w:color w:val="auto"/>
          <w:sz w:val="24"/>
          <w:szCs w:val="24"/>
        </w:rPr>
      </w:pPr>
      <w:bookmarkStart w:id="192" w:name="_Toc9535"/>
      <w:bookmarkStart w:id="193" w:name="_Toc16871"/>
      <w:bookmarkStart w:id="194" w:name="_Toc24349"/>
    </w:p>
    <w:p w14:paraId="6C252BDD">
      <w:pPr>
        <w:pStyle w:val="25"/>
        <w:ind w:firstLine="482"/>
        <w:rPr>
          <w:rFonts w:hint="eastAsia" w:cs="宋体"/>
          <w:b/>
          <w:bCs/>
          <w:color w:val="auto"/>
          <w:szCs w:val="24"/>
        </w:rPr>
      </w:pPr>
    </w:p>
    <w:p w14:paraId="6910A01D">
      <w:pPr>
        <w:pStyle w:val="25"/>
        <w:ind w:firstLine="482"/>
        <w:rPr>
          <w:rFonts w:hint="eastAsia" w:cs="宋体"/>
          <w:b/>
          <w:bCs/>
          <w:color w:val="auto"/>
          <w:szCs w:val="24"/>
        </w:rPr>
      </w:pPr>
    </w:p>
    <w:p w14:paraId="3DDB68DA">
      <w:pPr>
        <w:pStyle w:val="25"/>
        <w:ind w:firstLine="482"/>
        <w:rPr>
          <w:rFonts w:hint="eastAsia" w:cs="宋体"/>
          <w:b/>
          <w:bCs/>
          <w:color w:val="auto"/>
          <w:szCs w:val="24"/>
        </w:rPr>
      </w:pPr>
    </w:p>
    <w:p w14:paraId="255257C0">
      <w:pPr>
        <w:jc w:val="left"/>
        <w:rPr>
          <w:rFonts w:hint="eastAsia" w:ascii="宋体" w:hAnsi="宋体" w:cs="宋体"/>
          <w:b/>
          <w:bCs/>
          <w:color w:val="auto"/>
          <w:sz w:val="24"/>
          <w:szCs w:val="24"/>
        </w:rPr>
      </w:pPr>
      <w:r>
        <w:rPr>
          <w:rFonts w:hint="eastAsia" w:ascii="宋体" w:hAnsi="宋体" w:cs="宋体"/>
          <w:b/>
          <w:bCs/>
          <w:color w:val="auto"/>
          <w:sz w:val="28"/>
          <w:szCs w:val="28"/>
        </w:rPr>
        <w:t>2 、对本次投标的详细说明(投标人视需要自行编写)；</w:t>
      </w:r>
    </w:p>
    <w:bookmarkEnd w:id="192"/>
    <w:bookmarkEnd w:id="193"/>
    <w:bookmarkEnd w:id="194"/>
    <w:p w14:paraId="265ED44F">
      <w:pPr>
        <w:pStyle w:val="25"/>
        <w:ind w:firstLine="480"/>
        <w:rPr>
          <w:rFonts w:hint="eastAsia" w:cs="宋体"/>
          <w:color w:val="auto"/>
        </w:rPr>
      </w:pPr>
    </w:p>
    <w:p w14:paraId="1F0391C6">
      <w:pPr>
        <w:pStyle w:val="25"/>
        <w:ind w:firstLine="480"/>
        <w:rPr>
          <w:rFonts w:hint="eastAsia" w:cs="宋体"/>
          <w:color w:val="auto"/>
        </w:rPr>
      </w:pPr>
    </w:p>
    <w:p w14:paraId="66FC1FCF">
      <w:pPr>
        <w:pStyle w:val="25"/>
        <w:ind w:firstLine="480"/>
        <w:rPr>
          <w:rFonts w:hint="eastAsia" w:cs="宋体"/>
          <w:color w:val="auto"/>
        </w:rPr>
      </w:pPr>
    </w:p>
    <w:p w14:paraId="715D41F4">
      <w:pPr>
        <w:pStyle w:val="25"/>
        <w:ind w:firstLine="480"/>
        <w:rPr>
          <w:rFonts w:hint="eastAsia" w:cs="宋体"/>
          <w:color w:val="auto"/>
        </w:rPr>
      </w:pPr>
    </w:p>
    <w:p w14:paraId="21B83437">
      <w:pPr>
        <w:pStyle w:val="25"/>
        <w:ind w:firstLine="480"/>
        <w:rPr>
          <w:rFonts w:hint="eastAsia" w:cs="宋体"/>
          <w:color w:val="auto"/>
        </w:rPr>
      </w:pPr>
    </w:p>
    <w:p w14:paraId="32B7DE26">
      <w:pPr>
        <w:pStyle w:val="25"/>
        <w:ind w:firstLine="480"/>
        <w:rPr>
          <w:rFonts w:hint="eastAsia" w:cs="宋体"/>
          <w:color w:val="auto"/>
        </w:rPr>
      </w:pPr>
    </w:p>
    <w:p w14:paraId="2A594969">
      <w:pPr>
        <w:jc w:val="both"/>
        <w:rPr>
          <w:rFonts w:hint="eastAsia" w:ascii="宋体" w:hAnsi="宋体" w:eastAsia="宋体" w:cs="宋体"/>
          <w:b/>
          <w:bCs/>
          <w:color w:val="auto"/>
          <w:sz w:val="24"/>
          <w:szCs w:val="24"/>
          <w:lang w:eastAsia="zh-CN"/>
        </w:rPr>
      </w:pPr>
      <w:bookmarkStart w:id="195" w:name="_Toc21223"/>
      <w:bookmarkStart w:id="196" w:name="_Toc12179"/>
      <w:bookmarkStart w:id="197" w:name="_Toc25904"/>
      <w:r>
        <w:rPr>
          <w:rFonts w:hint="eastAsia" w:ascii="宋体" w:hAnsi="宋体" w:cs="宋体"/>
          <w:b/>
          <w:bCs/>
          <w:color w:val="auto"/>
          <w:sz w:val="28"/>
          <w:szCs w:val="28"/>
        </w:rPr>
        <w:t>3、投标服务的质量保障（证）措施及技术支持等</w:t>
      </w:r>
      <w:r>
        <w:rPr>
          <w:rFonts w:hint="eastAsia" w:ascii="宋体" w:hAnsi="宋体" w:cs="宋体"/>
          <w:b/>
          <w:bCs/>
          <w:color w:val="auto"/>
          <w:sz w:val="24"/>
          <w:szCs w:val="24"/>
        </w:rPr>
        <w:t>（</w:t>
      </w:r>
      <w:r>
        <w:rPr>
          <w:rFonts w:hint="eastAsia" w:ascii="宋体" w:hAnsi="宋体" w:cs="宋体"/>
          <w:b/>
          <w:bCs/>
          <w:color w:val="auto"/>
          <w:sz w:val="28"/>
          <w:szCs w:val="28"/>
        </w:rPr>
        <w:t>根据竞争性磋商文件要求自拟）</w:t>
      </w:r>
      <w:r>
        <w:rPr>
          <w:rFonts w:hint="eastAsia" w:ascii="宋体" w:hAnsi="宋体" w:cs="宋体"/>
          <w:b/>
          <w:bCs/>
          <w:color w:val="auto"/>
          <w:sz w:val="28"/>
          <w:szCs w:val="28"/>
          <w:lang w:eastAsia="zh-CN"/>
        </w:rPr>
        <w:t>；</w:t>
      </w:r>
    </w:p>
    <w:p w14:paraId="52D22C2C">
      <w:pPr>
        <w:jc w:val="left"/>
        <w:rPr>
          <w:rFonts w:hint="eastAsia" w:ascii="宋体" w:hAnsi="宋体" w:cs="宋体"/>
          <w:b/>
          <w:bCs/>
          <w:color w:val="auto"/>
          <w:sz w:val="28"/>
          <w:szCs w:val="28"/>
        </w:rPr>
      </w:pPr>
    </w:p>
    <w:bookmarkEnd w:id="195"/>
    <w:bookmarkEnd w:id="196"/>
    <w:bookmarkEnd w:id="197"/>
    <w:p w14:paraId="5C8B2668">
      <w:pPr>
        <w:jc w:val="left"/>
        <w:rPr>
          <w:rFonts w:hint="eastAsia" w:ascii="宋体" w:hAnsi="宋体" w:cs="宋体"/>
          <w:b/>
          <w:bCs/>
          <w:color w:val="auto"/>
          <w:sz w:val="24"/>
          <w:szCs w:val="24"/>
        </w:rPr>
      </w:pPr>
    </w:p>
    <w:p w14:paraId="614D3D05">
      <w:pPr>
        <w:jc w:val="center"/>
        <w:rPr>
          <w:rFonts w:hint="eastAsia" w:ascii="宋体" w:hAnsi="宋体" w:cs="宋体"/>
          <w:b/>
          <w:bCs/>
          <w:color w:val="auto"/>
          <w:sz w:val="28"/>
          <w:szCs w:val="28"/>
        </w:rPr>
      </w:pPr>
      <w:bookmarkStart w:id="198" w:name="_Toc29463"/>
      <w:bookmarkStart w:id="199" w:name="_Toc4776"/>
      <w:bookmarkStart w:id="200" w:name="_Toc17596"/>
    </w:p>
    <w:p w14:paraId="6B2ACF77">
      <w:pPr>
        <w:rPr>
          <w:rFonts w:hint="eastAsia" w:ascii="宋体" w:hAnsi="宋体" w:cs="宋体"/>
          <w:b/>
          <w:bCs/>
          <w:color w:val="auto"/>
          <w:sz w:val="28"/>
          <w:szCs w:val="28"/>
        </w:rPr>
      </w:pPr>
      <w:r>
        <w:rPr>
          <w:rFonts w:hint="eastAsia" w:ascii="宋体" w:hAnsi="宋体" w:cs="宋体"/>
          <w:b/>
          <w:bCs/>
          <w:color w:val="auto"/>
          <w:sz w:val="28"/>
          <w:szCs w:val="28"/>
        </w:rPr>
        <w:br w:type="page"/>
      </w:r>
    </w:p>
    <w:p w14:paraId="64660296">
      <w:pPr>
        <w:jc w:val="center"/>
        <w:rPr>
          <w:rFonts w:hint="eastAsia" w:ascii="宋体" w:hAnsi="宋体" w:cs="宋体"/>
          <w:b/>
          <w:bCs/>
          <w:color w:val="auto"/>
          <w:sz w:val="24"/>
          <w:szCs w:val="24"/>
        </w:rPr>
      </w:pPr>
      <w:r>
        <w:rPr>
          <w:rFonts w:hint="eastAsia" w:ascii="宋体" w:hAnsi="宋体" w:cs="宋体"/>
          <w:b/>
          <w:bCs/>
          <w:color w:val="auto"/>
          <w:sz w:val="28"/>
          <w:szCs w:val="28"/>
        </w:rPr>
        <w:t>4、关于对本投标文件（响应文件）中资料真实性的承诺</w:t>
      </w:r>
      <w:bookmarkEnd w:id="198"/>
      <w:bookmarkEnd w:id="199"/>
      <w:bookmarkEnd w:id="200"/>
    </w:p>
    <w:p w14:paraId="387E2629">
      <w:pPr>
        <w:spacing w:line="640" w:lineRule="exact"/>
        <w:rPr>
          <w:rFonts w:hint="eastAsia" w:ascii="宋体" w:hAnsi="宋体" w:cs="宋体"/>
          <w:color w:val="auto"/>
        </w:rPr>
      </w:pPr>
    </w:p>
    <w:p w14:paraId="5A8ABB6C">
      <w:pPr>
        <w:spacing w:line="640" w:lineRule="exact"/>
        <w:rPr>
          <w:rFonts w:hint="eastAsia" w:ascii="宋体" w:hAnsi="宋体" w:cs="宋体"/>
          <w:color w:val="auto"/>
          <w:sz w:val="24"/>
          <w:szCs w:val="22"/>
        </w:rPr>
      </w:pPr>
      <w:r>
        <w:rPr>
          <w:rFonts w:hint="eastAsia" w:ascii="宋体" w:hAnsi="宋体" w:cs="宋体"/>
          <w:color w:val="auto"/>
          <w:sz w:val="24"/>
          <w:szCs w:val="22"/>
        </w:rPr>
        <w:t>致：</w:t>
      </w:r>
      <w:r>
        <w:rPr>
          <w:rFonts w:hint="eastAsia" w:ascii="宋体" w:hAnsi="宋体" w:cs="宋体"/>
          <w:color w:val="auto"/>
          <w:sz w:val="24"/>
          <w:szCs w:val="22"/>
          <w:u w:val="single"/>
        </w:rPr>
        <w:t xml:space="preserve"> （项目、包段名称）</w:t>
      </w:r>
      <w:r>
        <w:rPr>
          <w:rFonts w:hint="eastAsia" w:ascii="宋体" w:hAnsi="宋体" w:cs="宋体"/>
          <w:color w:val="auto"/>
          <w:sz w:val="24"/>
          <w:szCs w:val="22"/>
        </w:rPr>
        <w:t xml:space="preserve">评标委员会  </w:t>
      </w:r>
    </w:p>
    <w:p w14:paraId="174517D9">
      <w:pPr>
        <w:spacing w:line="640" w:lineRule="exact"/>
        <w:ind w:firstLine="480" w:firstLineChars="200"/>
        <w:rPr>
          <w:rFonts w:hint="eastAsia" w:ascii="宋体" w:hAnsi="宋体" w:cs="宋体"/>
          <w:color w:val="auto"/>
          <w:sz w:val="24"/>
          <w:szCs w:val="22"/>
        </w:rPr>
      </w:pPr>
      <w:r>
        <w:rPr>
          <w:rFonts w:hint="eastAsia" w:ascii="宋体" w:hAnsi="宋体" w:cs="宋体"/>
          <w:color w:val="auto"/>
          <w:sz w:val="24"/>
          <w:szCs w:val="22"/>
        </w:rPr>
        <w:t>根据《中华人民共和国政府采购法》、《中华人民共和国政府采购法实施条例》等有关法律、法规的规定和</w:t>
      </w:r>
      <w:r>
        <w:rPr>
          <w:rFonts w:hint="eastAsia" w:ascii="宋体" w:hAnsi="宋体" w:cs="宋体"/>
          <w:color w:val="auto"/>
          <w:sz w:val="24"/>
          <w:szCs w:val="22"/>
          <w:u w:val="single"/>
        </w:rPr>
        <w:t>    （项目、包段名称）    </w:t>
      </w:r>
      <w:r>
        <w:rPr>
          <w:rFonts w:hint="eastAsia" w:ascii="宋体" w:hAnsi="宋体" w:cs="宋体"/>
          <w:color w:val="auto"/>
          <w:sz w:val="24"/>
          <w:szCs w:val="22"/>
        </w:rPr>
        <w:t>的竞争性磋商文件的要求，我公司在</w:t>
      </w:r>
      <w:r>
        <w:rPr>
          <w:rFonts w:hint="eastAsia" w:ascii="宋体" w:hAnsi="宋体" w:cs="宋体"/>
          <w:color w:val="auto"/>
          <w:sz w:val="24"/>
          <w:szCs w:val="22"/>
          <w:u w:val="single"/>
        </w:rPr>
        <w:t>   （项目、包段名称）   </w:t>
      </w:r>
      <w:r>
        <w:rPr>
          <w:rFonts w:hint="eastAsia" w:ascii="宋体" w:hAnsi="宋体" w:cs="宋体"/>
          <w:color w:val="auto"/>
          <w:sz w:val="24"/>
          <w:szCs w:val="22"/>
        </w:rPr>
        <w:t>投标文件（响应文件）中所提供资料真实性作如下承诺：</w:t>
      </w:r>
    </w:p>
    <w:p w14:paraId="50B08BBD">
      <w:pPr>
        <w:spacing w:line="640" w:lineRule="exact"/>
        <w:ind w:firstLine="480" w:firstLineChars="200"/>
        <w:rPr>
          <w:rFonts w:hint="eastAsia" w:ascii="宋体" w:hAnsi="宋体" w:cs="宋体"/>
          <w:color w:val="auto"/>
          <w:sz w:val="24"/>
          <w:szCs w:val="22"/>
        </w:rPr>
      </w:pPr>
      <w:r>
        <w:rPr>
          <w:rFonts w:hint="eastAsia" w:ascii="宋体" w:hAnsi="宋体" w:cs="宋体"/>
          <w:color w:val="auto"/>
          <w:sz w:val="24"/>
          <w:szCs w:val="22"/>
        </w:rPr>
        <w:t xml:space="preserve">我公司将严格按竞争性磋商文件要求，在编制本投标文件（响应文件）时，对投标文件中所提供的资料全部真实和正确，并对提供的所有资料（资格、业绩、其他材料等）的真实性负责！ </w:t>
      </w:r>
    </w:p>
    <w:p w14:paraId="1FEDBC6F">
      <w:pPr>
        <w:spacing w:line="640" w:lineRule="exact"/>
        <w:ind w:firstLine="480" w:firstLineChars="200"/>
        <w:rPr>
          <w:rFonts w:hint="eastAsia" w:ascii="宋体" w:hAnsi="宋体" w:cs="宋体"/>
          <w:color w:val="auto"/>
          <w:sz w:val="24"/>
          <w:szCs w:val="22"/>
        </w:rPr>
      </w:pPr>
      <w:r>
        <w:rPr>
          <w:rFonts w:hint="eastAsia" w:ascii="宋体" w:hAnsi="宋体" w:cs="宋体"/>
          <w:color w:val="auto"/>
          <w:sz w:val="24"/>
          <w:szCs w:val="22"/>
        </w:rPr>
        <w:t>若提供的全部资料中存在不真实（伪造或租借等虚假资料）情形，将无条件接受任何处罚，自行承担由此引起的一切责任！</w:t>
      </w:r>
    </w:p>
    <w:p w14:paraId="7E62C1F1">
      <w:pPr>
        <w:spacing w:line="640" w:lineRule="exact"/>
        <w:rPr>
          <w:rFonts w:hint="eastAsia" w:ascii="宋体" w:hAnsi="宋体" w:cs="宋体"/>
          <w:color w:val="auto"/>
          <w:sz w:val="24"/>
          <w:szCs w:val="22"/>
        </w:rPr>
      </w:pPr>
    </w:p>
    <w:p w14:paraId="2DB72FAA">
      <w:pPr>
        <w:spacing w:line="640" w:lineRule="exact"/>
        <w:ind w:firstLine="480" w:firstLineChars="200"/>
        <w:rPr>
          <w:rFonts w:hint="eastAsia" w:ascii="宋体" w:hAnsi="宋体" w:cs="宋体"/>
          <w:color w:val="auto"/>
          <w:sz w:val="24"/>
          <w:szCs w:val="22"/>
        </w:rPr>
      </w:pPr>
      <w:r>
        <w:rPr>
          <w:rFonts w:hint="eastAsia" w:ascii="宋体" w:hAnsi="宋体" w:cs="宋体"/>
          <w:color w:val="auto"/>
          <w:sz w:val="24"/>
          <w:szCs w:val="22"/>
        </w:rPr>
        <w:t>特此承诺</w:t>
      </w:r>
    </w:p>
    <w:p w14:paraId="67AC6300">
      <w:pPr>
        <w:spacing w:line="640" w:lineRule="exact"/>
        <w:rPr>
          <w:rFonts w:hint="eastAsia" w:ascii="宋体" w:hAnsi="宋体" w:cs="宋体"/>
          <w:color w:val="auto"/>
          <w:sz w:val="24"/>
          <w:szCs w:val="22"/>
        </w:rPr>
      </w:pPr>
    </w:p>
    <w:p w14:paraId="5B5ED376">
      <w:pPr>
        <w:spacing w:line="640" w:lineRule="exact"/>
        <w:ind w:firstLine="480" w:firstLineChars="200"/>
        <w:rPr>
          <w:rFonts w:hint="eastAsia" w:ascii="宋体" w:hAnsi="宋体" w:cs="宋体"/>
          <w:color w:val="auto"/>
          <w:sz w:val="24"/>
          <w:szCs w:val="22"/>
          <w:u w:val="single"/>
        </w:rPr>
      </w:pPr>
      <w:r>
        <w:rPr>
          <w:rFonts w:hint="eastAsia" w:ascii="宋体" w:hAnsi="宋体" w:cs="宋体"/>
          <w:color w:val="auto"/>
          <w:sz w:val="24"/>
          <w:szCs w:val="22"/>
        </w:rPr>
        <w:t>投标人（全称）：</w:t>
      </w:r>
      <w:r>
        <w:rPr>
          <w:rFonts w:hint="eastAsia" w:ascii="宋体" w:hAnsi="宋体" w:cs="宋体"/>
          <w:color w:val="auto"/>
          <w:sz w:val="24"/>
          <w:szCs w:val="22"/>
          <w:u w:val="single"/>
        </w:rPr>
        <w:t xml:space="preserve">                        （盖单位章）</w:t>
      </w:r>
    </w:p>
    <w:p w14:paraId="5FE33540">
      <w:pPr>
        <w:spacing w:line="640" w:lineRule="exact"/>
        <w:ind w:firstLine="480" w:firstLineChars="200"/>
        <w:rPr>
          <w:rFonts w:hint="eastAsia" w:ascii="宋体" w:hAnsi="宋体" w:cs="宋体"/>
          <w:color w:val="auto"/>
          <w:sz w:val="24"/>
          <w:szCs w:val="22"/>
        </w:rPr>
      </w:pPr>
      <w:r>
        <w:rPr>
          <w:rFonts w:hint="eastAsia" w:ascii="宋体" w:hAnsi="宋体" w:cs="宋体"/>
          <w:color w:val="auto"/>
          <w:sz w:val="24"/>
          <w:szCs w:val="22"/>
        </w:rPr>
        <w:t>法定代表人：</w:t>
      </w:r>
      <w:r>
        <w:rPr>
          <w:rFonts w:hint="eastAsia" w:ascii="宋体" w:hAnsi="宋体" w:cs="宋体"/>
          <w:color w:val="auto"/>
          <w:sz w:val="24"/>
          <w:szCs w:val="22"/>
          <w:u w:val="single"/>
        </w:rPr>
        <w:t xml:space="preserve">                           （签字）</w:t>
      </w:r>
    </w:p>
    <w:p w14:paraId="2A7EBADB">
      <w:pPr>
        <w:spacing w:line="640" w:lineRule="exact"/>
        <w:ind w:firstLine="480" w:firstLineChars="200"/>
        <w:rPr>
          <w:rFonts w:hint="eastAsia" w:ascii="宋体" w:hAnsi="宋体" w:cs="宋体"/>
          <w:color w:val="auto"/>
          <w:sz w:val="24"/>
          <w:szCs w:val="22"/>
        </w:rPr>
      </w:pPr>
      <w:r>
        <w:rPr>
          <w:rFonts w:hint="eastAsia" w:ascii="宋体" w:hAnsi="宋体" w:cs="宋体"/>
          <w:color w:val="auto"/>
          <w:sz w:val="24"/>
          <w:szCs w:val="22"/>
        </w:rPr>
        <w:t xml:space="preserve">有效的联系方式：                                   </w:t>
      </w:r>
    </w:p>
    <w:p w14:paraId="5AD33EE5">
      <w:pPr>
        <w:spacing w:line="640" w:lineRule="exact"/>
        <w:ind w:firstLine="1440" w:firstLineChars="600"/>
        <w:rPr>
          <w:rFonts w:hint="eastAsia" w:ascii="宋体" w:hAnsi="宋体" w:cs="宋体"/>
          <w:color w:val="auto"/>
          <w:sz w:val="24"/>
          <w:szCs w:val="22"/>
        </w:rPr>
      </w:pPr>
      <w:r>
        <w:rPr>
          <w:rFonts w:hint="eastAsia" w:ascii="宋体" w:hAnsi="宋体" w:cs="宋体"/>
          <w:color w:val="auto"/>
          <w:sz w:val="24"/>
          <w:szCs w:val="22"/>
        </w:rPr>
        <w:t>年      月       日</w:t>
      </w:r>
    </w:p>
    <w:p w14:paraId="7520C123">
      <w:pPr>
        <w:spacing w:line="580" w:lineRule="exact"/>
        <w:jc w:val="center"/>
        <w:rPr>
          <w:rFonts w:hint="eastAsia" w:ascii="宋体" w:hAnsi="宋体" w:cs="宋体"/>
          <w:b/>
          <w:bCs/>
          <w:color w:val="auto"/>
          <w:sz w:val="28"/>
          <w:szCs w:val="36"/>
        </w:rPr>
      </w:pPr>
      <w:bookmarkStart w:id="201" w:name="_Toc2371"/>
      <w:bookmarkStart w:id="202" w:name="_Toc4842"/>
      <w:bookmarkStart w:id="203" w:name="_Toc6238"/>
    </w:p>
    <w:p w14:paraId="049E55C7">
      <w:pPr>
        <w:jc w:val="center"/>
        <w:rPr>
          <w:rFonts w:hint="eastAsia" w:ascii="宋体" w:hAnsi="宋体" w:cs="宋体"/>
          <w:b/>
          <w:bCs/>
          <w:color w:val="auto"/>
          <w:sz w:val="28"/>
          <w:szCs w:val="28"/>
        </w:rPr>
      </w:pPr>
      <w:r>
        <w:rPr>
          <w:rFonts w:hint="eastAsia" w:ascii="宋体" w:hAnsi="宋体" w:cs="宋体"/>
          <w:b/>
          <w:bCs/>
          <w:color w:val="auto"/>
          <w:sz w:val="28"/>
          <w:szCs w:val="36"/>
        </w:rPr>
        <w:br w:type="page"/>
      </w:r>
      <w:bookmarkEnd w:id="201"/>
      <w:bookmarkEnd w:id="202"/>
      <w:bookmarkEnd w:id="203"/>
      <w:bookmarkStart w:id="204" w:name="_Toc5529"/>
      <w:bookmarkStart w:id="205" w:name="_Toc13017"/>
      <w:bookmarkStart w:id="206" w:name="_Toc26203"/>
      <w:bookmarkStart w:id="207" w:name="_Toc27546"/>
      <w:bookmarkStart w:id="208" w:name="_Toc19656"/>
      <w:bookmarkStart w:id="209" w:name="_Toc5425"/>
      <w:bookmarkStart w:id="210" w:name="_Toc19298"/>
      <w:r>
        <w:rPr>
          <w:rFonts w:hint="eastAsia" w:ascii="宋体" w:hAnsi="宋体" w:cs="宋体"/>
          <w:b/>
          <w:bCs/>
          <w:color w:val="auto"/>
          <w:sz w:val="28"/>
          <w:szCs w:val="28"/>
        </w:rPr>
        <w:t>5、中小企业声明函（符合本声明函填写）</w:t>
      </w:r>
      <w:bookmarkEnd w:id="204"/>
      <w:bookmarkEnd w:id="205"/>
      <w:bookmarkEnd w:id="206"/>
      <w:bookmarkEnd w:id="207"/>
      <w:bookmarkEnd w:id="208"/>
      <w:bookmarkEnd w:id="209"/>
      <w:bookmarkEnd w:id="210"/>
    </w:p>
    <w:p w14:paraId="2830BD8C">
      <w:pPr>
        <w:jc w:val="center"/>
        <w:rPr>
          <w:rFonts w:hint="eastAsia" w:ascii="宋体" w:hAnsi="宋体" w:cs="宋体"/>
          <w:b/>
          <w:color w:val="auto"/>
          <w:sz w:val="24"/>
          <w:szCs w:val="24"/>
        </w:rPr>
      </w:pPr>
      <w:bookmarkStart w:id="211" w:name="_Toc21568"/>
      <w:bookmarkStart w:id="212" w:name="_Toc14689"/>
      <w:bookmarkStart w:id="213" w:name="_Toc14195_WPSOffice_Level1"/>
      <w:bookmarkStart w:id="214" w:name="_Toc20603"/>
    </w:p>
    <w:p w14:paraId="494D62B9">
      <w:pPr>
        <w:jc w:val="center"/>
        <w:rPr>
          <w:rFonts w:hint="eastAsia" w:ascii="宋体" w:hAnsi="宋体" w:cs="宋体"/>
          <w:color w:val="auto"/>
          <w:sz w:val="24"/>
          <w:szCs w:val="24"/>
        </w:rPr>
      </w:pPr>
      <w:r>
        <w:rPr>
          <w:rFonts w:hint="eastAsia" w:ascii="宋体" w:hAnsi="宋体" w:cs="宋体"/>
          <w:b/>
          <w:color w:val="auto"/>
          <w:sz w:val="24"/>
          <w:szCs w:val="24"/>
        </w:rPr>
        <w:t>中小企业声明函（服务）</w:t>
      </w:r>
    </w:p>
    <w:p w14:paraId="791B67F3">
      <w:pPr>
        <w:widowControl/>
        <w:spacing w:line="360" w:lineRule="auto"/>
        <w:ind w:firstLine="420" w:firstLineChars="200"/>
        <w:jc w:val="left"/>
        <w:rPr>
          <w:rFonts w:hint="eastAsia" w:ascii="宋体" w:hAnsi="宋体" w:cs="宋体"/>
          <w:color w:val="auto"/>
          <w:szCs w:val="21"/>
          <w:lang w:bidi="ar"/>
        </w:rPr>
      </w:pPr>
    </w:p>
    <w:p w14:paraId="38D12C39">
      <w:pPr>
        <w:widowControl/>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本公司（联合体）郑重声明，根据《政府采购促进中小企业发展管理办法》（财库﹝2020﹞46 号）的规定，本公司（联合体）参加</w:t>
      </w:r>
      <w:r>
        <w:rPr>
          <w:rFonts w:hint="eastAsia" w:ascii="宋体" w:hAnsi="宋体" w:cs="宋体"/>
          <w:color w:val="auto"/>
          <w:szCs w:val="21"/>
          <w:u w:val="single"/>
          <w:lang w:bidi="ar"/>
        </w:rPr>
        <w:t>（单位名称）</w:t>
      </w:r>
      <w:r>
        <w:rPr>
          <w:rFonts w:hint="eastAsia" w:ascii="宋体" w:hAnsi="宋体" w:cs="宋体"/>
          <w:color w:val="auto"/>
          <w:szCs w:val="21"/>
          <w:lang w:bidi="ar"/>
        </w:rPr>
        <w:t>的</w:t>
      </w:r>
      <w:r>
        <w:rPr>
          <w:rFonts w:hint="eastAsia" w:ascii="宋体" w:hAnsi="宋体" w:cs="宋体"/>
          <w:color w:val="auto"/>
          <w:szCs w:val="21"/>
          <w:u w:val="single"/>
          <w:lang w:bidi="ar"/>
        </w:rPr>
        <w:t>（项目名称）</w:t>
      </w:r>
      <w:r>
        <w:rPr>
          <w:rFonts w:hint="eastAsia" w:ascii="宋体" w:hAnsi="宋体" w:cs="宋体"/>
          <w:color w:val="auto"/>
          <w:szCs w:val="21"/>
          <w:lang w:bidi="ar"/>
        </w:rPr>
        <w:t>采购活动，服务的供应商全部为符合政策要求的中小企业（或者：服务全部由符合政策要求的中小企业承接）。相关企业（含联合体中的中小企业、签订分包意向协议的中小企业）的具体情况如下：</w:t>
      </w:r>
    </w:p>
    <w:p w14:paraId="4B9A5874">
      <w:pPr>
        <w:widowControl/>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 xml:space="preserve">1. </w:t>
      </w:r>
      <w:r>
        <w:rPr>
          <w:rFonts w:hint="eastAsia" w:ascii="宋体" w:hAnsi="宋体" w:cs="宋体"/>
          <w:color w:val="auto"/>
          <w:szCs w:val="21"/>
          <w:u w:val="single"/>
          <w:lang w:bidi="ar"/>
        </w:rPr>
        <w:t xml:space="preserve">（标的名称） </w:t>
      </w:r>
      <w:r>
        <w:rPr>
          <w:rFonts w:hint="eastAsia" w:ascii="宋体" w:hAnsi="宋体" w:cs="宋体"/>
          <w:color w:val="auto"/>
          <w:szCs w:val="21"/>
          <w:lang w:bidi="ar"/>
        </w:rPr>
        <w:t>，属于</w:t>
      </w:r>
      <w:r>
        <w:rPr>
          <w:rFonts w:hint="eastAsia" w:ascii="宋体" w:hAnsi="宋体" w:cs="宋体"/>
          <w:color w:val="auto"/>
          <w:szCs w:val="21"/>
          <w:u w:val="single"/>
          <w:lang w:bidi="ar"/>
        </w:rPr>
        <w:t>（采购文件中明确的所属行业）</w:t>
      </w:r>
      <w:r>
        <w:rPr>
          <w:rFonts w:hint="eastAsia" w:ascii="宋体" w:hAnsi="宋体" w:cs="宋体"/>
          <w:color w:val="auto"/>
          <w:szCs w:val="21"/>
          <w:lang w:bidi="ar"/>
        </w:rPr>
        <w:t>；承建（承接）企业为</w:t>
      </w:r>
      <w:r>
        <w:rPr>
          <w:rFonts w:hint="eastAsia" w:ascii="宋体" w:hAnsi="宋体" w:cs="宋体"/>
          <w:color w:val="auto"/>
          <w:szCs w:val="21"/>
          <w:u w:val="single"/>
          <w:lang w:bidi="ar"/>
        </w:rPr>
        <w:t>（企业名称）</w:t>
      </w:r>
      <w:r>
        <w:rPr>
          <w:rFonts w:hint="eastAsia" w:ascii="宋体" w:hAnsi="宋体" w:cs="宋体"/>
          <w:color w:val="auto"/>
          <w:szCs w:val="21"/>
          <w:lang w:bidi="ar"/>
        </w:rPr>
        <w:t>，从业人员</w:t>
      </w:r>
      <w:r>
        <w:rPr>
          <w:rFonts w:hint="eastAsia" w:ascii="宋体" w:hAnsi="宋体" w:cs="宋体"/>
          <w:color w:val="auto"/>
          <w:szCs w:val="21"/>
          <w:u w:val="single"/>
          <w:lang w:bidi="ar"/>
        </w:rPr>
        <w:t xml:space="preserve">    </w:t>
      </w:r>
      <w:r>
        <w:rPr>
          <w:rFonts w:hint="eastAsia" w:ascii="宋体" w:hAnsi="宋体" w:cs="宋体"/>
          <w:color w:val="auto"/>
          <w:szCs w:val="21"/>
          <w:lang w:bidi="ar"/>
        </w:rPr>
        <w:t>人，营业 收入为</w:t>
      </w:r>
      <w:r>
        <w:rPr>
          <w:rFonts w:hint="eastAsia" w:ascii="宋体" w:hAnsi="宋体" w:cs="宋体"/>
          <w:color w:val="auto"/>
          <w:szCs w:val="21"/>
          <w:u w:val="single"/>
          <w:lang w:bidi="ar"/>
        </w:rPr>
        <w:t xml:space="preserve">      </w:t>
      </w:r>
      <w:r>
        <w:rPr>
          <w:rFonts w:hint="eastAsia" w:ascii="宋体" w:hAnsi="宋体" w:cs="宋体"/>
          <w:color w:val="auto"/>
          <w:szCs w:val="21"/>
          <w:lang w:bidi="ar"/>
        </w:rPr>
        <w:t>万元，资产总额为</w:t>
      </w:r>
      <w:r>
        <w:rPr>
          <w:rFonts w:hint="eastAsia" w:ascii="宋体" w:hAnsi="宋体" w:cs="宋体"/>
          <w:color w:val="auto"/>
          <w:szCs w:val="21"/>
          <w:u w:val="single"/>
          <w:lang w:bidi="ar"/>
        </w:rPr>
        <w:t xml:space="preserve">    </w:t>
      </w:r>
      <w:r>
        <w:rPr>
          <w:rFonts w:hint="eastAsia" w:ascii="宋体" w:hAnsi="宋体" w:cs="宋体"/>
          <w:color w:val="auto"/>
          <w:szCs w:val="21"/>
          <w:lang w:bidi="ar"/>
        </w:rPr>
        <w:t>万元</w:t>
      </w:r>
      <w:r>
        <w:rPr>
          <w:rFonts w:hint="eastAsia" w:ascii="宋体" w:hAnsi="宋体" w:cs="宋体"/>
          <w:color w:val="auto"/>
          <w:szCs w:val="21"/>
          <w:vertAlign w:val="superscript"/>
          <w:lang w:bidi="ar"/>
        </w:rPr>
        <w:t>1</w:t>
      </w:r>
      <w:r>
        <w:rPr>
          <w:rFonts w:hint="eastAsia" w:ascii="宋体" w:hAnsi="宋体" w:cs="宋体"/>
          <w:color w:val="auto"/>
          <w:szCs w:val="21"/>
          <w:lang w:bidi="ar"/>
        </w:rPr>
        <w:t>，属于</w:t>
      </w:r>
      <w:r>
        <w:rPr>
          <w:rFonts w:hint="eastAsia" w:ascii="宋体" w:hAnsi="宋体" w:cs="宋体"/>
          <w:color w:val="auto"/>
          <w:szCs w:val="21"/>
          <w:u w:val="single"/>
          <w:lang w:bidi="ar"/>
        </w:rPr>
        <w:t>（中型企业、小型企业、微型企业）</w:t>
      </w:r>
      <w:r>
        <w:rPr>
          <w:rFonts w:hint="eastAsia" w:ascii="宋体" w:hAnsi="宋体" w:cs="宋体"/>
          <w:color w:val="auto"/>
          <w:szCs w:val="21"/>
          <w:lang w:bidi="ar"/>
        </w:rPr>
        <w:t xml:space="preserve">； </w:t>
      </w:r>
    </w:p>
    <w:p w14:paraId="7B403A7F">
      <w:pPr>
        <w:widowControl/>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 xml:space="preserve">2. </w:t>
      </w:r>
      <w:r>
        <w:rPr>
          <w:rFonts w:hint="eastAsia" w:ascii="宋体" w:hAnsi="宋体" w:cs="宋体"/>
          <w:color w:val="auto"/>
          <w:szCs w:val="21"/>
          <w:u w:val="single"/>
          <w:lang w:bidi="ar"/>
        </w:rPr>
        <w:t xml:space="preserve">（标的名称） </w:t>
      </w:r>
      <w:r>
        <w:rPr>
          <w:rFonts w:hint="eastAsia" w:ascii="宋体" w:hAnsi="宋体" w:cs="宋体"/>
          <w:color w:val="auto"/>
          <w:szCs w:val="21"/>
          <w:lang w:bidi="ar"/>
        </w:rPr>
        <w:t>，属于</w:t>
      </w:r>
      <w:r>
        <w:rPr>
          <w:rFonts w:hint="eastAsia" w:ascii="宋体" w:hAnsi="宋体" w:cs="宋体"/>
          <w:color w:val="auto"/>
          <w:szCs w:val="21"/>
          <w:u w:val="single"/>
          <w:lang w:bidi="ar"/>
        </w:rPr>
        <w:t>（采购文件中明确的所属行业）</w:t>
      </w:r>
      <w:r>
        <w:rPr>
          <w:rFonts w:hint="eastAsia" w:ascii="宋体" w:hAnsi="宋体" w:cs="宋体"/>
          <w:color w:val="auto"/>
          <w:szCs w:val="21"/>
          <w:lang w:bidi="ar"/>
        </w:rPr>
        <w:t>；承建（承接）企业为</w:t>
      </w:r>
      <w:r>
        <w:rPr>
          <w:rFonts w:hint="eastAsia" w:ascii="宋体" w:hAnsi="宋体" w:cs="宋体"/>
          <w:color w:val="auto"/>
          <w:szCs w:val="21"/>
          <w:u w:val="single"/>
          <w:lang w:bidi="ar"/>
        </w:rPr>
        <w:t>（企业名称）</w:t>
      </w:r>
      <w:r>
        <w:rPr>
          <w:rFonts w:hint="eastAsia" w:ascii="宋体" w:hAnsi="宋体" w:cs="宋体"/>
          <w:color w:val="auto"/>
          <w:szCs w:val="21"/>
          <w:lang w:bidi="ar"/>
        </w:rPr>
        <w:t>，从业人员</w:t>
      </w:r>
      <w:r>
        <w:rPr>
          <w:rFonts w:hint="eastAsia" w:ascii="宋体" w:hAnsi="宋体" w:cs="宋体"/>
          <w:color w:val="auto"/>
          <w:szCs w:val="21"/>
          <w:u w:val="single"/>
          <w:lang w:bidi="ar"/>
        </w:rPr>
        <w:t xml:space="preserve">    </w:t>
      </w:r>
      <w:r>
        <w:rPr>
          <w:rFonts w:hint="eastAsia" w:ascii="宋体" w:hAnsi="宋体" w:cs="宋体"/>
          <w:color w:val="auto"/>
          <w:szCs w:val="21"/>
          <w:lang w:bidi="ar"/>
        </w:rPr>
        <w:t>人，营业 收入为</w:t>
      </w:r>
      <w:r>
        <w:rPr>
          <w:rFonts w:hint="eastAsia" w:ascii="宋体" w:hAnsi="宋体" w:cs="宋体"/>
          <w:color w:val="auto"/>
          <w:szCs w:val="21"/>
          <w:u w:val="single"/>
          <w:lang w:bidi="ar"/>
        </w:rPr>
        <w:t xml:space="preserve">      </w:t>
      </w:r>
      <w:r>
        <w:rPr>
          <w:rFonts w:hint="eastAsia" w:ascii="宋体" w:hAnsi="宋体" w:cs="宋体"/>
          <w:color w:val="auto"/>
          <w:szCs w:val="21"/>
          <w:lang w:bidi="ar"/>
        </w:rPr>
        <w:t>万元，资产总额为</w:t>
      </w:r>
      <w:r>
        <w:rPr>
          <w:rFonts w:hint="eastAsia" w:ascii="宋体" w:hAnsi="宋体" w:cs="宋体"/>
          <w:color w:val="auto"/>
          <w:szCs w:val="21"/>
          <w:u w:val="single"/>
          <w:lang w:bidi="ar"/>
        </w:rPr>
        <w:t xml:space="preserve">    </w:t>
      </w:r>
      <w:r>
        <w:rPr>
          <w:rFonts w:hint="eastAsia" w:ascii="宋体" w:hAnsi="宋体" w:cs="宋体"/>
          <w:color w:val="auto"/>
          <w:szCs w:val="21"/>
          <w:lang w:bidi="ar"/>
        </w:rPr>
        <w:t>万元</w:t>
      </w:r>
      <w:r>
        <w:rPr>
          <w:rFonts w:hint="eastAsia" w:ascii="宋体" w:hAnsi="宋体" w:cs="宋体"/>
          <w:color w:val="auto"/>
          <w:szCs w:val="21"/>
          <w:vertAlign w:val="superscript"/>
          <w:lang w:bidi="ar"/>
        </w:rPr>
        <w:t>1</w:t>
      </w:r>
      <w:r>
        <w:rPr>
          <w:rFonts w:hint="eastAsia" w:ascii="宋体" w:hAnsi="宋体" w:cs="宋体"/>
          <w:color w:val="auto"/>
          <w:szCs w:val="21"/>
          <w:lang w:bidi="ar"/>
        </w:rPr>
        <w:t>，属于</w:t>
      </w:r>
      <w:r>
        <w:rPr>
          <w:rFonts w:hint="eastAsia" w:ascii="宋体" w:hAnsi="宋体" w:cs="宋体"/>
          <w:color w:val="auto"/>
          <w:szCs w:val="21"/>
          <w:u w:val="single"/>
          <w:lang w:bidi="ar"/>
        </w:rPr>
        <w:t>（中型企业、小型企业、微型企业）</w:t>
      </w:r>
      <w:r>
        <w:rPr>
          <w:rFonts w:hint="eastAsia" w:ascii="宋体" w:hAnsi="宋体" w:cs="宋体"/>
          <w:color w:val="auto"/>
          <w:szCs w:val="21"/>
          <w:lang w:bidi="ar"/>
        </w:rPr>
        <w:t xml:space="preserve">； </w:t>
      </w:r>
    </w:p>
    <w:p w14:paraId="6A110A9A">
      <w:pPr>
        <w:widowControl/>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w:t>
      </w:r>
    </w:p>
    <w:p w14:paraId="2AD0A883">
      <w:pPr>
        <w:widowControl/>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以上企业，不属于大企业的分支机构，不存在控股股东为大企业的情形，也不存在与大企业的负责人为同一人的情形。</w:t>
      </w:r>
    </w:p>
    <w:p w14:paraId="21DD7904">
      <w:pPr>
        <w:widowControl/>
        <w:spacing w:line="360" w:lineRule="auto"/>
        <w:ind w:firstLine="420" w:firstLineChars="200"/>
        <w:jc w:val="left"/>
        <w:rPr>
          <w:rFonts w:hint="eastAsia" w:ascii="宋体" w:hAnsi="宋体" w:cs="宋体"/>
          <w:color w:val="auto"/>
          <w:szCs w:val="21"/>
          <w:lang w:bidi="ar"/>
        </w:rPr>
      </w:pPr>
      <w:r>
        <w:rPr>
          <w:rFonts w:hint="eastAsia" w:ascii="宋体" w:hAnsi="宋体" w:cs="宋体"/>
          <w:color w:val="auto"/>
          <w:szCs w:val="21"/>
          <w:lang w:bidi="ar"/>
        </w:rPr>
        <w:t xml:space="preserve">本企业对上述声明内容的真实性负责。如有虚假，将依法承担相应责任。 </w:t>
      </w:r>
    </w:p>
    <w:p w14:paraId="4878569C">
      <w:pPr>
        <w:widowControl/>
        <w:spacing w:line="360" w:lineRule="auto"/>
        <w:ind w:firstLine="3360" w:firstLineChars="1600"/>
        <w:jc w:val="left"/>
        <w:rPr>
          <w:rFonts w:hint="eastAsia" w:ascii="宋体" w:hAnsi="宋体" w:cs="宋体"/>
          <w:color w:val="auto"/>
          <w:szCs w:val="21"/>
          <w:lang w:bidi="ar"/>
        </w:rPr>
      </w:pPr>
    </w:p>
    <w:p w14:paraId="4B9F7570">
      <w:pPr>
        <w:widowControl/>
        <w:spacing w:line="360" w:lineRule="auto"/>
        <w:ind w:firstLine="3360" w:firstLineChars="1600"/>
        <w:jc w:val="left"/>
        <w:rPr>
          <w:rFonts w:hint="eastAsia" w:ascii="宋体" w:hAnsi="宋体" w:cs="宋体"/>
          <w:color w:val="auto"/>
          <w:szCs w:val="21"/>
          <w:lang w:bidi="ar"/>
        </w:rPr>
      </w:pPr>
      <w:r>
        <w:rPr>
          <w:rFonts w:hint="eastAsia" w:ascii="宋体" w:hAnsi="宋体" w:cs="宋体"/>
          <w:color w:val="auto"/>
          <w:szCs w:val="21"/>
          <w:lang w:bidi="ar"/>
        </w:rPr>
        <w:t xml:space="preserve">企业名称（盖章）： </w:t>
      </w:r>
    </w:p>
    <w:p w14:paraId="3F693090">
      <w:pPr>
        <w:widowControl/>
        <w:spacing w:line="360" w:lineRule="auto"/>
        <w:ind w:firstLine="3360" w:firstLineChars="1600"/>
        <w:jc w:val="left"/>
        <w:rPr>
          <w:rFonts w:hint="eastAsia" w:ascii="宋体" w:hAnsi="宋体" w:cs="宋体"/>
          <w:color w:val="auto"/>
          <w:szCs w:val="21"/>
          <w:lang w:bidi="ar"/>
        </w:rPr>
      </w:pPr>
      <w:r>
        <w:rPr>
          <w:rFonts w:hint="eastAsia" w:ascii="宋体" w:hAnsi="宋体" w:cs="宋体"/>
          <w:color w:val="auto"/>
          <w:szCs w:val="21"/>
          <w:lang w:bidi="ar"/>
        </w:rPr>
        <w:t xml:space="preserve">日 期： </w:t>
      </w:r>
    </w:p>
    <w:p w14:paraId="4178ED36">
      <w:pPr>
        <w:widowControl/>
        <w:jc w:val="left"/>
        <w:rPr>
          <w:rFonts w:hint="eastAsia" w:ascii="宋体" w:hAnsi="宋体" w:cs="宋体"/>
          <w:color w:val="auto"/>
          <w:szCs w:val="21"/>
        </w:rPr>
      </w:pPr>
      <w:r>
        <w:rPr>
          <w:rFonts w:hint="eastAsia" w:ascii="宋体" w:hAnsi="宋体" w:cs="宋体"/>
          <w:color w:val="auto"/>
          <w:szCs w:val="21"/>
          <w:lang w:bidi="ar"/>
        </w:rPr>
        <w:t>1从业人员、营业收入、资产总额填报上一年度数据，无上一年度数据的新成立企业可不填报</w:t>
      </w:r>
    </w:p>
    <w:p w14:paraId="573115D8">
      <w:pPr>
        <w:pStyle w:val="35"/>
        <w:spacing w:line="360" w:lineRule="auto"/>
        <w:rPr>
          <w:rFonts w:cs="宋体"/>
          <w:color w:val="auto"/>
          <w:sz w:val="21"/>
          <w:szCs w:val="21"/>
        </w:rPr>
      </w:pPr>
    </w:p>
    <w:p w14:paraId="111FE885">
      <w:pPr>
        <w:snapToGrid w:val="0"/>
        <w:spacing w:line="360" w:lineRule="auto"/>
        <w:rPr>
          <w:rFonts w:hint="eastAsia" w:ascii="宋体" w:hAnsi="宋体" w:cs="宋体"/>
          <w:bCs/>
          <w:color w:val="auto"/>
          <w:szCs w:val="21"/>
        </w:rPr>
      </w:pPr>
      <w:r>
        <w:rPr>
          <w:rFonts w:hint="eastAsia" w:ascii="宋体" w:hAnsi="宋体" w:cs="宋体"/>
          <w:bCs/>
          <w:color w:val="auto"/>
          <w:spacing w:val="6"/>
          <w:szCs w:val="21"/>
        </w:rPr>
        <w:t>注：</w:t>
      </w:r>
    </w:p>
    <w:p w14:paraId="1028031F">
      <w:pPr>
        <w:pStyle w:val="35"/>
        <w:spacing w:line="360" w:lineRule="auto"/>
        <w:rPr>
          <w:rFonts w:cs="宋体"/>
          <w:bCs/>
          <w:color w:val="auto"/>
          <w:sz w:val="21"/>
          <w:szCs w:val="21"/>
        </w:rPr>
      </w:pPr>
      <w:r>
        <w:rPr>
          <w:rFonts w:cs="宋体"/>
          <w:bCs/>
          <w:color w:val="auto"/>
          <w:sz w:val="21"/>
          <w:szCs w:val="21"/>
        </w:rPr>
        <w:t>1.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6A0C76B4">
      <w:pPr>
        <w:pStyle w:val="35"/>
        <w:spacing w:line="360" w:lineRule="auto"/>
        <w:rPr>
          <w:rFonts w:cs="宋体"/>
          <w:bCs/>
          <w:color w:val="auto"/>
          <w:sz w:val="21"/>
          <w:szCs w:val="21"/>
        </w:rPr>
      </w:pPr>
      <w:r>
        <w:rPr>
          <w:rFonts w:cs="宋体"/>
          <w:bCs/>
          <w:color w:val="auto"/>
          <w:sz w:val="21"/>
          <w:szCs w:val="21"/>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7B32CB4D">
      <w:pPr>
        <w:snapToGrid w:val="0"/>
        <w:spacing w:line="360" w:lineRule="auto"/>
        <w:rPr>
          <w:rFonts w:hint="eastAsia" w:ascii="宋体" w:hAnsi="宋体" w:cs="宋体"/>
          <w:color w:val="auto"/>
        </w:rPr>
      </w:pPr>
      <w:r>
        <w:rPr>
          <w:rFonts w:hint="eastAsia" w:ascii="宋体" w:hAnsi="宋体" w:cs="宋体"/>
          <w:color w:val="auto"/>
        </w:rPr>
        <w:br w:type="page"/>
      </w:r>
      <w:r>
        <w:rPr>
          <w:rFonts w:hint="eastAsia" w:ascii="宋体" w:hAnsi="宋体" w:cs="宋体"/>
          <w:color w:val="auto"/>
        </w:rPr>
        <w:t>附：工业和信息化部 国家统计局国家发展和改革委员会 财政部关于印发中小企业划型标准规定的通知（工信部联企业[2011]300号  2011.6.1）</w:t>
      </w:r>
    </w:p>
    <w:p w14:paraId="66AE4919">
      <w:pPr>
        <w:snapToGrid w:val="0"/>
        <w:spacing w:line="360" w:lineRule="auto"/>
        <w:rPr>
          <w:rFonts w:hint="eastAsia" w:ascii="宋体" w:hAnsi="宋体" w:cs="宋体"/>
          <w:color w:val="auto"/>
        </w:rPr>
      </w:pPr>
      <w:r>
        <w:rPr>
          <w:rFonts w:hint="eastAsia" w:ascii="宋体" w:hAnsi="宋体" w:cs="宋体"/>
          <w:color w:val="auto"/>
        </w:rPr>
        <w:t>各省、自治区、直辖市人民政府，国务院各部委、各直属机构及有关单位：</w:t>
      </w:r>
    </w:p>
    <w:p w14:paraId="4737354C">
      <w:pPr>
        <w:snapToGrid w:val="0"/>
        <w:spacing w:line="360" w:lineRule="auto"/>
        <w:rPr>
          <w:rFonts w:hint="eastAsia" w:ascii="宋体" w:hAnsi="宋体" w:cs="宋体"/>
          <w:color w:val="auto"/>
        </w:rPr>
      </w:pPr>
      <w:r>
        <w:rPr>
          <w:rFonts w:hint="eastAsia" w:ascii="宋体" w:hAnsi="宋体" w:cs="宋体"/>
          <w:color w:val="auto"/>
        </w:rPr>
        <w:t xml:space="preserve">    为贯彻落实《中华人民共和国中小企业促进法》和《</w:t>
      </w:r>
      <w:r>
        <w:rPr>
          <w:color w:val="auto"/>
        </w:rPr>
        <w:fldChar w:fldCharType="begin"/>
      </w:r>
      <w:r>
        <w:rPr>
          <w:color w:val="auto"/>
        </w:rPr>
        <w:instrText xml:space="preserve"> HYPERLINK "http://www.shui5.cn/article/47/26142.html" </w:instrText>
      </w:r>
      <w:r>
        <w:rPr>
          <w:color w:val="auto"/>
        </w:rPr>
        <w:fldChar w:fldCharType="separate"/>
      </w:r>
      <w:r>
        <w:rPr>
          <w:rFonts w:hint="eastAsia" w:ascii="宋体" w:hAnsi="宋体" w:cs="宋体"/>
          <w:color w:val="auto"/>
        </w:rPr>
        <w:t>国务院关于进一步促进中小企业发展的若干意见</w:t>
      </w:r>
      <w:r>
        <w:rPr>
          <w:rFonts w:hint="eastAsia" w:ascii="宋体" w:hAnsi="宋体" w:cs="宋体"/>
          <w:color w:val="auto"/>
        </w:rPr>
        <w:fldChar w:fldCharType="end"/>
      </w:r>
      <w:r>
        <w:rPr>
          <w:rFonts w:hint="eastAsia" w:ascii="宋体" w:hAnsi="宋体" w:cs="宋体"/>
          <w:color w:val="auto"/>
        </w:rPr>
        <w:t>》（</w:t>
      </w:r>
      <w:r>
        <w:rPr>
          <w:color w:val="auto"/>
        </w:rPr>
        <w:fldChar w:fldCharType="begin"/>
      </w:r>
      <w:r>
        <w:rPr>
          <w:color w:val="auto"/>
        </w:rPr>
        <w:instrText xml:space="preserve"> HYPERLINK "http://www.shui5.cn/article/47/26142.html" </w:instrText>
      </w:r>
      <w:r>
        <w:rPr>
          <w:color w:val="auto"/>
        </w:rPr>
        <w:fldChar w:fldCharType="separate"/>
      </w:r>
      <w:r>
        <w:rPr>
          <w:rFonts w:hint="eastAsia" w:ascii="宋体" w:hAnsi="宋体" w:cs="宋体"/>
          <w:color w:val="auto"/>
        </w:rPr>
        <w:t>国发〔2009〕36号</w:t>
      </w:r>
      <w:r>
        <w:rPr>
          <w:rFonts w:hint="eastAsia" w:ascii="宋体" w:hAnsi="宋体" w:cs="宋体"/>
          <w:color w:val="auto"/>
        </w:rPr>
        <w:fldChar w:fldCharType="end"/>
      </w:r>
      <w:r>
        <w:rPr>
          <w:rFonts w:hint="eastAsia" w:ascii="宋体" w:hAnsi="宋体" w:cs="宋体"/>
          <w:color w:val="auto"/>
        </w:rPr>
        <w:t>），工业和信息化部、国家统计局、发展改革委、财政部研究制定了《中小企业划型标准规定》。经国务院同意，现印发给你们，请遵照执行。</w:t>
      </w:r>
    </w:p>
    <w:p w14:paraId="2C04900F">
      <w:pPr>
        <w:snapToGrid w:val="0"/>
        <w:spacing w:line="360" w:lineRule="auto"/>
        <w:rPr>
          <w:rFonts w:hint="eastAsia" w:ascii="宋体" w:hAnsi="宋体" w:cs="宋体"/>
          <w:color w:val="auto"/>
        </w:rPr>
      </w:pPr>
      <w:r>
        <w:rPr>
          <w:rFonts w:hint="eastAsia" w:ascii="宋体" w:hAnsi="宋体" w:cs="宋体"/>
          <w:color w:val="auto"/>
        </w:rPr>
        <w:t>附件：</w:t>
      </w:r>
    </w:p>
    <w:p w14:paraId="4617550F">
      <w:pPr>
        <w:snapToGrid w:val="0"/>
        <w:spacing w:line="360" w:lineRule="auto"/>
        <w:rPr>
          <w:rFonts w:hint="eastAsia" w:ascii="宋体" w:hAnsi="宋体" w:cs="宋体"/>
          <w:color w:val="auto"/>
        </w:rPr>
      </w:pPr>
      <w:r>
        <w:rPr>
          <w:rFonts w:hint="eastAsia" w:ascii="宋体" w:hAnsi="宋体" w:cs="宋体"/>
          <w:color w:val="auto"/>
        </w:rPr>
        <w:t>中小企业划型标准规定</w:t>
      </w:r>
    </w:p>
    <w:p w14:paraId="0826F07A">
      <w:pPr>
        <w:snapToGrid w:val="0"/>
        <w:spacing w:line="360" w:lineRule="auto"/>
        <w:ind w:firstLine="420" w:firstLineChars="200"/>
        <w:rPr>
          <w:rFonts w:hint="eastAsia" w:ascii="宋体" w:hAnsi="宋体" w:cs="宋体"/>
          <w:color w:val="auto"/>
        </w:rPr>
      </w:pPr>
      <w:r>
        <w:rPr>
          <w:rFonts w:hint="eastAsia" w:ascii="宋体" w:hAnsi="宋体" w:cs="宋体"/>
          <w:color w:val="auto"/>
        </w:rPr>
        <w:t>一、根据《中华人民共和国中小企业促进法》和《</w:t>
      </w:r>
      <w:r>
        <w:rPr>
          <w:color w:val="auto"/>
        </w:rPr>
        <w:fldChar w:fldCharType="begin"/>
      </w:r>
      <w:r>
        <w:rPr>
          <w:color w:val="auto"/>
        </w:rPr>
        <w:instrText xml:space="preserve"> HYPERLINK "http://www.shui5.cn/article/47/26142.html" </w:instrText>
      </w:r>
      <w:r>
        <w:rPr>
          <w:color w:val="auto"/>
        </w:rPr>
        <w:fldChar w:fldCharType="separate"/>
      </w:r>
      <w:r>
        <w:rPr>
          <w:rFonts w:hint="eastAsia" w:ascii="宋体" w:hAnsi="宋体" w:cs="宋体"/>
          <w:color w:val="auto"/>
        </w:rPr>
        <w:t>国务院关于进一步促进中小企业发展的若干意见</w:t>
      </w:r>
      <w:r>
        <w:rPr>
          <w:rFonts w:hint="eastAsia" w:ascii="宋体" w:hAnsi="宋体" w:cs="宋体"/>
          <w:color w:val="auto"/>
        </w:rPr>
        <w:fldChar w:fldCharType="end"/>
      </w:r>
      <w:r>
        <w:rPr>
          <w:rFonts w:hint="eastAsia" w:ascii="宋体" w:hAnsi="宋体" w:cs="宋体"/>
          <w:color w:val="auto"/>
        </w:rPr>
        <w:t>》（</w:t>
      </w:r>
      <w:r>
        <w:rPr>
          <w:color w:val="auto"/>
        </w:rPr>
        <w:fldChar w:fldCharType="begin"/>
      </w:r>
      <w:r>
        <w:rPr>
          <w:color w:val="auto"/>
        </w:rPr>
        <w:instrText xml:space="preserve"> HYPERLINK "http://www.shui5.cn/article/47/26142.html" </w:instrText>
      </w:r>
      <w:r>
        <w:rPr>
          <w:color w:val="auto"/>
        </w:rPr>
        <w:fldChar w:fldCharType="separate"/>
      </w:r>
      <w:r>
        <w:rPr>
          <w:rFonts w:hint="eastAsia" w:ascii="宋体" w:hAnsi="宋体" w:cs="宋体"/>
          <w:color w:val="auto"/>
        </w:rPr>
        <w:t>国发〔2009〕36号</w:t>
      </w:r>
      <w:r>
        <w:rPr>
          <w:rFonts w:hint="eastAsia" w:ascii="宋体" w:hAnsi="宋体" w:cs="宋体"/>
          <w:color w:val="auto"/>
        </w:rPr>
        <w:fldChar w:fldCharType="end"/>
      </w:r>
      <w:r>
        <w:rPr>
          <w:rFonts w:hint="eastAsia" w:ascii="宋体" w:hAnsi="宋体" w:cs="宋体"/>
          <w:color w:val="auto"/>
        </w:rPr>
        <w:t>），制定本规定。</w:t>
      </w:r>
    </w:p>
    <w:p w14:paraId="58E42B7F">
      <w:pPr>
        <w:snapToGrid w:val="0"/>
        <w:spacing w:line="360" w:lineRule="auto"/>
        <w:ind w:firstLine="420" w:firstLineChars="200"/>
        <w:rPr>
          <w:rFonts w:hint="eastAsia" w:ascii="宋体" w:hAnsi="宋体" w:cs="宋体"/>
          <w:color w:val="auto"/>
        </w:rPr>
      </w:pPr>
      <w:r>
        <w:rPr>
          <w:rFonts w:hint="eastAsia" w:ascii="宋体" w:hAnsi="宋体" w:cs="宋体"/>
          <w:color w:val="auto"/>
        </w:rPr>
        <w:t>二、中小企业划分为中型、小型、微型三种类型，具体标准根据企业从业人员、营业收入、资产总额等指标，结合行业特点制定。</w:t>
      </w:r>
    </w:p>
    <w:p w14:paraId="4465834C">
      <w:pPr>
        <w:snapToGrid w:val="0"/>
        <w:spacing w:line="360" w:lineRule="auto"/>
        <w:ind w:firstLine="420" w:firstLineChars="200"/>
        <w:rPr>
          <w:rFonts w:hint="eastAsia" w:ascii="宋体" w:hAnsi="宋体" w:cs="宋体"/>
          <w:color w:val="auto"/>
        </w:rPr>
      </w:pPr>
      <w:r>
        <w:rPr>
          <w:rFonts w:hint="eastAsia" w:ascii="宋体" w:hAnsi="宋体" w:cs="宋体"/>
          <w:color w:val="auto"/>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其他未列明的行业，其他未列明行业（包括科学研究和技术服务业，水利、环境和公共设施管理业，居民服务、修理和其他服务业，社会工作，文化、体育和娱乐业等）。</w:t>
      </w:r>
    </w:p>
    <w:p w14:paraId="056AE47D">
      <w:pPr>
        <w:snapToGrid w:val="0"/>
        <w:spacing w:line="360" w:lineRule="auto"/>
        <w:ind w:firstLine="420" w:firstLineChars="200"/>
        <w:rPr>
          <w:rFonts w:hint="eastAsia" w:ascii="宋体" w:hAnsi="宋体" w:cs="宋体"/>
          <w:color w:val="auto"/>
        </w:rPr>
      </w:pPr>
      <w:r>
        <w:rPr>
          <w:rFonts w:hint="eastAsia" w:ascii="宋体" w:hAnsi="宋体" w:cs="宋体"/>
          <w:color w:val="auto"/>
        </w:rPr>
        <w:t>四、各行业划型标准为：</w:t>
      </w:r>
    </w:p>
    <w:p w14:paraId="70CC35C5">
      <w:pPr>
        <w:snapToGrid w:val="0"/>
        <w:spacing w:line="360" w:lineRule="auto"/>
        <w:ind w:firstLine="420" w:firstLineChars="200"/>
        <w:rPr>
          <w:rFonts w:hint="eastAsia" w:ascii="宋体" w:hAnsi="宋体" w:cs="宋体"/>
          <w:color w:val="auto"/>
        </w:rPr>
      </w:pPr>
      <w:r>
        <w:rPr>
          <w:rFonts w:hint="eastAsia" w:ascii="宋体" w:hAnsi="宋体" w:cs="宋体"/>
          <w:color w:val="auto"/>
        </w:rPr>
        <w:t>（一）农、林、牧、渔业。营业收入20000万元以下的为中小微型企业。其中，营业收入500万元及以上的为中型企业，营业收入</w:t>
      </w:r>
      <w:r>
        <w:rPr>
          <w:rFonts w:hint="eastAsia" w:ascii="宋体" w:hAnsi="宋体" w:cs="宋体"/>
          <w:color w:val="auto"/>
          <w:lang w:eastAsia="zh-CN"/>
        </w:rPr>
        <w:t>29万元</w:t>
      </w:r>
      <w:r>
        <w:rPr>
          <w:rFonts w:hint="eastAsia" w:ascii="宋体" w:hAnsi="宋体" w:cs="宋体"/>
          <w:color w:val="auto"/>
        </w:rPr>
        <w:t>及以上的为小型企业，营业收入</w:t>
      </w:r>
      <w:r>
        <w:rPr>
          <w:rFonts w:hint="eastAsia" w:ascii="宋体" w:hAnsi="宋体" w:cs="宋体"/>
          <w:color w:val="auto"/>
          <w:lang w:eastAsia="zh-CN"/>
        </w:rPr>
        <w:t>29万元</w:t>
      </w:r>
      <w:r>
        <w:rPr>
          <w:rFonts w:hint="eastAsia" w:ascii="宋体" w:hAnsi="宋体" w:cs="宋体"/>
          <w:color w:val="auto"/>
        </w:rPr>
        <w:t>以下的为微型企业。</w:t>
      </w:r>
    </w:p>
    <w:p w14:paraId="6537C6C4">
      <w:pPr>
        <w:snapToGrid w:val="0"/>
        <w:spacing w:line="360" w:lineRule="auto"/>
        <w:ind w:firstLine="420" w:firstLineChars="200"/>
        <w:rPr>
          <w:rFonts w:hint="eastAsia" w:ascii="宋体" w:hAnsi="宋体" w:cs="宋体"/>
          <w:color w:val="auto"/>
        </w:rPr>
      </w:pPr>
      <w:r>
        <w:rPr>
          <w:rFonts w:hint="eastAsia" w:ascii="宋体" w:hAnsi="宋体" w:cs="宋体"/>
          <w:color w:va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7D14551">
      <w:pPr>
        <w:snapToGrid w:val="0"/>
        <w:spacing w:line="360" w:lineRule="auto"/>
        <w:ind w:firstLine="420" w:firstLineChars="200"/>
        <w:rPr>
          <w:rFonts w:hint="eastAsia" w:ascii="宋体" w:hAnsi="宋体" w:cs="宋体"/>
          <w:color w:val="auto"/>
        </w:rPr>
      </w:pPr>
      <w:r>
        <w:rPr>
          <w:rFonts w:hint="eastAsia" w:ascii="宋体" w:hAnsi="宋体" w:cs="宋体"/>
          <w:color w:va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25CEE6C">
      <w:pPr>
        <w:snapToGrid w:val="0"/>
        <w:spacing w:line="360" w:lineRule="auto"/>
        <w:ind w:firstLine="420" w:firstLineChars="200"/>
        <w:rPr>
          <w:rFonts w:hint="eastAsia" w:ascii="宋体" w:hAnsi="宋体" w:cs="宋体"/>
          <w:color w:val="auto"/>
        </w:rPr>
      </w:pPr>
      <w:r>
        <w:rPr>
          <w:rFonts w:hint="eastAsia" w:ascii="宋体" w:hAnsi="宋体" w:cs="宋体"/>
          <w:color w:va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2336F56">
      <w:pPr>
        <w:snapToGrid w:val="0"/>
        <w:spacing w:line="360" w:lineRule="auto"/>
        <w:ind w:firstLine="420" w:firstLineChars="200"/>
        <w:rPr>
          <w:rFonts w:hint="eastAsia" w:ascii="宋体" w:hAnsi="宋体" w:cs="宋体"/>
          <w:color w:val="auto"/>
        </w:rPr>
      </w:pPr>
      <w:r>
        <w:rPr>
          <w:rFonts w:hint="eastAsia" w:ascii="宋体" w:hAnsi="宋体" w:cs="宋体"/>
          <w:color w:va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4328BB">
      <w:pPr>
        <w:snapToGrid w:val="0"/>
        <w:spacing w:line="360" w:lineRule="auto"/>
        <w:ind w:firstLine="420" w:firstLineChars="200"/>
        <w:rPr>
          <w:rFonts w:hint="eastAsia" w:ascii="宋体" w:hAnsi="宋体" w:cs="宋体"/>
          <w:color w:val="auto"/>
        </w:rPr>
      </w:pPr>
      <w:r>
        <w:rPr>
          <w:rFonts w:hint="eastAsia" w:ascii="宋体" w:hAnsi="宋体" w:cs="宋体"/>
          <w:color w:val="auto"/>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7E7CC1">
      <w:pPr>
        <w:snapToGrid w:val="0"/>
        <w:spacing w:line="360" w:lineRule="auto"/>
        <w:ind w:firstLine="420" w:firstLineChars="200"/>
        <w:rPr>
          <w:rFonts w:hint="eastAsia" w:ascii="宋体" w:hAnsi="宋体" w:cs="宋体"/>
          <w:color w:val="auto"/>
        </w:rPr>
      </w:pPr>
      <w:r>
        <w:rPr>
          <w:rFonts w:hint="eastAsia" w:ascii="宋体" w:hAnsi="宋体" w:cs="宋体"/>
          <w:color w:va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884C463">
      <w:pPr>
        <w:snapToGrid w:val="0"/>
        <w:spacing w:line="360" w:lineRule="auto"/>
        <w:ind w:firstLine="420" w:firstLineChars="200"/>
        <w:rPr>
          <w:rFonts w:hint="eastAsia" w:ascii="宋体" w:hAnsi="宋体" w:cs="宋体"/>
          <w:color w:val="auto"/>
        </w:rPr>
      </w:pPr>
      <w:r>
        <w:rPr>
          <w:rFonts w:hint="eastAsia" w:ascii="宋体" w:hAnsi="宋体" w:cs="宋体"/>
          <w:color w:va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6F06B8">
      <w:pPr>
        <w:snapToGrid w:val="0"/>
        <w:spacing w:line="360" w:lineRule="auto"/>
        <w:ind w:firstLine="420" w:firstLineChars="200"/>
        <w:rPr>
          <w:rFonts w:hint="eastAsia" w:ascii="宋体" w:hAnsi="宋体" w:cs="宋体"/>
          <w:color w:val="auto"/>
        </w:rPr>
      </w:pPr>
      <w:r>
        <w:rPr>
          <w:rFonts w:hint="eastAsia" w:ascii="宋体" w:hAnsi="宋体" w:cs="宋体"/>
          <w:color w:va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61AB3D">
      <w:pPr>
        <w:snapToGrid w:val="0"/>
        <w:spacing w:line="360" w:lineRule="auto"/>
        <w:ind w:firstLine="420" w:firstLineChars="200"/>
        <w:rPr>
          <w:rFonts w:hint="eastAsia" w:ascii="宋体" w:hAnsi="宋体" w:cs="宋体"/>
          <w:color w:val="auto"/>
        </w:rPr>
      </w:pPr>
      <w:r>
        <w:rPr>
          <w:rFonts w:hint="eastAsia" w:ascii="宋体" w:hAnsi="宋体" w:cs="宋体"/>
          <w:color w:va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F340AA">
      <w:pPr>
        <w:snapToGrid w:val="0"/>
        <w:spacing w:line="360" w:lineRule="auto"/>
        <w:ind w:firstLine="420" w:firstLineChars="200"/>
        <w:rPr>
          <w:rFonts w:hint="eastAsia" w:ascii="宋体" w:hAnsi="宋体" w:cs="宋体"/>
          <w:color w:val="auto"/>
        </w:rPr>
      </w:pPr>
      <w:r>
        <w:rPr>
          <w:rFonts w:hint="eastAsia" w:ascii="宋体" w:hAnsi="宋体" w:cs="宋体"/>
          <w:color w:va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E049D1D">
      <w:pPr>
        <w:snapToGrid w:val="0"/>
        <w:spacing w:line="360" w:lineRule="auto"/>
        <w:ind w:firstLine="420" w:firstLineChars="200"/>
        <w:rPr>
          <w:rFonts w:hint="eastAsia" w:ascii="宋体" w:hAnsi="宋体" w:cs="宋体"/>
          <w:color w:val="auto"/>
        </w:rPr>
      </w:pPr>
      <w:r>
        <w:rPr>
          <w:rFonts w:hint="eastAsia" w:ascii="宋体" w:hAnsi="宋体" w:cs="宋体"/>
          <w:color w:val="auto"/>
        </w:rPr>
        <w:t>（十二）软件和信息技术服务业。从业人员300人以下或营业收入10000万元以下的为中小微型企业。其中，从业人员100人及以上，且营业收入1000万元及以上的为中型企业；从业人员10人及以上，且营业收入</w:t>
      </w:r>
      <w:r>
        <w:rPr>
          <w:rFonts w:hint="eastAsia" w:ascii="宋体" w:hAnsi="宋体" w:cs="宋体"/>
          <w:color w:val="auto"/>
          <w:lang w:eastAsia="zh-CN"/>
        </w:rPr>
        <w:t>29万元</w:t>
      </w:r>
      <w:r>
        <w:rPr>
          <w:rFonts w:hint="eastAsia" w:ascii="宋体" w:hAnsi="宋体" w:cs="宋体"/>
          <w:color w:val="auto"/>
        </w:rPr>
        <w:t>及以上的为小型企业；从业人员10人以下或营业收入</w:t>
      </w:r>
      <w:r>
        <w:rPr>
          <w:rFonts w:hint="eastAsia" w:ascii="宋体" w:hAnsi="宋体" w:cs="宋体"/>
          <w:color w:val="auto"/>
          <w:lang w:eastAsia="zh-CN"/>
        </w:rPr>
        <w:t>29万元</w:t>
      </w:r>
      <w:r>
        <w:rPr>
          <w:rFonts w:hint="eastAsia" w:ascii="宋体" w:hAnsi="宋体" w:cs="宋体"/>
          <w:color w:val="auto"/>
        </w:rPr>
        <w:t>以下的为微型企业。</w:t>
      </w:r>
    </w:p>
    <w:p w14:paraId="220C35D5">
      <w:pPr>
        <w:snapToGrid w:val="0"/>
        <w:spacing w:line="360" w:lineRule="auto"/>
        <w:ind w:firstLine="420" w:firstLineChars="200"/>
        <w:rPr>
          <w:rFonts w:hint="eastAsia" w:ascii="宋体" w:hAnsi="宋体" w:cs="宋体"/>
          <w:color w:val="auto"/>
        </w:rPr>
      </w:pPr>
      <w:r>
        <w:rPr>
          <w:rFonts w:hint="eastAsia" w:ascii="宋体" w:hAnsi="宋体" w:cs="宋体"/>
          <w:color w:va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979ED1E">
      <w:pPr>
        <w:snapToGrid w:val="0"/>
        <w:spacing w:line="360" w:lineRule="auto"/>
        <w:ind w:firstLine="420" w:firstLineChars="200"/>
        <w:rPr>
          <w:rFonts w:hint="eastAsia" w:ascii="宋体" w:hAnsi="宋体" w:cs="宋体"/>
          <w:color w:val="auto"/>
        </w:rPr>
      </w:pPr>
      <w:r>
        <w:rPr>
          <w:rFonts w:hint="eastAsia" w:ascii="宋体" w:hAnsi="宋体" w:cs="宋体"/>
          <w:color w:val="auto"/>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58A6F56">
      <w:pPr>
        <w:snapToGrid w:val="0"/>
        <w:spacing w:line="360" w:lineRule="auto"/>
        <w:ind w:firstLine="420" w:firstLineChars="200"/>
        <w:rPr>
          <w:rFonts w:hint="eastAsia" w:ascii="宋体" w:hAnsi="宋体" w:cs="宋体"/>
          <w:color w:val="auto"/>
        </w:rPr>
      </w:pPr>
      <w:r>
        <w:rPr>
          <w:rFonts w:hint="eastAsia" w:ascii="宋体" w:hAnsi="宋体" w:cs="宋体"/>
          <w:color w:val="auto"/>
        </w:rPr>
        <w:t>（十五）</w:t>
      </w:r>
      <w:r>
        <w:rPr>
          <w:rFonts w:hint="eastAsia" w:ascii="宋体" w:hAnsi="宋体" w:cs="宋体"/>
          <w:color w:val="auto"/>
          <w:szCs w:val="21"/>
        </w:rPr>
        <w:t>租赁和商务服务业</w:t>
      </w:r>
      <w:r>
        <w:rPr>
          <w:rFonts w:hint="eastAsia" w:ascii="宋体" w:hAnsi="宋体" w:cs="宋体"/>
          <w:color w:val="auto"/>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DE3579">
      <w:pPr>
        <w:snapToGrid w:val="0"/>
        <w:spacing w:line="360" w:lineRule="auto"/>
        <w:ind w:firstLine="420" w:firstLineChars="200"/>
        <w:rPr>
          <w:rFonts w:hint="eastAsia" w:ascii="宋体" w:hAnsi="宋体" w:cs="宋体"/>
          <w:color w:val="auto"/>
        </w:rPr>
      </w:pPr>
      <w:r>
        <w:rPr>
          <w:rFonts w:hint="eastAsia" w:ascii="宋体" w:hAnsi="宋体" w:cs="宋体"/>
          <w:color w:val="auto"/>
        </w:rPr>
        <w:t>（十六）其他未列明行业。从业人员300人以下的为中小微型企业。其中，从业人员100人及以上的为中型企业；从业人员10人及以上的为小型企业；从业人员10人以下的为微型企业。</w:t>
      </w:r>
    </w:p>
    <w:p w14:paraId="09B626C5">
      <w:pPr>
        <w:snapToGrid w:val="0"/>
        <w:spacing w:line="360" w:lineRule="auto"/>
        <w:ind w:firstLine="420" w:firstLineChars="200"/>
        <w:rPr>
          <w:rFonts w:hint="eastAsia" w:ascii="宋体" w:hAnsi="宋体" w:cs="宋体"/>
          <w:color w:val="auto"/>
        </w:rPr>
      </w:pPr>
      <w:r>
        <w:rPr>
          <w:rFonts w:hint="eastAsia" w:ascii="宋体" w:hAnsi="宋体" w:cs="宋体"/>
          <w:color w:val="auto"/>
        </w:rPr>
        <w:t>五、企业类型的划分以统计部门的统计数据为依据。</w:t>
      </w:r>
    </w:p>
    <w:p w14:paraId="2BFA15CE">
      <w:pPr>
        <w:snapToGrid w:val="0"/>
        <w:spacing w:line="360" w:lineRule="auto"/>
        <w:ind w:firstLine="420" w:firstLineChars="200"/>
        <w:rPr>
          <w:rFonts w:hint="eastAsia" w:ascii="宋体" w:hAnsi="宋体" w:cs="宋体"/>
          <w:color w:val="auto"/>
        </w:rPr>
      </w:pPr>
      <w:r>
        <w:rPr>
          <w:rFonts w:hint="eastAsia" w:ascii="宋体" w:hAnsi="宋体" w:cs="宋体"/>
          <w:color w:val="auto"/>
        </w:rPr>
        <w:t>六、本规定适用于在中华人民共和国境内依法设立的各类所有制和各种组织形式的企业。个体工商户和本规定以外的行业，参照本规定进行划型。</w:t>
      </w:r>
    </w:p>
    <w:p w14:paraId="34234931">
      <w:pPr>
        <w:snapToGrid w:val="0"/>
        <w:spacing w:line="360" w:lineRule="auto"/>
        <w:ind w:firstLine="420" w:firstLineChars="200"/>
        <w:rPr>
          <w:rFonts w:hint="eastAsia" w:ascii="宋体" w:hAnsi="宋体" w:cs="宋体"/>
          <w:color w:val="auto"/>
        </w:rPr>
      </w:pPr>
      <w:r>
        <w:rPr>
          <w:rFonts w:hint="eastAsia" w:ascii="宋体" w:hAnsi="宋体" w:cs="宋体"/>
          <w:color w:val="auto"/>
        </w:rPr>
        <w:t>七、本规定的中型企业标准上限即为大型企业标准的下限，国家统计部门据此制定大中小微型企业的统计分类。国务院有关部门据此进行相关数据分析，不得制定与本规定不一致的企业划型标准。</w:t>
      </w:r>
    </w:p>
    <w:p w14:paraId="48BBAFF9">
      <w:pPr>
        <w:snapToGrid w:val="0"/>
        <w:spacing w:line="360" w:lineRule="auto"/>
        <w:ind w:firstLine="420" w:firstLineChars="200"/>
        <w:rPr>
          <w:rFonts w:hint="eastAsia" w:ascii="宋体" w:hAnsi="宋体" w:cs="宋体"/>
          <w:color w:val="auto"/>
        </w:rPr>
      </w:pPr>
      <w:r>
        <w:rPr>
          <w:rFonts w:hint="eastAsia" w:ascii="宋体" w:hAnsi="宋体" w:cs="宋体"/>
          <w:color w:val="auto"/>
        </w:rPr>
        <w:t>八、本规定由工业和信息化部、国家统计局会同有关部门根据《国民经济行业分类》修订情况和企业发展变化情况适时修订。</w:t>
      </w:r>
    </w:p>
    <w:p w14:paraId="635AAEC2">
      <w:pPr>
        <w:snapToGrid w:val="0"/>
        <w:spacing w:line="360" w:lineRule="auto"/>
        <w:ind w:firstLine="420" w:firstLineChars="200"/>
        <w:rPr>
          <w:rFonts w:hint="eastAsia" w:ascii="宋体" w:hAnsi="宋体" w:cs="宋体"/>
          <w:color w:val="auto"/>
        </w:rPr>
      </w:pPr>
      <w:r>
        <w:rPr>
          <w:rFonts w:hint="eastAsia" w:ascii="宋体" w:hAnsi="宋体" w:cs="宋体"/>
          <w:color w:val="auto"/>
        </w:rPr>
        <w:t>九、本规定由工业和信息化部、国家统计局会同有关部门负责解释。</w:t>
      </w:r>
    </w:p>
    <w:p w14:paraId="28EF375F">
      <w:pPr>
        <w:snapToGrid w:val="0"/>
        <w:spacing w:line="360" w:lineRule="auto"/>
        <w:ind w:firstLine="420" w:firstLineChars="200"/>
        <w:rPr>
          <w:rFonts w:hint="eastAsia" w:ascii="宋体" w:hAnsi="宋体" w:cs="宋体"/>
          <w:b/>
          <w:color w:val="auto"/>
        </w:rPr>
      </w:pPr>
      <w:r>
        <w:rPr>
          <w:rFonts w:hint="eastAsia" w:ascii="宋体" w:hAnsi="宋体" w:cs="宋体"/>
          <w:color w:val="auto"/>
        </w:rPr>
        <w:t>十、本规定自发布之日起执行，原国家经贸委、原国家计委、财政部和国家统计局2003年颁布的《</w:t>
      </w:r>
      <w:r>
        <w:rPr>
          <w:color w:val="auto"/>
        </w:rPr>
        <w:fldChar w:fldCharType="begin"/>
      </w:r>
      <w:r>
        <w:rPr>
          <w:color w:val="auto"/>
        </w:rPr>
        <w:instrText xml:space="preserve"> HYPERLINK "http://www.shui5.cn/article/df/24263.html" </w:instrText>
      </w:r>
      <w:r>
        <w:rPr>
          <w:color w:val="auto"/>
        </w:rPr>
        <w:fldChar w:fldCharType="separate"/>
      </w:r>
      <w:r>
        <w:rPr>
          <w:rFonts w:hint="eastAsia" w:ascii="宋体" w:hAnsi="宋体" w:cs="宋体"/>
          <w:color w:val="auto"/>
        </w:rPr>
        <w:t>中小企业标准暂行规定</w:t>
      </w:r>
      <w:r>
        <w:rPr>
          <w:rFonts w:hint="eastAsia" w:ascii="宋体" w:hAnsi="宋体" w:cs="宋体"/>
          <w:color w:val="auto"/>
        </w:rPr>
        <w:fldChar w:fldCharType="end"/>
      </w:r>
      <w:r>
        <w:rPr>
          <w:rFonts w:hint="eastAsia" w:ascii="宋体" w:hAnsi="宋体" w:cs="宋体"/>
          <w:color w:val="auto"/>
        </w:rPr>
        <w:t>》</w:t>
      </w:r>
      <w:r>
        <w:rPr>
          <w:color w:val="auto"/>
        </w:rPr>
        <w:fldChar w:fldCharType="begin"/>
      </w:r>
      <w:r>
        <w:rPr>
          <w:color w:val="auto"/>
        </w:rPr>
        <w:instrText xml:space="preserve"> HYPERLINK "http://www.shui5.cn/article/df/24263.html" </w:instrText>
      </w:r>
      <w:r>
        <w:rPr>
          <w:color w:val="auto"/>
        </w:rPr>
        <w:fldChar w:fldCharType="separate"/>
      </w:r>
      <w:r>
        <w:rPr>
          <w:rFonts w:hint="eastAsia" w:ascii="宋体" w:hAnsi="宋体" w:cs="宋体"/>
          <w:color w:val="auto"/>
        </w:rPr>
        <w:t>国经贸中小企[2003]143号</w:t>
      </w:r>
      <w:r>
        <w:rPr>
          <w:rFonts w:hint="eastAsia" w:ascii="宋体" w:hAnsi="宋体" w:cs="宋体"/>
          <w:color w:val="auto"/>
        </w:rPr>
        <w:fldChar w:fldCharType="end"/>
      </w:r>
      <w:r>
        <w:rPr>
          <w:rFonts w:hint="eastAsia" w:ascii="宋体" w:hAnsi="宋体" w:cs="宋体"/>
          <w:color w:val="auto"/>
        </w:rPr>
        <w:t>同时废止。</w:t>
      </w:r>
    </w:p>
    <w:p w14:paraId="7C2C0AC1">
      <w:pPr>
        <w:snapToGrid w:val="0"/>
        <w:spacing w:line="360" w:lineRule="auto"/>
        <w:jc w:val="center"/>
        <w:rPr>
          <w:rFonts w:hint="eastAsia" w:ascii="宋体" w:hAnsi="宋体" w:cs="宋体"/>
          <w:b/>
          <w:color w:val="auto"/>
        </w:rPr>
      </w:pPr>
      <w:r>
        <w:rPr>
          <w:rFonts w:hint="eastAsia" w:ascii="宋体" w:hAnsi="宋体" w:cs="宋体"/>
          <w:color w:val="auto"/>
        </w:rPr>
        <w:br w:type="page"/>
      </w:r>
      <w:r>
        <w:rPr>
          <w:rFonts w:hint="eastAsia" w:ascii="宋体" w:hAnsi="宋体" w:cs="宋体"/>
          <w:b/>
          <w:color w:val="auto"/>
          <w:sz w:val="28"/>
          <w:szCs w:val="28"/>
        </w:rPr>
        <w:t>残疾人福利性单位声明函（如是）</w:t>
      </w:r>
    </w:p>
    <w:p w14:paraId="43CE2528">
      <w:pPr>
        <w:snapToGrid w:val="0"/>
        <w:spacing w:line="360" w:lineRule="auto"/>
        <w:ind w:firstLine="420" w:firstLineChars="200"/>
        <w:rPr>
          <w:rFonts w:hint="eastAsia" w:ascii="宋体" w:hAnsi="宋体" w:cs="宋体"/>
          <w:color w:val="auto"/>
        </w:rPr>
      </w:pPr>
    </w:p>
    <w:p w14:paraId="40A586C0">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本单位郑重声明，根据《财政部 民政部 中国残疾人联合会关于促进残疾人就业政府采购政策的通知》（财库〔2017〕 141号）的规定，本单位为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(填写:符合或不符合)条件的残疾人福利性单位，且本单位参加</w:t>
      </w:r>
      <w:r>
        <w:rPr>
          <w:rFonts w:hint="eastAsia" w:ascii="宋体" w:hAnsi="宋体" w:cs="宋体"/>
          <w:color w:val="auto"/>
          <w:sz w:val="24"/>
          <w:szCs w:val="24"/>
          <w:u w:val="single"/>
        </w:rPr>
        <w:t xml:space="preserve">                 </w:t>
      </w:r>
      <w:r>
        <w:rPr>
          <w:rFonts w:hint="eastAsia" w:ascii="宋体" w:hAnsi="宋体" w:cs="宋体"/>
          <w:color w:val="auto"/>
          <w:sz w:val="24"/>
          <w:szCs w:val="24"/>
        </w:rPr>
        <w:t>采购活动提供本单位制造的货物（由本单位承担工程/提供服务），或者提供其他残疾人福利性单位制造的货物（不包括使用非残疾人福利性单位注册商标的货物）。</w:t>
      </w:r>
    </w:p>
    <w:p w14:paraId="292F3850">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本公司对上述声明的真实性负责。如有虚假，将按照提供虚假投标材料处理。</w:t>
      </w:r>
    </w:p>
    <w:p w14:paraId="13901042">
      <w:pPr>
        <w:snapToGrid w:val="0"/>
        <w:spacing w:line="588" w:lineRule="exact"/>
        <w:rPr>
          <w:rFonts w:hint="eastAsia" w:ascii="宋体" w:hAnsi="宋体" w:cs="宋体"/>
          <w:color w:val="auto"/>
        </w:rPr>
      </w:pPr>
    </w:p>
    <w:p w14:paraId="18CC7A7D">
      <w:pPr>
        <w:snapToGrid w:val="0"/>
        <w:spacing w:line="360" w:lineRule="auto"/>
        <w:rPr>
          <w:rFonts w:hint="eastAsia" w:ascii="宋体" w:hAnsi="宋体" w:cs="宋体"/>
          <w:b/>
          <w:color w:val="auto"/>
        </w:rPr>
      </w:pPr>
    </w:p>
    <w:p w14:paraId="7783BDF6">
      <w:pPr>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投标人名称：（加盖公章）</w:t>
      </w:r>
    </w:p>
    <w:p w14:paraId="141B7B2F">
      <w:pPr>
        <w:snapToGrid w:val="0"/>
        <w:spacing w:line="360" w:lineRule="auto"/>
        <w:jc w:val="left"/>
        <w:rPr>
          <w:rFonts w:hint="eastAsia" w:ascii="宋体" w:hAnsi="宋体" w:cs="宋体"/>
          <w:color w:val="auto"/>
          <w:szCs w:val="21"/>
        </w:rPr>
      </w:pPr>
      <w:r>
        <w:rPr>
          <w:rFonts w:hint="eastAsia" w:ascii="宋体" w:hAnsi="宋体" w:cs="宋体"/>
          <w:color w:val="auto"/>
          <w:sz w:val="24"/>
          <w:szCs w:val="24"/>
        </w:rPr>
        <w:t>投标日期：</w:t>
      </w:r>
    </w:p>
    <w:p w14:paraId="7D517471">
      <w:pPr>
        <w:snapToGrid w:val="0"/>
        <w:spacing w:line="360" w:lineRule="auto"/>
        <w:rPr>
          <w:rFonts w:hint="eastAsia" w:ascii="宋体" w:hAnsi="宋体" w:cs="宋体"/>
          <w:b/>
          <w:color w:val="auto"/>
        </w:rPr>
      </w:pPr>
    </w:p>
    <w:p w14:paraId="38ECFFFF">
      <w:pPr>
        <w:snapToGrid w:val="0"/>
        <w:spacing w:line="360" w:lineRule="auto"/>
        <w:rPr>
          <w:rFonts w:hint="eastAsia" w:ascii="宋体" w:hAnsi="宋体" w:cs="宋体"/>
          <w:bCs/>
          <w:color w:val="auto"/>
        </w:rPr>
      </w:pPr>
      <w:r>
        <w:rPr>
          <w:rFonts w:hint="eastAsia" w:ascii="宋体" w:hAnsi="宋体" w:cs="宋体"/>
          <w:bCs/>
          <w:color w:val="auto"/>
        </w:rPr>
        <w:t>注：残疾人福利性单位视同小型、微型企业，享受预留份额、评审中价格扣除等促进中小企业发展的政府采购政策。残疾人福利性单位属于小型、微型企业的，不重复享受政策。投标人为非残疾人福利性单位的，可不提供此声明。</w:t>
      </w:r>
    </w:p>
    <w:p w14:paraId="7725B7AB">
      <w:pPr>
        <w:snapToGrid w:val="0"/>
        <w:spacing w:line="360" w:lineRule="auto"/>
        <w:jc w:val="left"/>
        <w:rPr>
          <w:rFonts w:hint="eastAsia" w:ascii="宋体" w:hAnsi="宋体" w:cs="宋体"/>
          <w:b/>
          <w:color w:val="auto"/>
        </w:rPr>
      </w:pPr>
      <w:r>
        <w:rPr>
          <w:rFonts w:hint="eastAsia" w:ascii="宋体" w:hAnsi="宋体" w:cs="宋体"/>
          <w:color w:val="auto"/>
        </w:rPr>
        <w:br w:type="page"/>
      </w:r>
    </w:p>
    <w:p w14:paraId="7D0419BF">
      <w:pPr>
        <w:snapToGrid w:val="0"/>
        <w:spacing w:line="360" w:lineRule="auto"/>
        <w:jc w:val="center"/>
        <w:rPr>
          <w:rFonts w:hint="eastAsia" w:ascii="宋体" w:hAnsi="宋体" w:cs="宋体"/>
          <w:b/>
          <w:color w:val="auto"/>
          <w:spacing w:val="6"/>
          <w:szCs w:val="21"/>
        </w:rPr>
      </w:pPr>
      <w:r>
        <w:rPr>
          <w:rFonts w:hint="eastAsia" w:ascii="宋体" w:hAnsi="宋体" w:cs="宋体"/>
          <w:b/>
          <w:color w:val="auto"/>
          <w:spacing w:val="6"/>
          <w:sz w:val="24"/>
          <w:szCs w:val="24"/>
        </w:rPr>
        <w:t>监狱企业声明函（如是）</w:t>
      </w:r>
    </w:p>
    <w:p w14:paraId="070FCEF3">
      <w:pPr>
        <w:tabs>
          <w:tab w:val="left" w:pos="1134"/>
        </w:tabs>
        <w:snapToGrid w:val="0"/>
        <w:spacing w:line="360" w:lineRule="auto"/>
        <w:ind w:firstLine="444" w:firstLineChars="200"/>
        <w:rPr>
          <w:rFonts w:hint="eastAsia" w:ascii="宋体" w:hAnsi="宋体" w:cs="宋体"/>
          <w:color w:val="auto"/>
          <w:spacing w:val="6"/>
          <w:szCs w:val="21"/>
        </w:rPr>
      </w:pPr>
    </w:p>
    <w:p w14:paraId="215CB3B1">
      <w:pPr>
        <w:tabs>
          <w:tab w:val="left" w:pos="1134"/>
        </w:tabs>
        <w:snapToGrid w:val="0"/>
        <w:spacing w:line="360" w:lineRule="auto"/>
        <w:ind w:firstLine="504" w:firstLineChars="200"/>
        <w:rPr>
          <w:rFonts w:hint="eastAsia" w:ascii="宋体" w:hAnsi="宋体" w:cs="宋体"/>
          <w:color w:val="auto"/>
          <w:spacing w:val="6"/>
          <w:sz w:val="24"/>
          <w:szCs w:val="24"/>
        </w:rPr>
      </w:pPr>
      <w:r>
        <w:rPr>
          <w:rFonts w:hint="eastAsia" w:ascii="宋体" w:hAnsi="宋体" w:cs="宋体"/>
          <w:color w:val="auto"/>
          <w:spacing w:val="6"/>
          <w:sz w:val="24"/>
          <w:szCs w:val="24"/>
        </w:rPr>
        <w:t>本公司郑重声明，根据《政府采购支持监狱企业发展有关问题的通知》（财库〔2014〕68号）的规定，本公司______（请填写：“是” 或 “不是”）监狱企业。即，本公司满足以下条件：</w:t>
      </w:r>
    </w:p>
    <w:p w14:paraId="7C665827">
      <w:pPr>
        <w:tabs>
          <w:tab w:val="left" w:pos="0"/>
        </w:tabs>
        <w:snapToGrid w:val="0"/>
        <w:spacing w:line="360" w:lineRule="auto"/>
        <w:ind w:firstLine="504" w:firstLineChars="200"/>
        <w:rPr>
          <w:rFonts w:hint="eastAsia" w:ascii="宋体" w:hAnsi="宋体" w:cs="宋体"/>
          <w:color w:val="auto"/>
          <w:spacing w:val="6"/>
          <w:sz w:val="24"/>
          <w:szCs w:val="24"/>
        </w:rPr>
      </w:pPr>
      <w:r>
        <w:rPr>
          <w:rFonts w:hint="eastAsia" w:ascii="宋体" w:hAnsi="宋体" w:cs="宋体"/>
          <w:color w:val="auto"/>
          <w:spacing w:val="6"/>
          <w:sz w:val="24"/>
          <w:szCs w:val="24"/>
        </w:rPr>
        <w:t>根据《工业和信息化部、国家统计局、国家发展和改革委员会、财政部关于印发中小企业划型标准规定的通知》（工信部联企业[2011]300号）规定的划分标准，本公司为______（请填写：“是” 或 “不是”）监狱企业。</w:t>
      </w:r>
    </w:p>
    <w:p w14:paraId="7D50BB9D">
      <w:pPr>
        <w:tabs>
          <w:tab w:val="left" w:pos="1134"/>
        </w:tabs>
        <w:snapToGrid w:val="0"/>
        <w:spacing w:line="360" w:lineRule="auto"/>
        <w:ind w:firstLine="504" w:firstLineChars="200"/>
        <w:rPr>
          <w:rFonts w:hint="eastAsia" w:ascii="宋体" w:hAnsi="宋体" w:cs="宋体"/>
          <w:color w:val="auto"/>
          <w:spacing w:val="6"/>
          <w:sz w:val="24"/>
          <w:szCs w:val="24"/>
        </w:rPr>
      </w:pPr>
      <w:r>
        <w:rPr>
          <w:rFonts w:hint="eastAsia" w:ascii="宋体" w:hAnsi="宋体" w:cs="宋体"/>
          <w:color w:val="auto"/>
          <w:spacing w:val="6"/>
          <w:sz w:val="24"/>
          <w:szCs w:val="24"/>
        </w:rPr>
        <w:t>本公司参加本次</w:t>
      </w:r>
      <w:r>
        <w:rPr>
          <w:rFonts w:hint="eastAsia" w:ascii="宋体" w:hAnsi="宋体" w:cs="宋体"/>
          <w:color w:val="auto"/>
          <w:spacing w:val="6"/>
          <w:sz w:val="24"/>
          <w:szCs w:val="24"/>
          <w:u w:val="single"/>
        </w:rPr>
        <w:t xml:space="preserve">             </w:t>
      </w:r>
      <w:r>
        <w:rPr>
          <w:rFonts w:hint="eastAsia" w:ascii="宋体" w:hAnsi="宋体" w:cs="宋体"/>
          <w:color w:val="auto"/>
          <w:spacing w:val="6"/>
          <w:sz w:val="24"/>
          <w:szCs w:val="24"/>
        </w:rPr>
        <w:t>提供本企业制造的货物及服务，由本企业承担工程、提供服务。</w:t>
      </w:r>
    </w:p>
    <w:p w14:paraId="1D3A6229">
      <w:pPr>
        <w:tabs>
          <w:tab w:val="left" w:pos="1134"/>
        </w:tabs>
        <w:snapToGrid w:val="0"/>
        <w:spacing w:line="360" w:lineRule="auto"/>
        <w:ind w:firstLine="504" w:firstLineChars="200"/>
        <w:rPr>
          <w:rFonts w:hint="eastAsia" w:ascii="宋体" w:hAnsi="宋体" w:cs="宋体"/>
          <w:color w:val="auto"/>
          <w:spacing w:val="6"/>
          <w:sz w:val="24"/>
          <w:szCs w:val="24"/>
        </w:rPr>
      </w:pPr>
      <w:r>
        <w:rPr>
          <w:rFonts w:hint="eastAsia" w:ascii="宋体" w:hAnsi="宋体" w:cs="宋体"/>
          <w:color w:val="auto"/>
          <w:spacing w:val="6"/>
          <w:sz w:val="24"/>
          <w:szCs w:val="24"/>
        </w:rPr>
        <w:t>本公司对上述声明的真实性负责。如有虚假，将按照提供虚假投标材料处理。</w:t>
      </w:r>
    </w:p>
    <w:p w14:paraId="63D47690">
      <w:pPr>
        <w:tabs>
          <w:tab w:val="left" w:pos="3969"/>
        </w:tabs>
        <w:snapToGrid w:val="0"/>
        <w:spacing w:line="360" w:lineRule="auto"/>
        <w:ind w:right="-58"/>
        <w:jc w:val="left"/>
        <w:rPr>
          <w:rFonts w:hint="eastAsia" w:ascii="宋体" w:hAnsi="宋体" w:cs="宋体"/>
          <w:color w:val="auto"/>
          <w:spacing w:val="6"/>
          <w:sz w:val="24"/>
          <w:szCs w:val="24"/>
        </w:rPr>
      </w:pPr>
    </w:p>
    <w:p w14:paraId="68D570F0">
      <w:pPr>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投标人名称：（加盖公章）</w:t>
      </w:r>
    </w:p>
    <w:p w14:paraId="5F5AA657">
      <w:pPr>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投标日期：</w:t>
      </w:r>
    </w:p>
    <w:p w14:paraId="33AC3AD0">
      <w:pPr>
        <w:spacing w:line="360" w:lineRule="auto"/>
        <w:ind w:firstLine="420" w:firstLineChars="200"/>
        <w:rPr>
          <w:rFonts w:hint="eastAsia" w:ascii="宋体" w:hAnsi="宋体" w:cs="宋体"/>
          <w:color w:val="auto"/>
        </w:rPr>
      </w:pPr>
    </w:p>
    <w:p w14:paraId="715903EB">
      <w:pPr>
        <w:pStyle w:val="35"/>
        <w:spacing w:line="360" w:lineRule="auto"/>
        <w:rPr>
          <w:rFonts w:cs="宋体"/>
          <w:color w:val="auto"/>
          <w:sz w:val="21"/>
          <w:szCs w:val="21"/>
        </w:rPr>
      </w:pPr>
    </w:p>
    <w:p w14:paraId="7EF83DB6">
      <w:pPr>
        <w:snapToGrid w:val="0"/>
        <w:spacing w:line="360" w:lineRule="auto"/>
        <w:rPr>
          <w:rFonts w:hint="eastAsia" w:ascii="宋体" w:hAnsi="宋体" w:cs="宋体"/>
          <w:bCs/>
          <w:color w:val="auto"/>
          <w:szCs w:val="21"/>
        </w:rPr>
      </w:pPr>
      <w:r>
        <w:rPr>
          <w:rFonts w:hint="eastAsia" w:ascii="宋体" w:hAnsi="宋体" w:cs="宋体"/>
          <w:bCs/>
          <w:color w:val="auto"/>
          <w:spacing w:val="6"/>
          <w:szCs w:val="21"/>
        </w:rPr>
        <w:t>注：1.</w:t>
      </w:r>
      <w:r>
        <w:rPr>
          <w:rFonts w:hint="eastAsia" w:ascii="宋体" w:hAnsi="宋体" w:cs="宋体"/>
          <w:bCs/>
          <w:color w:val="auto"/>
          <w:szCs w:val="21"/>
        </w:rPr>
        <w:t>如投标人为大型企业或未提供中小企业（监狱企业）声明函的，则其投标产品中的小型、微型企业生产的产品不能享受招标文件规定的价格扣除，但不影响投标人投标文件的有效性。</w:t>
      </w:r>
    </w:p>
    <w:p w14:paraId="14646C53">
      <w:pPr>
        <w:pStyle w:val="35"/>
        <w:spacing w:line="360" w:lineRule="auto"/>
        <w:rPr>
          <w:rFonts w:cs="宋体"/>
          <w:bCs/>
          <w:color w:val="auto"/>
          <w:sz w:val="21"/>
          <w:szCs w:val="21"/>
        </w:rPr>
      </w:pPr>
      <w:r>
        <w:rPr>
          <w:rFonts w:cs="宋体"/>
          <w:bCs/>
          <w:color w:val="auto"/>
          <w:sz w:val="21"/>
          <w:szCs w:val="21"/>
        </w:rPr>
        <w:t>2.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6B9C73B5">
      <w:pPr>
        <w:pStyle w:val="35"/>
        <w:spacing w:line="360" w:lineRule="auto"/>
        <w:rPr>
          <w:rFonts w:cs="宋体"/>
          <w:bCs/>
          <w:color w:val="auto"/>
          <w:sz w:val="21"/>
          <w:szCs w:val="21"/>
        </w:rPr>
      </w:pPr>
      <w:r>
        <w:rPr>
          <w:rFonts w:cs="宋体"/>
          <w:bCs/>
          <w:color w:val="auto"/>
          <w:sz w:val="21"/>
          <w:szCs w:val="21"/>
        </w:rPr>
        <w:t>3.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6C0FD280">
      <w:pPr>
        <w:pStyle w:val="35"/>
        <w:rPr>
          <w:rFonts w:cs="宋体"/>
          <w:b/>
          <w:color w:val="auto"/>
          <w:sz w:val="21"/>
        </w:rPr>
      </w:pPr>
    </w:p>
    <w:p w14:paraId="360B5A22">
      <w:pPr>
        <w:pStyle w:val="35"/>
        <w:rPr>
          <w:rFonts w:cs="宋体"/>
          <w:b/>
          <w:color w:val="auto"/>
          <w:sz w:val="21"/>
        </w:rPr>
      </w:pPr>
    </w:p>
    <w:p w14:paraId="6C8D97E6">
      <w:pPr>
        <w:pStyle w:val="35"/>
        <w:rPr>
          <w:rFonts w:cs="宋体"/>
          <w:b/>
          <w:color w:val="auto"/>
          <w:sz w:val="21"/>
        </w:rPr>
      </w:pPr>
    </w:p>
    <w:p w14:paraId="0F0952AF">
      <w:pPr>
        <w:pStyle w:val="35"/>
        <w:rPr>
          <w:rFonts w:cs="宋体"/>
          <w:b/>
          <w:color w:val="auto"/>
          <w:sz w:val="21"/>
        </w:rPr>
      </w:pPr>
    </w:p>
    <w:p w14:paraId="73B5CE6D">
      <w:pPr>
        <w:pStyle w:val="35"/>
        <w:rPr>
          <w:rFonts w:cs="宋体"/>
          <w:b/>
          <w:color w:val="auto"/>
          <w:sz w:val="21"/>
        </w:rPr>
      </w:pPr>
    </w:p>
    <w:p w14:paraId="20BD170C">
      <w:pPr>
        <w:pStyle w:val="35"/>
        <w:rPr>
          <w:rFonts w:cs="宋体"/>
          <w:b/>
          <w:color w:val="auto"/>
          <w:sz w:val="21"/>
        </w:rPr>
      </w:pPr>
    </w:p>
    <w:p w14:paraId="1129ED1F">
      <w:pPr>
        <w:pStyle w:val="35"/>
        <w:rPr>
          <w:rFonts w:cs="宋体"/>
          <w:b/>
          <w:color w:val="auto"/>
          <w:sz w:val="21"/>
        </w:rPr>
      </w:pPr>
    </w:p>
    <w:p w14:paraId="107A75DD">
      <w:pPr>
        <w:pStyle w:val="35"/>
        <w:rPr>
          <w:rFonts w:cs="宋体"/>
          <w:b/>
          <w:color w:val="auto"/>
          <w:sz w:val="21"/>
        </w:rPr>
      </w:pPr>
    </w:p>
    <w:p w14:paraId="45084A38">
      <w:pPr>
        <w:pStyle w:val="35"/>
        <w:rPr>
          <w:rFonts w:cs="宋体"/>
          <w:b/>
          <w:color w:val="auto"/>
          <w:sz w:val="21"/>
        </w:rPr>
      </w:pPr>
    </w:p>
    <w:p w14:paraId="40F2FBAE">
      <w:pPr>
        <w:pStyle w:val="14"/>
        <w:ind w:left="0" w:leftChars="0"/>
        <w:jc w:val="center"/>
        <w:rPr>
          <w:rFonts w:hint="eastAsia" w:ascii="宋体" w:hAnsi="宋体" w:cs="宋体"/>
          <w:b/>
          <w:bCs/>
          <w:color w:val="auto"/>
          <w:spacing w:val="60"/>
          <w:sz w:val="32"/>
        </w:rPr>
      </w:pPr>
      <w:r>
        <w:rPr>
          <w:rFonts w:hint="eastAsia" w:ascii="宋体" w:hAnsi="宋体" w:cs="宋体"/>
          <w:b/>
          <w:bCs/>
          <w:color w:val="auto"/>
          <w:spacing w:val="60"/>
          <w:sz w:val="32"/>
          <w:szCs w:val="32"/>
        </w:rPr>
        <w:t>注意事项</w:t>
      </w:r>
      <w:bookmarkEnd w:id="211"/>
      <w:bookmarkEnd w:id="212"/>
      <w:bookmarkEnd w:id="213"/>
      <w:bookmarkEnd w:id="214"/>
    </w:p>
    <w:p w14:paraId="44AE232B">
      <w:pPr>
        <w:rPr>
          <w:rFonts w:hint="eastAsia" w:ascii="宋体" w:hAnsi="宋体" w:cs="宋体"/>
          <w:color w:val="auto"/>
          <w:sz w:val="32"/>
          <w:szCs w:val="32"/>
        </w:rPr>
      </w:pPr>
    </w:p>
    <w:p w14:paraId="678804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rPr>
      </w:pPr>
      <w:bookmarkStart w:id="215" w:name="_Toc6869"/>
      <w:bookmarkStart w:id="216" w:name="_Toc1267"/>
      <w:bookmarkStart w:id="217" w:name="_Toc20171"/>
      <w:r>
        <w:rPr>
          <w:rFonts w:hint="eastAsia" w:ascii="宋体" w:hAnsi="宋体" w:cs="宋体"/>
          <w:color w:val="auto"/>
          <w:sz w:val="28"/>
        </w:rPr>
        <w:t>1、</w:t>
      </w:r>
      <w:r>
        <w:rPr>
          <w:rFonts w:hint="eastAsia" w:ascii="宋体" w:hAnsi="宋体" w:cs="宋体"/>
          <w:color w:val="auto"/>
          <w:sz w:val="24"/>
        </w:rPr>
        <w:t>投标人对所附表格中要求的资料和询问应做出肯定的回答。</w:t>
      </w:r>
      <w:bookmarkEnd w:id="215"/>
      <w:bookmarkEnd w:id="216"/>
      <w:bookmarkEnd w:id="217"/>
    </w:p>
    <w:p w14:paraId="681277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rPr>
      </w:pPr>
      <w:bookmarkStart w:id="218" w:name="_Toc15065"/>
      <w:bookmarkStart w:id="219" w:name="_Toc2006"/>
      <w:bookmarkStart w:id="220" w:name="_Toc15830"/>
      <w:r>
        <w:rPr>
          <w:rFonts w:hint="eastAsia" w:ascii="宋体" w:hAnsi="宋体" w:cs="宋体"/>
          <w:color w:val="auto"/>
          <w:sz w:val="24"/>
        </w:rPr>
        <w:t>2、投标文件的签字人应保证他所做的声明及对一切问题的回答的真实性和准确。</w:t>
      </w:r>
      <w:bookmarkEnd w:id="218"/>
      <w:bookmarkEnd w:id="219"/>
      <w:bookmarkEnd w:id="220"/>
    </w:p>
    <w:p w14:paraId="2786B3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rPr>
      </w:pPr>
      <w:bookmarkStart w:id="221" w:name="_Toc20049"/>
      <w:bookmarkStart w:id="222" w:name="_Toc20835"/>
      <w:bookmarkStart w:id="223" w:name="_Toc30717"/>
      <w:r>
        <w:rPr>
          <w:rFonts w:hint="eastAsia" w:ascii="宋体" w:hAnsi="宋体" w:cs="宋体"/>
          <w:color w:val="auto"/>
          <w:sz w:val="24"/>
        </w:rPr>
        <w:t>3、投标人提供的投标文件将由招标人使用，并据此进行评价和判断，确定投标人的能力。</w:t>
      </w:r>
      <w:bookmarkEnd w:id="221"/>
      <w:bookmarkEnd w:id="222"/>
      <w:bookmarkEnd w:id="223"/>
    </w:p>
    <w:p w14:paraId="75925C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rPr>
      </w:pPr>
      <w:bookmarkStart w:id="224" w:name="_Toc16011"/>
      <w:bookmarkStart w:id="225" w:name="_Toc27162"/>
      <w:bookmarkStart w:id="226" w:name="_Toc15702"/>
      <w:r>
        <w:rPr>
          <w:rFonts w:hint="eastAsia" w:ascii="宋体" w:hAnsi="宋体" w:cs="宋体"/>
          <w:color w:val="auto"/>
          <w:sz w:val="24"/>
        </w:rPr>
        <w:t>4、投标人提交的文件将给予保密，但不退还。</w:t>
      </w:r>
      <w:bookmarkEnd w:id="224"/>
      <w:bookmarkEnd w:id="225"/>
      <w:bookmarkEnd w:id="226"/>
    </w:p>
    <w:p w14:paraId="0AEE4D28">
      <w:pPr>
        <w:rPr>
          <w:rFonts w:hint="eastAsia" w:ascii="宋体" w:hAnsi="宋体" w:cs="宋体"/>
          <w:color w:val="auto"/>
        </w:rPr>
      </w:pPr>
    </w:p>
    <w:p w14:paraId="7312A443">
      <w:pPr>
        <w:pStyle w:val="7"/>
        <w:rPr>
          <w:rFonts w:hint="eastAsia" w:ascii="宋体" w:hAnsi="宋体" w:cs="宋体"/>
          <w:color w:val="auto"/>
        </w:rPr>
      </w:pPr>
    </w:p>
    <w:p w14:paraId="2D34890A">
      <w:pPr>
        <w:pStyle w:val="7"/>
        <w:rPr>
          <w:rFonts w:hint="eastAsia" w:ascii="宋体" w:hAnsi="宋体" w:cs="宋体"/>
          <w:color w:val="auto"/>
        </w:rPr>
      </w:pPr>
    </w:p>
    <w:p w14:paraId="537A1149">
      <w:pPr>
        <w:pStyle w:val="7"/>
        <w:rPr>
          <w:rFonts w:hint="eastAsia" w:ascii="宋体" w:hAnsi="宋体" w:cs="宋体"/>
          <w:color w:val="auto"/>
        </w:rPr>
      </w:pPr>
    </w:p>
    <w:p w14:paraId="0CF5F065">
      <w:pPr>
        <w:pStyle w:val="7"/>
        <w:rPr>
          <w:rFonts w:hint="eastAsia" w:ascii="宋体" w:hAnsi="宋体" w:cs="宋体"/>
          <w:color w:val="auto"/>
        </w:rPr>
      </w:pPr>
    </w:p>
    <w:p w14:paraId="5214021F">
      <w:pPr>
        <w:pStyle w:val="7"/>
        <w:rPr>
          <w:rFonts w:hint="eastAsia" w:ascii="宋体" w:hAnsi="宋体" w:cs="宋体"/>
          <w:color w:val="auto"/>
        </w:rPr>
      </w:pPr>
    </w:p>
    <w:p w14:paraId="64A23846">
      <w:pPr>
        <w:pStyle w:val="7"/>
        <w:rPr>
          <w:rFonts w:hint="eastAsia" w:ascii="宋体" w:hAnsi="宋体" w:cs="宋体"/>
          <w:color w:val="auto"/>
        </w:rPr>
      </w:pPr>
    </w:p>
    <w:p w14:paraId="3E55CD8A">
      <w:pPr>
        <w:pStyle w:val="7"/>
        <w:rPr>
          <w:rFonts w:hint="eastAsia" w:ascii="宋体" w:hAnsi="宋体" w:cs="宋体"/>
          <w:color w:val="auto"/>
        </w:rPr>
      </w:pPr>
    </w:p>
    <w:p w14:paraId="7CBB077D">
      <w:pPr>
        <w:pStyle w:val="7"/>
        <w:rPr>
          <w:rFonts w:hint="eastAsia" w:ascii="宋体" w:hAnsi="宋体" w:cs="宋体"/>
          <w:color w:val="auto"/>
        </w:rPr>
      </w:pPr>
    </w:p>
    <w:p w14:paraId="2E1B36E1">
      <w:pPr>
        <w:pStyle w:val="7"/>
        <w:rPr>
          <w:rFonts w:hint="eastAsia" w:ascii="宋体" w:hAnsi="宋体" w:cs="宋体"/>
          <w:color w:val="auto"/>
        </w:rPr>
      </w:pPr>
    </w:p>
    <w:p w14:paraId="651521F0">
      <w:pPr>
        <w:pStyle w:val="7"/>
        <w:rPr>
          <w:rFonts w:hint="eastAsia" w:ascii="宋体" w:hAnsi="宋体" w:cs="宋体"/>
          <w:color w:val="auto"/>
        </w:rPr>
      </w:pPr>
    </w:p>
    <w:p w14:paraId="76C3E9F9">
      <w:pPr>
        <w:pStyle w:val="7"/>
        <w:rPr>
          <w:rFonts w:hint="eastAsia" w:ascii="宋体" w:hAnsi="宋体" w:cs="宋体"/>
          <w:color w:val="auto"/>
        </w:rPr>
      </w:pPr>
    </w:p>
    <w:p w14:paraId="54F3E3FA">
      <w:pPr>
        <w:pStyle w:val="7"/>
        <w:rPr>
          <w:rFonts w:hint="eastAsia" w:ascii="宋体" w:hAnsi="宋体" w:cs="宋体"/>
          <w:color w:val="auto"/>
        </w:rPr>
      </w:pPr>
    </w:p>
    <w:p w14:paraId="2B7DC4AA">
      <w:pPr>
        <w:pStyle w:val="7"/>
        <w:rPr>
          <w:rFonts w:hint="eastAsia" w:ascii="宋体" w:hAnsi="宋体" w:cs="宋体"/>
          <w:color w:val="auto"/>
        </w:rPr>
      </w:pPr>
    </w:p>
    <w:p w14:paraId="12EE753E">
      <w:pPr>
        <w:pStyle w:val="7"/>
        <w:rPr>
          <w:rFonts w:hint="eastAsia" w:ascii="宋体" w:hAnsi="宋体" w:cs="宋体"/>
          <w:color w:val="auto"/>
        </w:rPr>
      </w:pPr>
    </w:p>
    <w:p w14:paraId="611489F0">
      <w:pPr>
        <w:pStyle w:val="7"/>
        <w:rPr>
          <w:rFonts w:hint="eastAsia" w:ascii="宋体" w:hAnsi="宋体" w:cs="宋体"/>
          <w:color w:val="auto"/>
        </w:rPr>
      </w:pPr>
    </w:p>
    <w:p w14:paraId="6BFCA1CA">
      <w:pPr>
        <w:pStyle w:val="7"/>
        <w:rPr>
          <w:rFonts w:hint="eastAsia" w:ascii="宋体" w:hAnsi="宋体" w:cs="宋体"/>
          <w:color w:val="auto"/>
        </w:rPr>
      </w:pPr>
    </w:p>
    <w:p w14:paraId="55D7A7E9">
      <w:pPr>
        <w:pStyle w:val="7"/>
        <w:rPr>
          <w:rFonts w:hint="eastAsia" w:ascii="宋体" w:hAnsi="宋体" w:cs="宋体"/>
          <w:color w:val="auto"/>
        </w:rPr>
      </w:pPr>
    </w:p>
    <w:p w14:paraId="4D517447">
      <w:pPr>
        <w:pStyle w:val="7"/>
        <w:rPr>
          <w:rFonts w:hint="eastAsia" w:ascii="宋体" w:hAnsi="宋体" w:cs="宋体"/>
          <w:color w:val="auto"/>
        </w:rPr>
      </w:pPr>
    </w:p>
    <w:p w14:paraId="48E6B171">
      <w:pPr>
        <w:pStyle w:val="7"/>
        <w:rPr>
          <w:rFonts w:hint="eastAsia" w:ascii="宋体" w:hAnsi="宋体" w:cs="宋体"/>
          <w:color w:val="auto"/>
        </w:rPr>
      </w:pPr>
    </w:p>
    <w:p w14:paraId="55321A3C">
      <w:pPr>
        <w:pStyle w:val="7"/>
        <w:rPr>
          <w:rFonts w:hint="eastAsia" w:ascii="宋体" w:hAnsi="宋体" w:cs="宋体"/>
          <w:color w:val="auto"/>
        </w:rPr>
      </w:pPr>
    </w:p>
    <w:p w14:paraId="7E2555FF">
      <w:pPr>
        <w:pStyle w:val="7"/>
        <w:rPr>
          <w:rFonts w:hint="eastAsia" w:ascii="宋体" w:hAnsi="宋体" w:cs="宋体"/>
          <w:color w:val="auto"/>
        </w:rPr>
      </w:pPr>
    </w:p>
    <w:p w14:paraId="79610E8B">
      <w:pPr>
        <w:pStyle w:val="7"/>
        <w:rPr>
          <w:rFonts w:hint="eastAsia" w:ascii="宋体" w:hAnsi="宋体" w:cs="宋体"/>
          <w:color w:val="auto"/>
        </w:rPr>
      </w:pPr>
    </w:p>
    <w:p w14:paraId="1B77F4E4">
      <w:pPr>
        <w:rPr>
          <w:rFonts w:hint="eastAsia" w:ascii="宋体" w:hAnsi="宋体" w:cs="宋体"/>
          <w:b/>
          <w:bCs/>
          <w:color w:val="auto"/>
          <w:sz w:val="30"/>
          <w:szCs w:val="30"/>
        </w:rPr>
      </w:pPr>
    </w:p>
    <w:sectPr>
      <w:headerReference r:id="rId8" w:type="default"/>
      <w:footerReference r:id="rId9" w:type="default"/>
      <w:pgSz w:w="11905" w:h="16838"/>
      <w:pgMar w:top="1440" w:right="1080" w:bottom="1440" w:left="1080" w:header="850"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D8E10">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90E8C">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5590E8C">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E309">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C2315">
                          <w:pPr>
                            <w:pStyle w:val="1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7C2315">
                    <w:pPr>
                      <w:pStyle w:val="1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0C66C">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A6EC7">
                          <w:pPr>
                            <w:pStyle w:val="1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E3A6EC7">
                    <w:pPr>
                      <w:pStyle w:val="16"/>
                    </w:pPr>
                    <w:r>
                      <w:fldChar w:fldCharType="begin"/>
                    </w:r>
                    <w:r>
                      <w:instrText xml:space="preserve"> PAGE  \* MERGEFORMAT </w:instrText>
                    </w:r>
                    <w:r>
                      <w:fldChar w:fldCharType="separate"/>
                    </w:r>
                    <w:r>
                      <w:t>57</w:t>
                    </w:r>
                    <w:r>
                      <w:fldChar w:fldCharType="end"/>
                    </w:r>
                  </w:p>
                </w:txbxContent>
              </v:textbox>
            </v:shape>
          </w:pict>
        </mc:Fallback>
      </mc:AlternateContent>
    </w:r>
  </w:p>
  <w:p w14:paraId="3EB90563">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59B0">
    <w:pPr>
      <w:pStyle w:val="16"/>
      <w:ind w:right="360"/>
      <w:jc w:val="righ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D021A">
                          <w:pPr>
                            <w:pStyle w:val="1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ACD021A">
                    <w:pPr>
                      <w:pStyle w:val="16"/>
                    </w:pPr>
                    <w:r>
                      <w:fldChar w:fldCharType="begin"/>
                    </w:r>
                    <w:r>
                      <w:instrText xml:space="preserve"> PAGE  \* MERGEFORMAT </w:instrText>
                    </w:r>
                    <w:r>
                      <w:fldChar w:fldCharType="separate"/>
                    </w:r>
                    <w:r>
                      <w:t>70</w:t>
                    </w:r>
                    <w:r>
                      <w:fldChar w:fldCharType="end"/>
                    </w:r>
                  </w:p>
                </w:txbxContent>
              </v:textbox>
            </v:shape>
          </w:pict>
        </mc:Fallback>
      </mc:AlternateContent>
    </w:r>
    <w:r>
      <w:rPr>
        <w:lang w:val="zh-CN"/>
      </w:rPr>
      <w:t xml:space="preserve">  </w:t>
    </w:r>
  </w:p>
  <w:p w14:paraId="0A4090BA">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5E024">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974F9">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D92E9">
    <w:pPr>
      <w:pStyle w:val="17"/>
      <w:pBdr>
        <w:bottom w:val="none" w:color="auto" w:sz="0" w:space="1"/>
      </w:pBdr>
      <w:rPr>
        <w:sz w:val="21"/>
      </w:rPr>
    </w:pPr>
    <w:r>
      <w:rPr>
        <w:rFonts w:hint="eastAsia"/>
        <w:sz w:val="21"/>
        <w:szCs w:val="22"/>
      </w:rPr>
      <w:t xml:space="preserve">    </w:t>
    </w: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98789"/>
    <w:multiLevelType w:val="singleLevel"/>
    <w:tmpl w:val="94498789"/>
    <w:lvl w:ilvl="0" w:tentative="0">
      <w:start w:val="8"/>
      <w:numFmt w:val="chineseCounting"/>
      <w:suff w:val="nothing"/>
      <w:lvlText w:val="%1、"/>
      <w:lvlJc w:val="left"/>
      <w:rPr>
        <w:rFonts w:hint="eastAsia"/>
      </w:rPr>
    </w:lvl>
  </w:abstractNum>
  <w:abstractNum w:abstractNumId="1">
    <w:nsid w:val="9E3C656E"/>
    <w:multiLevelType w:val="singleLevel"/>
    <w:tmpl w:val="9E3C656E"/>
    <w:lvl w:ilvl="0" w:tentative="0">
      <w:start w:val="1"/>
      <w:numFmt w:val="decimal"/>
      <w:lvlText w:val="%1."/>
      <w:lvlJc w:val="left"/>
      <w:pPr>
        <w:ind w:left="425" w:hanging="425"/>
      </w:pPr>
      <w:rPr>
        <w:rFonts w:hint="default"/>
      </w:rPr>
    </w:lvl>
  </w:abstractNum>
  <w:abstractNum w:abstractNumId="2">
    <w:nsid w:val="C5C56FC3"/>
    <w:multiLevelType w:val="singleLevel"/>
    <w:tmpl w:val="C5C56FC3"/>
    <w:lvl w:ilvl="0" w:tentative="0">
      <w:start w:val="1"/>
      <w:numFmt w:val="decimal"/>
      <w:lvlText w:val="%1."/>
      <w:lvlJc w:val="left"/>
      <w:pPr>
        <w:ind w:left="425" w:hanging="425"/>
      </w:pPr>
      <w:rPr>
        <w:rFonts w:hint="default"/>
      </w:rPr>
    </w:lvl>
  </w:abstractNum>
  <w:abstractNum w:abstractNumId="3">
    <w:nsid w:val="D7A06E69"/>
    <w:multiLevelType w:val="singleLevel"/>
    <w:tmpl w:val="D7A06E69"/>
    <w:lvl w:ilvl="0" w:tentative="0">
      <w:start w:val="3"/>
      <w:numFmt w:val="chineseCounting"/>
      <w:suff w:val="space"/>
      <w:lvlText w:val="第%1章"/>
      <w:lvlJc w:val="left"/>
      <w:rPr>
        <w:rFonts w:hint="eastAsia"/>
      </w:rPr>
    </w:lvl>
  </w:abstractNum>
  <w:abstractNum w:abstractNumId="4">
    <w:nsid w:val="0000000E"/>
    <w:multiLevelType w:val="singleLevel"/>
    <w:tmpl w:val="0000000E"/>
    <w:lvl w:ilvl="0" w:tentative="0">
      <w:start w:val="1"/>
      <w:numFmt w:val="decimal"/>
      <w:suff w:val="nothing"/>
      <w:lvlText w:val="%1、"/>
      <w:lvlJc w:val="left"/>
    </w:lvl>
  </w:abstractNum>
  <w:abstractNum w:abstractNumId="5">
    <w:nsid w:val="01A611B6"/>
    <w:multiLevelType w:val="singleLevel"/>
    <w:tmpl w:val="01A611B6"/>
    <w:lvl w:ilvl="0" w:tentative="0">
      <w:start w:val="1"/>
      <w:numFmt w:val="decimal"/>
      <w:suff w:val="nothing"/>
      <w:lvlText w:val="%1、"/>
      <w:lvlJc w:val="left"/>
    </w:lvl>
  </w:abstractNum>
  <w:abstractNum w:abstractNumId="6">
    <w:nsid w:val="105C7470"/>
    <w:multiLevelType w:val="singleLevel"/>
    <w:tmpl w:val="105C7470"/>
    <w:lvl w:ilvl="0" w:tentative="0">
      <w:start w:val="1"/>
      <w:numFmt w:val="chineseCounting"/>
      <w:suff w:val="space"/>
      <w:lvlText w:val="第%1章"/>
      <w:lvlJc w:val="left"/>
      <w:rPr>
        <w:rFonts w:hint="eastAsia"/>
      </w:rPr>
    </w:lvl>
  </w:abstractNum>
  <w:abstractNum w:abstractNumId="7">
    <w:nsid w:val="15812A10"/>
    <w:multiLevelType w:val="multilevel"/>
    <w:tmpl w:val="15812A10"/>
    <w:lvl w:ilvl="0" w:tentative="0">
      <w:start w:val="1"/>
      <w:numFmt w:val="upperLetter"/>
      <w:pStyle w:val="2"/>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4714A5A"/>
    <w:multiLevelType w:val="multilevel"/>
    <w:tmpl w:val="24714A5A"/>
    <w:lvl w:ilvl="0" w:tentative="0">
      <w:start w:val="1"/>
      <w:numFmt w:val="chineseCountingThousand"/>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C2F7997"/>
    <w:multiLevelType w:val="singleLevel"/>
    <w:tmpl w:val="2C2F7997"/>
    <w:lvl w:ilvl="0" w:tentative="0">
      <w:start w:val="1"/>
      <w:numFmt w:val="chineseCounting"/>
      <w:suff w:val="nothing"/>
      <w:lvlText w:val="（%1）"/>
      <w:lvlJc w:val="left"/>
      <w:pPr>
        <w:ind w:left="0" w:firstLine="420"/>
      </w:pPr>
      <w:rPr>
        <w:rFonts w:hint="eastAsia"/>
      </w:rPr>
    </w:lvl>
  </w:abstractNum>
  <w:abstractNum w:abstractNumId="10">
    <w:nsid w:val="35C80478"/>
    <w:multiLevelType w:val="singleLevel"/>
    <w:tmpl w:val="35C80478"/>
    <w:lvl w:ilvl="0" w:tentative="0">
      <w:start w:val="1"/>
      <w:numFmt w:val="decimal"/>
      <w:suff w:val="nothing"/>
      <w:lvlText w:val="%1、"/>
      <w:lvlJc w:val="left"/>
    </w:lvl>
  </w:abstractNum>
  <w:abstractNum w:abstractNumId="11">
    <w:nsid w:val="385E2112"/>
    <w:multiLevelType w:val="multilevel"/>
    <w:tmpl w:val="385E21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8E72660"/>
    <w:multiLevelType w:val="multilevel"/>
    <w:tmpl w:val="38E72660"/>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569894D5"/>
    <w:multiLevelType w:val="singleLevel"/>
    <w:tmpl w:val="569894D5"/>
    <w:lvl w:ilvl="0" w:tentative="0">
      <w:start w:val="3"/>
      <w:numFmt w:val="chineseCounting"/>
      <w:suff w:val="nothing"/>
      <w:lvlText w:val="%1、"/>
      <w:lvlJc w:val="left"/>
    </w:lvl>
  </w:abstractNum>
  <w:abstractNum w:abstractNumId="14">
    <w:nsid w:val="645413CB"/>
    <w:multiLevelType w:val="singleLevel"/>
    <w:tmpl w:val="645413CB"/>
    <w:lvl w:ilvl="0" w:tentative="0">
      <w:start w:val="1"/>
      <w:numFmt w:val="decimal"/>
      <w:suff w:val="nothing"/>
      <w:lvlText w:val="%1、"/>
      <w:lvlJc w:val="left"/>
      <w:pPr>
        <w:ind w:left="-270"/>
      </w:pPr>
    </w:lvl>
  </w:abstractNum>
  <w:abstractNum w:abstractNumId="15">
    <w:nsid w:val="6BF14F17"/>
    <w:multiLevelType w:val="multilevel"/>
    <w:tmpl w:val="6BF14F17"/>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C73457C"/>
    <w:multiLevelType w:val="multilevel"/>
    <w:tmpl w:val="6C73457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6"/>
  </w:num>
  <w:num w:numId="3">
    <w:abstractNumId w:val="0"/>
  </w:num>
  <w:num w:numId="4">
    <w:abstractNumId w:val="10"/>
  </w:num>
  <w:num w:numId="5">
    <w:abstractNumId w:val="12"/>
  </w:num>
  <w:num w:numId="6">
    <w:abstractNumId w:val="2"/>
  </w:num>
  <w:num w:numId="7">
    <w:abstractNumId w:val="1"/>
  </w:num>
  <w:num w:numId="8">
    <w:abstractNumId w:val="16"/>
  </w:num>
  <w:num w:numId="9">
    <w:abstractNumId w:val="8"/>
  </w:num>
  <w:num w:numId="10">
    <w:abstractNumId w:val="11"/>
  </w:num>
  <w:num w:numId="11">
    <w:abstractNumId w:val="15"/>
  </w:num>
  <w:num w:numId="12">
    <w:abstractNumId w:val="3"/>
  </w:num>
  <w:num w:numId="13">
    <w:abstractNumId w:val="9"/>
  </w:num>
  <w:num w:numId="14">
    <w:abstractNumId w:val="14"/>
  </w:num>
  <w:num w:numId="15">
    <w:abstractNumId w:val="13"/>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ZTNmYThmOTM0ODUwYzVjMDlkNTc3MDhmN2ViMmQifQ=="/>
  </w:docVars>
  <w:rsids>
    <w:rsidRoot w:val="562A7F8C"/>
    <w:rsid w:val="00027417"/>
    <w:rsid w:val="0003364A"/>
    <w:rsid w:val="00145DAE"/>
    <w:rsid w:val="001709D0"/>
    <w:rsid w:val="002102A4"/>
    <w:rsid w:val="002732BE"/>
    <w:rsid w:val="00285397"/>
    <w:rsid w:val="00395F54"/>
    <w:rsid w:val="003C6A01"/>
    <w:rsid w:val="004B7A1E"/>
    <w:rsid w:val="00576A41"/>
    <w:rsid w:val="006B390D"/>
    <w:rsid w:val="007778ED"/>
    <w:rsid w:val="0084038A"/>
    <w:rsid w:val="008764DD"/>
    <w:rsid w:val="008B2293"/>
    <w:rsid w:val="009562C5"/>
    <w:rsid w:val="00985AC7"/>
    <w:rsid w:val="00A96944"/>
    <w:rsid w:val="00D0728C"/>
    <w:rsid w:val="00D31A6E"/>
    <w:rsid w:val="00D32F2C"/>
    <w:rsid w:val="00DB1079"/>
    <w:rsid w:val="00DF0E4B"/>
    <w:rsid w:val="00F17DC7"/>
    <w:rsid w:val="00F90537"/>
    <w:rsid w:val="0159301C"/>
    <w:rsid w:val="0167761B"/>
    <w:rsid w:val="017B56D8"/>
    <w:rsid w:val="01DC2A3E"/>
    <w:rsid w:val="0241242E"/>
    <w:rsid w:val="024530B5"/>
    <w:rsid w:val="02466FC8"/>
    <w:rsid w:val="02682574"/>
    <w:rsid w:val="02691984"/>
    <w:rsid w:val="026A06A9"/>
    <w:rsid w:val="028C44B2"/>
    <w:rsid w:val="02D23086"/>
    <w:rsid w:val="02F948B2"/>
    <w:rsid w:val="02FA25DD"/>
    <w:rsid w:val="032136EA"/>
    <w:rsid w:val="0328539C"/>
    <w:rsid w:val="035A2D65"/>
    <w:rsid w:val="03F637F9"/>
    <w:rsid w:val="042532DE"/>
    <w:rsid w:val="0437120C"/>
    <w:rsid w:val="0462650F"/>
    <w:rsid w:val="04B81662"/>
    <w:rsid w:val="04BA7683"/>
    <w:rsid w:val="04C25B62"/>
    <w:rsid w:val="04D16F75"/>
    <w:rsid w:val="04FA7D65"/>
    <w:rsid w:val="050C225F"/>
    <w:rsid w:val="051F457C"/>
    <w:rsid w:val="052D3FE4"/>
    <w:rsid w:val="053174AA"/>
    <w:rsid w:val="05551D4C"/>
    <w:rsid w:val="05987ABC"/>
    <w:rsid w:val="05ED01D7"/>
    <w:rsid w:val="06383B48"/>
    <w:rsid w:val="06471FDD"/>
    <w:rsid w:val="06B10483"/>
    <w:rsid w:val="070856F4"/>
    <w:rsid w:val="0719587F"/>
    <w:rsid w:val="073A55AE"/>
    <w:rsid w:val="073A569E"/>
    <w:rsid w:val="073E68E9"/>
    <w:rsid w:val="074C1DED"/>
    <w:rsid w:val="07606FF7"/>
    <w:rsid w:val="07C242FF"/>
    <w:rsid w:val="07DB45D9"/>
    <w:rsid w:val="08017F69"/>
    <w:rsid w:val="08117958"/>
    <w:rsid w:val="082A74C0"/>
    <w:rsid w:val="083245C7"/>
    <w:rsid w:val="08850056"/>
    <w:rsid w:val="089A68B5"/>
    <w:rsid w:val="08A13C26"/>
    <w:rsid w:val="08C601D1"/>
    <w:rsid w:val="08CA31E9"/>
    <w:rsid w:val="08CB470B"/>
    <w:rsid w:val="08D47156"/>
    <w:rsid w:val="08E2169E"/>
    <w:rsid w:val="09383E5F"/>
    <w:rsid w:val="093942E6"/>
    <w:rsid w:val="09532A47"/>
    <w:rsid w:val="095A3DD5"/>
    <w:rsid w:val="095B4169"/>
    <w:rsid w:val="09DA3F01"/>
    <w:rsid w:val="09DC4457"/>
    <w:rsid w:val="09F20764"/>
    <w:rsid w:val="09F676EA"/>
    <w:rsid w:val="0A23066B"/>
    <w:rsid w:val="0AA068F7"/>
    <w:rsid w:val="0AA74DF8"/>
    <w:rsid w:val="0AA779FC"/>
    <w:rsid w:val="0AD35C4F"/>
    <w:rsid w:val="0AE0655C"/>
    <w:rsid w:val="0B0165E5"/>
    <w:rsid w:val="0B0E4E77"/>
    <w:rsid w:val="0B387018"/>
    <w:rsid w:val="0B50249F"/>
    <w:rsid w:val="0BEB51B8"/>
    <w:rsid w:val="0C0A52F6"/>
    <w:rsid w:val="0C210272"/>
    <w:rsid w:val="0C2B1A59"/>
    <w:rsid w:val="0C3C4ED9"/>
    <w:rsid w:val="0C434FF4"/>
    <w:rsid w:val="0C5E598A"/>
    <w:rsid w:val="0C803F2C"/>
    <w:rsid w:val="0CA710DF"/>
    <w:rsid w:val="0CBC3F4A"/>
    <w:rsid w:val="0CC50EF3"/>
    <w:rsid w:val="0CD73F43"/>
    <w:rsid w:val="0CD914B5"/>
    <w:rsid w:val="0CE27C09"/>
    <w:rsid w:val="0D646FD0"/>
    <w:rsid w:val="0D673AAC"/>
    <w:rsid w:val="0DA567FA"/>
    <w:rsid w:val="0DC11EEC"/>
    <w:rsid w:val="0DC75B75"/>
    <w:rsid w:val="0DD32F89"/>
    <w:rsid w:val="0E2230B3"/>
    <w:rsid w:val="0E224BE9"/>
    <w:rsid w:val="0E2826F4"/>
    <w:rsid w:val="0E31014F"/>
    <w:rsid w:val="0E345BC0"/>
    <w:rsid w:val="0E47210D"/>
    <w:rsid w:val="0E611762"/>
    <w:rsid w:val="0E67321C"/>
    <w:rsid w:val="0E7C79C7"/>
    <w:rsid w:val="0E912047"/>
    <w:rsid w:val="0EC248F6"/>
    <w:rsid w:val="0F03484A"/>
    <w:rsid w:val="0F182F7D"/>
    <w:rsid w:val="0F6239E3"/>
    <w:rsid w:val="0F8A3640"/>
    <w:rsid w:val="0FC71A98"/>
    <w:rsid w:val="0FCF53ED"/>
    <w:rsid w:val="0FE92E3B"/>
    <w:rsid w:val="0FEB3DA7"/>
    <w:rsid w:val="0FF07241"/>
    <w:rsid w:val="10237CB7"/>
    <w:rsid w:val="10407D3F"/>
    <w:rsid w:val="1066305F"/>
    <w:rsid w:val="10B6067D"/>
    <w:rsid w:val="10EE38D5"/>
    <w:rsid w:val="11093DA8"/>
    <w:rsid w:val="111331E7"/>
    <w:rsid w:val="111E3E94"/>
    <w:rsid w:val="112076B2"/>
    <w:rsid w:val="113A263D"/>
    <w:rsid w:val="11DC43DC"/>
    <w:rsid w:val="11DC6897"/>
    <w:rsid w:val="12135DC3"/>
    <w:rsid w:val="12295C3B"/>
    <w:rsid w:val="127C6B6A"/>
    <w:rsid w:val="12D05D18"/>
    <w:rsid w:val="13290E76"/>
    <w:rsid w:val="132B1ABC"/>
    <w:rsid w:val="132F62D2"/>
    <w:rsid w:val="133B4C77"/>
    <w:rsid w:val="133F6421"/>
    <w:rsid w:val="13462C73"/>
    <w:rsid w:val="134868DB"/>
    <w:rsid w:val="135B2C24"/>
    <w:rsid w:val="14A31207"/>
    <w:rsid w:val="14FC1FEF"/>
    <w:rsid w:val="150B08E6"/>
    <w:rsid w:val="152B2749"/>
    <w:rsid w:val="15364320"/>
    <w:rsid w:val="1593213A"/>
    <w:rsid w:val="15FA4976"/>
    <w:rsid w:val="15FE270B"/>
    <w:rsid w:val="16111CBF"/>
    <w:rsid w:val="162278E8"/>
    <w:rsid w:val="162C08A7"/>
    <w:rsid w:val="163C29C8"/>
    <w:rsid w:val="163F7012"/>
    <w:rsid w:val="165B7F9E"/>
    <w:rsid w:val="166B0E3F"/>
    <w:rsid w:val="167C182F"/>
    <w:rsid w:val="169311EC"/>
    <w:rsid w:val="16C831A6"/>
    <w:rsid w:val="172C29AE"/>
    <w:rsid w:val="17481711"/>
    <w:rsid w:val="17D827FE"/>
    <w:rsid w:val="17E1744C"/>
    <w:rsid w:val="17F127A4"/>
    <w:rsid w:val="17F25099"/>
    <w:rsid w:val="17F81389"/>
    <w:rsid w:val="180C0607"/>
    <w:rsid w:val="18320317"/>
    <w:rsid w:val="183D6623"/>
    <w:rsid w:val="187A159E"/>
    <w:rsid w:val="18A53F08"/>
    <w:rsid w:val="18B43502"/>
    <w:rsid w:val="18D13137"/>
    <w:rsid w:val="18E45469"/>
    <w:rsid w:val="19047D68"/>
    <w:rsid w:val="19062F7F"/>
    <w:rsid w:val="19235F91"/>
    <w:rsid w:val="19332B35"/>
    <w:rsid w:val="193816C7"/>
    <w:rsid w:val="193F48D0"/>
    <w:rsid w:val="19630A84"/>
    <w:rsid w:val="19764CEA"/>
    <w:rsid w:val="197B677C"/>
    <w:rsid w:val="199F0AAB"/>
    <w:rsid w:val="19A76508"/>
    <w:rsid w:val="19FF28E0"/>
    <w:rsid w:val="1A66198D"/>
    <w:rsid w:val="1AC02E15"/>
    <w:rsid w:val="1AD41657"/>
    <w:rsid w:val="1AE5303E"/>
    <w:rsid w:val="1AF271EC"/>
    <w:rsid w:val="1B75684C"/>
    <w:rsid w:val="1B891923"/>
    <w:rsid w:val="1BA73847"/>
    <w:rsid w:val="1BFE4A94"/>
    <w:rsid w:val="1C074B5F"/>
    <w:rsid w:val="1C686DDC"/>
    <w:rsid w:val="1C876837"/>
    <w:rsid w:val="1CA12143"/>
    <w:rsid w:val="1CA84156"/>
    <w:rsid w:val="1CD852E5"/>
    <w:rsid w:val="1CF05B1D"/>
    <w:rsid w:val="1D0216DB"/>
    <w:rsid w:val="1D411F19"/>
    <w:rsid w:val="1D7902E3"/>
    <w:rsid w:val="1D910DE4"/>
    <w:rsid w:val="1D9531D6"/>
    <w:rsid w:val="1DD302FB"/>
    <w:rsid w:val="1DEA6A1F"/>
    <w:rsid w:val="1E053244"/>
    <w:rsid w:val="1E2A5750"/>
    <w:rsid w:val="1E3B0933"/>
    <w:rsid w:val="1E4D0A1C"/>
    <w:rsid w:val="1E707B71"/>
    <w:rsid w:val="1E9A6699"/>
    <w:rsid w:val="1EAB44E7"/>
    <w:rsid w:val="1EDC4AED"/>
    <w:rsid w:val="1EE43E5B"/>
    <w:rsid w:val="1EF06916"/>
    <w:rsid w:val="1F4D1FBA"/>
    <w:rsid w:val="1F57006D"/>
    <w:rsid w:val="1F5C3068"/>
    <w:rsid w:val="1F7532BF"/>
    <w:rsid w:val="1F9749F8"/>
    <w:rsid w:val="1FB042F7"/>
    <w:rsid w:val="1FB57B5F"/>
    <w:rsid w:val="20196052"/>
    <w:rsid w:val="203C020F"/>
    <w:rsid w:val="20403220"/>
    <w:rsid w:val="20651585"/>
    <w:rsid w:val="207639E7"/>
    <w:rsid w:val="20C46958"/>
    <w:rsid w:val="20E93740"/>
    <w:rsid w:val="21607F04"/>
    <w:rsid w:val="21A82A3E"/>
    <w:rsid w:val="21AF47B7"/>
    <w:rsid w:val="21FF3314"/>
    <w:rsid w:val="22133536"/>
    <w:rsid w:val="222B5EB7"/>
    <w:rsid w:val="22360A87"/>
    <w:rsid w:val="227D2BB6"/>
    <w:rsid w:val="22DD5403"/>
    <w:rsid w:val="23230F2C"/>
    <w:rsid w:val="234704F0"/>
    <w:rsid w:val="23812740"/>
    <w:rsid w:val="2386564E"/>
    <w:rsid w:val="23C2020D"/>
    <w:rsid w:val="244B42EC"/>
    <w:rsid w:val="24773635"/>
    <w:rsid w:val="24877D1C"/>
    <w:rsid w:val="24A948B4"/>
    <w:rsid w:val="24AB50AF"/>
    <w:rsid w:val="251A1B58"/>
    <w:rsid w:val="25755DF3"/>
    <w:rsid w:val="25C12DBA"/>
    <w:rsid w:val="25CE1474"/>
    <w:rsid w:val="260E4558"/>
    <w:rsid w:val="260E7FC9"/>
    <w:rsid w:val="26450CC0"/>
    <w:rsid w:val="26775B6F"/>
    <w:rsid w:val="26B648E9"/>
    <w:rsid w:val="2795596F"/>
    <w:rsid w:val="279E046E"/>
    <w:rsid w:val="27A54BDB"/>
    <w:rsid w:val="27C61B43"/>
    <w:rsid w:val="27F13B68"/>
    <w:rsid w:val="27F76C9B"/>
    <w:rsid w:val="282B6C11"/>
    <w:rsid w:val="28331991"/>
    <w:rsid w:val="28342D4D"/>
    <w:rsid w:val="28B35070"/>
    <w:rsid w:val="28CF3E4A"/>
    <w:rsid w:val="28EE6106"/>
    <w:rsid w:val="28F16B8C"/>
    <w:rsid w:val="2916341D"/>
    <w:rsid w:val="29362F86"/>
    <w:rsid w:val="296970B4"/>
    <w:rsid w:val="296F6FD1"/>
    <w:rsid w:val="297E291D"/>
    <w:rsid w:val="297F2B8F"/>
    <w:rsid w:val="29D735AC"/>
    <w:rsid w:val="29DF65CD"/>
    <w:rsid w:val="2A1262DA"/>
    <w:rsid w:val="2A23727D"/>
    <w:rsid w:val="2A302808"/>
    <w:rsid w:val="2A3C3357"/>
    <w:rsid w:val="2A6A43BB"/>
    <w:rsid w:val="2AC05D36"/>
    <w:rsid w:val="2ADE2AE6"/>
    <w:rsid w:val="2AF96FA6"/>
    <w:rsid w:val="2B3109E2"/>
    <w:rsid w:val="2B367DA6"/>
    <w:rsid w:val="2BA469B4"/>
    <w:rsid w:val="2C11436F"/>
    <w:rsid w:val="2C1D4E6C"/>
    <w:rsid w:val="2C267E1B"/>
    <w:rsid w:val="2C4016BA"/>
    <w:rsid w:val="2C546920"/>
    <w:rsid w:val="2C596B02"/>
    <w:rsid w:val="2C6710BB"/>
    <w:rsid w:val="2C8C39F6"/>
    <w:rsid w:val="2CAB0320"/>
    <w:rsid w:val="2CD8378E"/>
    <w:rsid w:val="2CF82668"/>
    <w:rsid w:val="2D0A522F"/>
    <w:rsid w:val="2D312F83"/>
    <w:rsid w:val="2D4A5C64"/>
    <w:rsid w:val="2D7822FD"/>
    <w:rsid w:val="2DAA0AE3"/>
    <w:rsid w:val="2DE3464D"/>
    <w:rsid w:val="2DE955A4"/>
    <w:rsid w:val="2E4418F4"/>
    <w:rsid w:val="2E574658"/>
    <w:rsid w:val="2E8850EF"/>
    <w:rsid w:val="2E94389C"/>
    <w:rsid w:val="2E944D6F"/>
    <w:rsid w:val="2E9E2416"/>
    <w:rsid w:val="2EE93382"/>
    <w:rsid w:val="2F3547AB"/>
    <w:rsid w:val="2F555E00"/>
    <w:rsid w:val="2F8B0851"/>
    <w:rsid w:val="2FD60E9E"/>
    <w:rsid w:val="30654F90"/>
    <w:rsid w:val="30860F27"/>
    <w:rsid w:val="317C672F"/>
    <w:rsid w:val="31A57A34"/>
    <w:rsid w:val="31BA2CDF"/>
    <w:rsid w:val="31C854D0"/>
    <w:rsid w:val="31DE2CAD"/>
    <w:rsid w:val="31E85B0F"/>
    <w:rsid w:val="31EE7FAA"/>
    <w:rsid w:val="320846B6"/>
    <w:rsid w:val="32883C32"/>
    <w:rsid w:val="32A72C61"/>
    <w:rsid w:val="32AE36C9"/>
    <w:rsid w:val="32B048E2"/>
    <w:rsid w:val="32DD7FE8"/>
    <w:rsid w:val="32E77098"/>
    <w:rsid w:val="33386686"/>
    <w:rsid w:val="337A66A2"/>
    <w:rsid w:val="338B0EAB"/>
    <w:rsid w:val="34014CFA"/>
    <w:rsid w:val="34237336"/>
    <w:rsid w:val="34252DDB"/>
    <w:rsid w:val="353271C8"/>
    <w:rsid w:val="353725BB"/>
    <w:rsid w:val="35591701"/>
    <w:rsid w:val="3588593F"/>
    <w:rsid w:val="360F7B72"/>
    <w:rsid w:val="362C39B2"/>
    <w:rsid w:val="36341386"/>
    <w:rsid w:val="36DE0C4E"/>
    <w:rsid w:val="37486F1C"/>
    <w:rsid w:val="375E6623"/>
    <w:rsid w:val="37C85FF7"/>
    <w:rsid w:val="37FF3F7C"/>
    <w:rsid w:val="381709EA"/>
    <w:rsid w:val="38487753"/>
    <w:rsid w:val="386812B7"/>
    <w:rsid w:val="38815C7D"/>
    <w:rsid w:val="38AC78FA"/>
    <w:rsid w:val="38BD1B07"/>
    <w:rsid w:val="391A3A8C"/>
    <w:rsid w:val="395A55A8"/>
    <w:rsid w:val="39A16B25"/>
    <w:rsid w:val="39C57535"/>
    <w:rsid w:val="3A08060C"/>
    <w:rsid w:val="3A217E73"/>
    <w:rsid w:val="3A4A16EF"/>
    <w:rsid w:val="3A5C3116"/>
    <w:rsid w:val="3B352F67"/>
    <w:rsid w:val="3B390E5C"/>
    <w:rsid w:val="3B7566C9"/>
    <w:rsid w:val="3B8B4C6A"/>
    <w:rsid w:val="3BB645EB"/>
    <w:rsid w:val="3BD93295"/>
    <w:rsid w:val="3C1E1CA5"/>
    <w:rsid w:val="3C6702C2"/>
    <w:rsid w:val="3C687FDC"/>
    <w:rsid w:val="3C6A6ACB"/>
    <w:rsid w:val="3C9963E7"/>
    <w:rsid w:val="3C9E4D92"/>
    <w:rsid w:val="3CCD42E3"/>
    <w:rsid w:val="3CCF65F0"/>
    <w:rsid w:val="3CED04E1"/>
    <w:rsid w:val="3D3B6DEA"/>
    <w:rsid w:val="3D807426"/>
    <w:rsid w:val="3DDA2813"/>
    <w:rsid w:val="3DF013CD"/>
    <w:rsid w:val="3E444130"/>
    <w:rsid w:val="3ED657B5"/>
    <w:rsid w:val="3EE12F99"/>
    <w:rsid w:val="3F5A4156"/>
    <w:rsid w:val="3F7171A7"/>
    <w:rsid w:val="3F731171"/>
    <w:rsid w:val="3F7F7B16"/>
    <w:rsid w:val="3F917849"/>
    <w:rsid w:val="3FA26E4D"/>
    <w:rsid w:val="40181D19"/>
    <w:rsid w:val="404B7AD8"/>
    <w:rsid w:val="404E2F12"/>
    <w:rsid w:val="40762ABD"/>
    <w:rsid w:val="40812151"/>
    <w:rsid w:val="40A87283"/>
    <w:rsid w:val="40BC6B48"/>
    <w:rsid w:val="40CB42F5"/>
    <w:rsid w:val="40F57964"/>
    <w:rsid w:val="41026DD9"/>
    <w:rsid w:val="41294845"/>
    <w:rsid w:val="412F10C8"/>
    <w:rsid w:val="414764A3"/>
    <w:rsid w:val="414779F7"/>
    <w:rsid w:val="415835B4"/>
    <w:rsid w:val="41A12760"/>
    <w:rsid w:val="41A43131"/>
    <w:rsid w:val="41B20F4B"/>
    <w:rsid w:val="41D53177"/>
    <w:rsid w:val="421F36AF"/>
    <w:rsid w:val="423050F8"/>
    <w:rsid w:val="4286740D"/>
    <w:rsid w:val="42882328"/>
    <w:rsid w:val="42896C0B"/>
    <w:rsid w:val="429E272E"/>
    <w:rsid w:val="42A14BDF"/>
    <w:rsid w:val="42D462B4"/>
    <w:rsid w:val="42F779C3"/>
    <w:rsid w:val="42FA5706"/>
    <w:rsid w:val="43207507"/>
    <w:rsid w:val="432476D1"/>
    <w:rsid w:val="433F11B1"/>
    <w:rsid w:val="4340580E"/>
    <w:rsid w:val="4364433D"/>
    <w:rsid w:val="436A51DA"/>
    <w:rsid w:val="437400BA"/>
    <w:rsid w:val="439711A6"/>
    <w:rsid w:val="43BE20C5"/>
    <w:rsid w:val="43D941C3"/>
    <w:rsid w:val="44011C2D"/>
    <w:rsid w:val="4412096A"/>
    <w:rsid w:val="4413477E"/>
    <w:rsid w:val="44C40B73"/>
    <w:rsid w:val="44D51F86"/>
    <w:rsid w:val="452627E2"/>
    <w:rsid w:val="453B48F9"/>
    <w:rsid w:val="45407CA5"/>
    <w:rsid w:val="454E3F0A"/>
    <w:rsid w:val="456B1CC4"/>
    <w:rsid w:val="45892246"/>
    <w:rsid w:val="45947D5B"/>
    <w:rsid w:val="46230960"/>
    <w:rsid w:val="46404F54"/>
    <w:rsid w:val="464060FB"/>
    <w:rsid w:val="466A4B67"/>
    <w:rsid w:val="4695351C"/>
    <w:rsid w:val="469745E4"/>
    <w:rsid w:val="469750EF"/>
    <w:rsid w:val="46D33DC6"/>
    <w:rsid w:val="46D651B3"/>
    <w:rsid w:val="46DD20EA"/>
    <w:rsid w:val="46F33E69"/>
    <w:rsid w:val="474F720D"/>
    <w:rsid w:val="476A7BFA"/>
    <w:rsid w:val="477A6F54"/>
    <w:rsid w:val="479539D4"/>
    <w:rsid w:val="47AB54FA"/>
    <w:rsid w:val="47DB3D58"/>
    <w:rsid w:val="47E0660A"/>
    <w:rsid w:val="48021352"/>
    <w:rsid w:val="480A2692"/>
    <w:rsid w:val="481A666F"/>
    <w:rsid w:val="4883391C"/>
    <w:rsid w:val="48B05407"/>
    <w:rsid w:val="490A4796"/>
    <w:rsid w:val="495B43A7"/>
    <w:rsid w:val="497B39EA"/>
    <w:rsid w:val="49941E2F"/>
    <w:rsid w:val="499A72FA"/>
    <w:rsid w:val="49B02FC2"/>
    <w:rsid w:val="49C4687C"/>
    <w:rsid w:val="4A4215A5"/>
    <w:rsid w:val="4A6C513B"/>
    <w:rsid w:val="4A7A1352"/>
    <w:rsid w:val="4A7A7E0A"/>
    <w:rsid w:val="4A810B41"/>
    <w:rsid w:val="4AC91857"/>
    <w:rsid w:val="4AC92FA7"/>
    <w:rsid w:val="4AF61330"/>
    <w:rsid w:val="4AFE29E5"/>
    <w:rsid w:val="4B141867"/>
    <w:rsid w:val="4B3D4425"/>
    <w:rsid w:val="4B4926F7"/>
    <w:rsid w:val="4B4E2A92"/>
    <w:rsid w:val="4B5333AE"/>
    <w:rsid w:val="4B6C333C"/>
    <w:rsid w:val="4B706C91"/>
    <w:rsid w:val="4B9C1A50"/>
    <w:rsid w:val="4BBF1667"/>
    <w:rsid w:val="4BC52A37"/>
    <w:rsid w:val="4BD56D10"/>
    <w:rsid w:val="4BF40E3E"/>
    <w:rsid w:val="4C191E51"/>
    <w:rsid w:val="4C1E305B"/>
    <w:rsid w:val="4C39311D"/>
    <w:rsid w:val="4CAA6BB8"/>
    <w:rsid w:val="4CC814AE"/>
    <w:rsid w:val="4CDD5E7C"/>
    <w:rsid w:val="4CEC60BF"/>
    <w:rsid w:val="4D4569D0"/>
    <w:rsid w:val="4D62111E"/>
    <w:rsid w:val="4D697D65"/>
    <w:rsid w:val="4D7B33A4"/>
    <w:rsid w:val="4D9C6058"/>
    <w:rsid w:val="4DA33313"/>
    <w:rsid w:val="4DD70B1D"/>
    <w:rsid w:val="4DED3334"/>
    <w:rsid w:val="4E065B01"/>
    <w:rsid w:val="4E1C0507"/>
    <w:rsid w:val="4E3D66C3"/>
    <w:rsid w:val="4E5B79A0"/>
    <w:rsid w:val="4E71109E"/>
    <w:rsid w:val="4E8D3B81"/>
    <w:rsid w:val="4EAC3D58"/>
    <w:rsid w:val="4ECC64F1"/>
    <w:rsid w:val="4F097CE7"/>
    <w:rsid w:val="4F1A2A94"/>
    <w:rsid w:val="4F4122A3"/>
    <w:rsid w:val="4F50502B"/>
    <w:rsid w:val="4FA15F89"/>
    <w:rsid w:val="4FB3211C"/>
    <w:rsid w:val="4FB40A26"/>
    <w:rsid w:val="4FCC21D8"/>
    <w:rsid w:val="501F0559"/>
    <w:rsid w:val="503D798F"/>
    <w:rsid w:val="504B134F"/>
    <w:rsid w:val="50545D49"/>
    <w:rsid w:val="50566012"/>
    <w:rsid w:val="50B11AF9"/>
    <w:rsid w:val="511D2CEB"/>
    <w:rsid w:val="516232F9"/>
    <w:rsid w:val="51874DAF"/>
    <w:rsid w:val="51905BB3"/>
    <w:rsid w:val="51CE7817"/>
    <w:rsid w:val="52225B87"/>
    <w:rsid w:val="522307D5"/>
    <w:rsid w:val="5250430D"/>
    <w:rsid w:val="527077C5"/>
    <w:rsid w:val="527904B0"/>
    <w:rsid w:val="52A511EA"/>
    <w:rsid w:val="52B458D1"/>
    <w:rsid w:val="52CA29FF"/>
    <w:rsid w:val="52EF4B5B"/>
    <w:rsid w:val="52F7761E"/>
    <w:rsid w:val="5310474C"/>
    <w:rsid w:val="531E1297"/>
    <w:rsid w:val="5359231A"/>
    <w:rsid w:val="53DA1367"/>
    <w:rsid w:val="540D249E"/>
    <w:rsid w:val="542F58CA"/>
    <w:rsid w:val="54393681"/>
    <w:rsid w:val="54415B3F"/>
    <w:rsid w:val="5473009A"/>
    <w:rsid w:val="54851C81"/>
    <w:rsid w:val="548E7A76"/>
    <w:rsid w:val="54B70C4B"/>
    <w:rsid w:val="54F6197A"/>
    <w:rsid w:val="5520724E"/>
    <w:rsid w:val="552E5A45"/>
    <w:rsid w:val="5568601F"/>
    <w:rsid w:val="558C3776"/>
    <w:rsid w:val="55BF3C5C"/>
    <w:rsid w:val="55EC0C4B"/>
    <w:rsid w:val="560F0609"/>
    <w:rsid w:val="562969FC"/>
    <w:rsid w:val="562A7F8C"/>
    <w:rsid w:val="56462975"/>
    <w:rsid w:val="565A420A"/>
    <w:rsid w:val="5689497F"/>
    <w:rsid w:val="56A47A0A"/>
    <w:rsid w:val="56C14289"/>
    <w:rsid w:val="57233025"/>
    <w:rsid w:val="5726041F"/>
    <w:rsid w:val="572B430E"/>
    <w:rsid w:val="572F5217"/>
    <w:rsid w:val="5739015C"/>
    <w:rsid w:val="57882E88"/>
    <w:rsid w:val="578A1E63"/>
    <w:rsid w:val="5799049A"/>
    <w:rsid w:val="58135565"/>
    <w:rsid w:val="581D5CC6"/>
    <w:rsid w:val="58552FA4"/>
    <w:rsid w:val="5870229A"/>
    <w:rsid w:val="58782BD5"/>
    <w:rsid w:val="589C6BEB"/>
    <w:rsid w:val="58A72C94"/>
    <w:rsid w:val="58B50BB8"/>
    <w:rsid w:val="58FE78A6"/>
    <w:rsid w:val="58FF717A"/>
    <w:rsid w:val="590E45F0"/>
    <w:rsid w:val="596D1DFE"/>
    <w:rsid w:val="59710010"/>
    <w:rsid w:val="5980475F"/>
    <w:rsid w:val="59BB7545"/>
    <w:rsid w:val="59DA2550"/>
    <w:rsid w:val="5A28157C"/>
    <w:rsid w:val="5A7B6CD4"/>
    <w:rsid w:val="5AC4701D"/>
    <w:rsid w:val="5AC76EF3"/>
    <w:rsid w:val="5AC778C6"/>
    <w:rsid w:val="5B36565B"/>
    <w:rsid w:val="5B3A5E6F"/>
    <w:rsid w:val="5B4D02BE"/>
    <w:rsid w:val="5B935A55"/>
    <w:rsid w:val="5C3603ED"/>
    <w:rsid w:val="5C4B6B03"/>
    <w:rsid w:val="5C50666A"/>
    <w:rsid w:val="5C6519EA"/>
    <w:rsid w:val="5C9122C7"/>
    <w:rsid w:val="5C9E1265"/>
    <w:rsid w:val="5CA27028"/>
    <w:rsid w:val="5CBF559E"/>
    <w:rsid w:val="5D8A5C57"/>
    <w:rsid w:val="5DAD0036"/>
    <w:rsid w:val="5E305A39"/>
    <w:rsid w:val="5EC3487F"/>
    <w:rsid w:val="5F0B3163"/>
    <w:rsid w:val="5F150FC9"/>
    <w:rsid w:val="5F1A2F60"/>
    <w:rsid w:val="5F2F20B1"/>
    <w:rsid w:val="5F3C2ED6"/>
    <w:rsid w:val="5F815C47"/>
    <w:rsid w:val="5F8A3AFF"/>
    <w:rsid w:val="5FAD406B"/>
    <w:rsid w:val="5FCA54A8"/>
    <w:rsid w:val="5FDC6F72"/>
    <w:rsid w:val="605007E5"/>
    <w:rsid w:val="60900E16"/>
    <w:rsid w:val="60936B26"/>
    <w:rsid w:val="60A06F3C"/>
    <w:rsid w:val="60B57F7E"/>
    <w:rsid w:val="610D33D4"/>
    <w:rsid w:val="618C6696"/>
    <w:rsid w:val="61AD6F5F"/>
    <w:rsid w:val="61B229C5"/>
    <w:rsid w:val="61CB0541"/>
    <w:rsid w:val="61F66CFE"/>
    <w:rsid w:val="620654F7"/>
    <w:rsid w:val="621771F3"/>
    <w:rsid w:val="621E2D67"/>
    <w:rsid w:val="62315E81"/>
    <w:rsid w:val="623F5A0E"/>
    <w:rsid w:val="62AC1689"/>
    <w:rsid w:val="62D358FF"/>
    <w:rsid w:val="63090C47"/>
    <w:rsid w:val="63373080"/>
    <w:rsid w:val="635F53E5"/>
    <w:rsid w:val="63CE4319"/>
    <w:rsid w:val="63E95FE4"/>
    <w:rsid w:val="63EC5FEE"/>
    <w:rsid w:val="63F55E58"/>
    <w:rsid w:val="643A340B"/>
    <w:rsid w:val="64430863"/>
    <w:rsid w:val="64507A64"/>
    <w:rsid w:val="6457430E"/>
    <w:rsid w:val="64836C73"/>
    <w:rsid w:val="65156747"/>
    <w:rsid w:val="65293A1E"/>
    <w:rsid w:val="65312228"/>
    <w:rsid w:val="656A1E1F"/>
    <w:rsid w:val="656C5B97"/>
    <w:rsid w:val="65713EE3"/>
    <w:rsid w:val="65B82D44"/>
    <w:rsid w:val="65E51798"/>
    <w:rsid w:val="66073FA5"/>
    <w:rsid w:val="663D12E2"/>
    <w:rsid w:val="665A1E94"/>
    <w:rsid w:val="667C1E0A"/>
    <w:rsid w:val="66BB4984"/>
    <w:rsid w:val="66C23A0D"/>
    <w:rsid w:val="66F91D94"/>
    <w:rsid w:val="670342D9"/>
    <w:rsid w:val="67127E33"/>
    <w:rsid w:val="672D1422"/>
    <w:rsid w:val="67613F05"/>
    <w:rsid w:val="67672ABA"/>
    <w:rsid w:val="67902011"/>
    <w:rsid w:val="67DD2D48"/>
    <w:rsid w:val="67EE1AA4"/>
    <w:rsid w:val="67F15564"/>
    <w:rsid w:val="68633A22"/>
    <w:rsid w:val="68B91067"/>
    <w:rsid w:val="68CA296D"/>
    <w:rsid w:val="69435262"/>
    <w:rsid w:val="69497468"/>
    <w:rsid w:val="69635503"/>
    <w:rsid w:val="69BF0D46"/>
    <w:rsid w:val="69E06B54"/>
    <w:rsid w:val="69FF522C"/>
    <w:rsid w:val="6A192BBD"/>
    <w:rsid w:val="6A2C3B47"/>
    <w:rsid w:val="6A3F387A"/>
    <w:rsid w:val="6A84490C"/>
    <w:rsid w:val="6ADD3D27"/>
    <w:rsid w:val="6AEF5EDE"/>
    <w:rsid w:val="6B44040B"/>
    <w:rsid w:val="6B676E2D"/>
    <w:rsid w:val="6BC61B26"/>
    <w:rsid w:val="6BE648F5"/>
    <w:rsid w:val="6C061F17"/>
    <w:rsid w:val="6C274ABE"/>
    <w:rsid w:val="6C2E1DF8"/>
    <w:rsid w:val="6C627CF4"/>
    <w:rsid w:val="6C6455FC"/>
    <w:rsid w:val="6C7A5A27"/>
    <w:rsid w:val="6C942977"/>
    <w:rsid w:val="6C997A39"/>
    <w:rsid w:val="6CDB1F80"/>
    <w:rsid w:val="6CDE55CC"/>
    <w:rsid w:val="6CDE7F2B"/>
    <w:rsid w:val="6D1E1E6D"/>
    <w:rsid w:val="6D25480D"/>
    <w:rsid w:val="6D40407E"/>
    <w:rsid w:val="6D543AE1"/>
    <w:rsid w:val="6D677D53"/>
    <w:rsid w:val="6D6F4477"/>
    <w:rsid w:val="6D7B7659"/>
    <w:rsid w:val="6D99717E"/>
    <w:rsid w:val="6DA70DDE"/>
    <w:rsid w:val="6DCC54E6"/>
    <w:rsid w:val="6DFA54F2"/>
    <w:rsid w:val="6E0E1D04"/>
    <w:rsid w:val="6E162CF4"/>
    <w:rsid w:val="6E69536A"/>
    <w:rsid w:val="6E786D28"/>
    <w:rsid w:val="6EB365E5"/>
    <w:rsid w:val="6ED137D9"/>
    <w:rsid w:val="6EE113A4"/>
    <w:rsid w:val="6F656ED8"/>
    <w:rsid w:val="6F706EB8"/>
    <w:rsid w:val="6F82516D"/>
    <w:rsid w:val="6F8C5177"/>
    <w:rsid w:val="6FE949B4"/>
    <w:rsid w:val="70264B58"/>
    <w:rsid w:val="703D3A60"/>
    <w:rsid w:val="70476728"/>
    <w:rsid w:val="70581031"/>
    <w:rsid w:val="705B0CE2"/>
    <w:rsid w:val="705E388D"/>
    <w:rsid w:val="706D4930"/>
    <w:rsid w:val="70955189"/>
    <w:rsid w:val="70E64A50"/>
    <w:rsid w:val="711A1C9E"/>
    <w:rsid w:val="71557E27"/>
    <w:rsid w:val="716534DB"/>
    <w:rsid w:val="719A4140"/>
    <w:rsid w:val="71A23FE8"/>
    <w:rsid w:val="722C2936"/>
    <w:rsid w:val="726B026C"/>
    <w:rsid w:val="73094156"/>
    <w:rsid w:val="738B796F"/>
    <w:rsid w:val="73A51D13"/>
    <w:rsid w:val="73D809E1"/>
    <w:rsid w:val="73E6120B"/>
    <w:rsid w:val="7410790B"/>
    <w:rsid w:val="74153B95"/>
    <w:rsid w:val="7488316A"/>
    <w:rsid w:val="74956EB9"/>
    <w:rsid w:val="752E0B23"/>
    <w:rsid w:val="753777CB"/>
    <w:rsid w:val="755F25E1"/>
    <w:rsid w:val="7561071A"/>
    <w:rsid w:val="756C40D1"/>
    <w:rsid w:val="757C6CA5"/>
    <w:rsid w:val="758D6003"/>
    <w:rsid w:val="7590142E"/>
    <w:rsid w:val="75F4354A"/>
    <w:rsid w:val="76260573"/>
    <w:rsid w:val="762A3631"/>
    <w:rsid w:val="76404C02"/>
    <w:rsid w:val="768D1F2A"/>
    <w:rsid w:val="76935BF9"/>
    <w:rsid w:val="772A05B7"/>
    <w:rsid w:val="772E4591"/>
    <w:rsid w:val="773F135E"/>
    <w:rsid w:val="775C1833"/>
    <w:rsid w:val="77943A8C"/>
    <w:rsid w:val="779C7CB1"/>
    <w:rsid w:val="77B95D12"/>
    <w:rsid w:val="780222F2"/>
    <w:rsid w:val="782D126E"/>
    <w:rsid w:val="783E034C"/>
    <w:rsid w:val="783F6395"/>
    <w:rsid w:val="784B19A6"/>
    <w:rsid w:val="784C3D32"/>
    <w:rsid w:val="785908BA"/>
    <w:rsid w:val="786E011D"/>
    <w:rsid w:val="796E1A86"/>
    <w:rsid w:val="79741FA4"/>
    <w:rsid w:val="79990A61"/>
    <w:rsid w:val="799F6CA3"/>
    <w:rsid w:val="7A0702F5"/>
    <w:rsid w:val="7A3B2DFB"/>
    <w:rsid w:val="7A9F16AD"/>
    <w:rsid w:val="7ACB0136"/>
    <w:rsid w:val="7AEF46D7"/>
    <w:rsid w:val="7AFC10FC"/>
    <w:rsid w:val="7B0D1441"/>
    <w:rsid w:val="7B424295"/>
    <w:rsid w:val="7B547D85"/>
    <w:rsid w:val="7B9B6EAF"/>
    <w:rsid w:val="7BC166F1"/>
    <w:rsid w:val="7C043DAD"/>
    <w:rsid w:val="7C4104B9"/>
    <w:rsid w:val="7C442F72"/>
    <w:rsid w:val="7C8415C1"/>
    <w:rsid w:val="7C9B6B2C"/>
    <w:rsid w:val="7CC540B3"/>
    <w:rsid w:val="7CCA791B"/>
    <w:rsid w:val="7CEA232C"/>
    <w:rsid w:val="7CEF7382"/>
    <w:rsid w:val="7D7B4C19"/>
    <w:rsid w:val="7D8038AB"/>
    <w:rsid w:val="7D9B04C6"/>
    <w:rsid w:val="7DB05507"/>
    <w:rsid w:val="7DD07777"/>
    <w:rsid w:val="7DDA1DE0"/>
    <w:rsid w:val="7DE7105B"/>
    <w:rsid w:val="7E226E96"/>
    <w:rsid w:val="7E3B1D74"/>
    <w:rsid w:val="7E4016A1"/>
    <w:rsid w:val="7E42291F"/>
    <w:rsid w:val="7E8C1B0F"/>
    <w:rsid w:val="7EA33A11"/>
    <w:rsid w:val="7EA9540C"/>
    <w:rsid w:val="7ED226A6"/>
    <w:rsid w:val="7F032C71"/>
    <w:rsid w:val="7F4272AF"/>
    <w:rsid w:val="7F735A2D"/>
    <w:rsid w:val="7F8853F6"/>
    <w:rsid w:val="7F960605"/>
    <w:rsid w:val="7FD00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numPr>
        <w:ilvl w:val="0"/>
        <w:numId w:val="1"/>
      </w:numPr>
      <w:outlineLvl w:val="0"/>
    </w:pPr>
    <w:rPr>
      <w:b/>
    </w:rPr>
  </w:style>
  <w:style w:type="paragraph" w:styleId="3">
    <w:name w:val="heading 2"/>
    <w:basedOn w:val="1"/>
    <w:next w:val="1"/>
    <w:qFormat/>
    <w:uiPriority w:val="0"/>
    <w:pPr>
      <w:keepNext/>
      <w:keepLines/>
      <w:spacing w:line="360" w:lineRule="auto"/>
      <w:jc w:val="center"/>
      <w:outlineLvl w:val="1"/>
    </w:pPr>
    <w:rPr>
      <w:rFonts w:ascii="Arial" w:hAnsi="Arial"/>
      <w:b/>
      <w:sz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Normal Indent"/>
    <w:basedOn w:val="1"/>
    <w:next w:val="8"/>
    <w:qFormat/>
    <w:uiPriority w:val="0"/>
    <w:pPr>
      <w:ind w:firstLine="420" w:firstLineChars="200"/>
    </w:pPr>
    <w:rPr>
      <w:szCs w:val="24"/>
    </w:rPr>
  </w:style>
  <w:style w:type="paragraph" w:customStyle="1" w:styleId="8">
    <w:name w:val="样式 正文缩进 + 首行缩进:  2 字符"/>
    <w:basedOn w:val="7"/>
    <w:qFormat/>
    <w:uiPriority w:val="0"/>
    <w:pPr>
      <w:ind w:firstLine="560"/>
    </w:pPr>
    <w:rPr>
      <w:rFonts w:cs="宋体"/>
    </w:rPr>
  </w:style>
  <w:style w:type="paragraph" w:styleId="9">
    <w:name w:val="Document Map"/>
    <w:basedOn w:val="1"/>
    <w:qFormat/>
    <w:uiPriority w:val="99"/>
    <w:rPr>
      <w:rFonts w:ascii="宋体"/>
      <w:sz w:val="18"/>
      <w:szCs w:val="18"/>
    </w:rPr>
  </w:style>
  <w:style w:type="paragraph" w:styleId="10">
    <w:name w:val="annotation text"/>
    <w:basedOn w:val="1"/>
    <w:link w:val="71"/>
    <w:qFormat/>
    <w:uiPriority w:val="0"/>
    <w:pPr>
      <w:jc w:val="left"/>
    </w:pPr>
  </w:style>
  <w:style w:type="paragraph" w:styleId="11">
    <w:name w:val="Body Text"/>
    <w:basedOn w:val="1"/>
    <w:next w:val="1"/>
    <w:qFormat/>
    <w:uiPriority w:val="0"/>
    <w:rPr>
      <w:rFonts w:ascii="Arial" w:hAnsi="Arial"/>
      <w:sz w:val="24"/>
    </w:rPr>
  </w:style>
  <w:style w:type="paragraph" w:styleId="12">
    <w:name w:val="Body Text Indent"/>
    <w:basedOn w:val="1"/>
    <w:next w:val="5"/>
    <w:qFormat/>
    <w:uiPriority w:val="0"/>
    <w:pPr>
      <w:ind w:firstLine="480"/>
    </w:pPr>
    <w:rPr>
      <w:rFonts w:ascii="宋体" w:hAnsi="宋体"/>
      <w:sz w:val="24"/>
    </w:rPr>
  </w:style>
  <w:style w:type="paragraph" w:styleId="13">
    <w:name w:val="Plain Text"/>
    <w:basedOn w:val="1"/>
    <w:qFormat/>
    <w:uiPriority w:val="0"/>
    <w:rPr>
      <w:rFonts w:ascii="宋体" w:hAnsi="Courier New"/>
    </w:rPr>
  </w:style>
  <w:style w:type="paragraph" w:styleId="14">
    <w:name w:val="Date"/>
    <w:basedOn w:val="1"/>
    <w:next w:val="1"/>
    <w:qFormat/>
    <w:uiPriority w:val="0"/>
    <w:pPr>
      <w:ind w:left="100" w:leftChars="2500"/>
    </w:pPr>
  </w:style>
  <w:style w:type="paragraph" w:styleId="15">
    <w:name w:val="Balloon Text"/>
    <w:basedOn w:val="1"/>
    <w:link w:val="73"/>
    <w:qFormat/>
    <w:uiPriority w:val="0"/>
    <w:rPr>
      <w:sz w:val="18"/>
      <w:szCs w:val="18"/>
    </w:rPr>
  </w:style>
  <w:style w:type="paragraph" w:styleId="16">
    <w:name w:val="footer"/>
    <w:basedOn w:val="1"/>
    <w:next w:val="1"/>
    <w:qFormat/>
    <w:uiPriority w:val="99"/>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style>
  <w:style w:type="paragraph" w:styleId="19">
    <w:name w:val="List"/>
    <w:basedOn w:val="1"/>
    <w:qFormat/>
    <w:uiPriority w:val="0"/>
    <w:pPr>
      <w:widowControl/>
      <w:overflowPunct w:val="0"/>
      <w:autoSpaceDE w:val="0"/>
      <w:autoSpaceDN w:val="0"/>
      <w:adjustRightInd w:val="0"/>
      <w:ind w:left="283" w:hanging="283"/>
      <w:jc w:val="left"/>
      <w:textAlignment w:val="baseline"/>
    </w:pPr>
    <w:rPr>
      <w:kern w:val="0"/>
      <w:sz w:val="20"/>
      <w:lang w:val="en-GB"/>
    </w:rPr>
  </w:style>
  <w:style w:type="paragraph" w:styleId="20">
    <w:name w:val="footnote text"/>
    <w:basedOn w:val="1"/>
    <w:qFormat/>
    <w:uiPriority w:val="0"/>
    <w:pPr>
      <w:snapToGrid w:val="0"/>
      <w:jc w:val="left"/>
    </w:pPr>
    <w:rPr>
      <w:sz w:val="18"/>
    </w:rPr>
  </w:style>
  <w:style w:type="paragraph" w:styleId="21">
    <w:name w:val="Body Text Indent 3"/>
    <w:basedOn w:val="1"/>
    <w:qFormat/>
    <w:uiPriority w:val="0"/>
    <w:pPr>
      <w:spacing w:line="360" w:lineRule="auto"/>
      <w:ind w:firstLine="540"/>
    </w:pPr>
    <w:rPr>
      <w:sz w:val="24"/>
    </w:rPr>
  </w:style>
  <w:style w:type="paragraph" w:styleId="22">
    <w:name w:val="toc 2"/>
    <w:basedOn w:val="1"/>
    <w:next w:val="1"/>
    <w:qFormat/>
    <w:uiPriority w:val="0"/>
    <w:pPr>
      <w:ind w:left="420" w:leftChars="200"/>
    </w:pPr>
  </w:style>
  <w:style w:type="paragraph" w:styleId="2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24">
    <w:name w:val="annotation subject"/>
    <w:basedOn w:val="10"/>
    <w:next w:val="10"/>
    <w:link w:val="72"/>
    <w:qFormat/>
    <w:uiPriority w:val="0"/>
    <w:rPr>
      <w:b/>
      <w:bCs/>
    </w:rPr>
  </w:style>
  <w:style w:type="paragraph" w:styleId="25">
    <w:name w:val="Body Text First Indent 2"/>
    <w:basedOn w:val="12"/>
    <w:next w:val="1"/>
    <w:unhideWhenUsed/>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Hyperlink"/>
    <w:basedOn w:val="28"/>
    <w:qFormat/>
    <w:uiPriority w:val="99"/>
    <w:rPr>
      <w:color w:val="000000"/>
      <w:u w:val="none"/>
    </w:rPr>
  </w:style>
  <w:style w:type="character" w:styleId="31">
    <w:name w:val="annotation reference"/>
    <w:basedOn w:val="28"/>
    <w:qFormat/>
    <w:uiPriority w:val="0"/>
    <w:rPr>
      <w:sz w:val="21"/>
      <w:szCs w:val="21"/>
    </w:rPr>
  </w:style>
  <w:style w:type="paragraph" w:customStyle="1" w:styleId="32">
    <w:name w:val="BodyText1I"/>
    <w:basedOn w:val="33"/>
    <w:autoRedefine/>
    <w:qFormat/>
    <w:uiPriority w:val="0"/>
    <w:pPr>
      <w:widowControl/>
      <w:tabs>
        <w:tab w:val="left" w:pos="9214"/>
      </w:tabs>
      <w:spacing w:before="156" w:line="360" w:lineRule="auto"/>
      <w:ind w:firstLine="200" w:firstLineChars="200"/>
      <w:textAlignment w:val="baseline"/>
    </w:pPr>
    <w:rPr>
      <w:rFonts w:ascii="仿宋_GB2312" w:hAnsi="Times New Roman" w:eastAsia="仿宋_GB2312"/>
      <w:kern w:val="2"/>
      <w:sz w:val="30"/>
      <w:szCs w:val="30"/>
      <w:lang w:val="en-US" w:eastAsia="zh-CN" w:bidi="ar-SA"/>
    </w:rPr>
  </w:style>
  <w:style w:type="paragraph" w:customStyle="1" w:styleId="33">
    <w:name w:val="BodyText"/>
    <w:basedOn w:val="1"/>
    <w:next w:val="34"/>
    <w:qFormat/>
    <w:uiPriority w:val="0"/>
    <w:pPr>
      <w:tabs>
        <w:tab w:val="left" w:pos="9214"/>
      </w:tabs>
      <w:spacing w:after="120" w:line="400" w:lineRule="atLeast"/>
      <w:ind w:right="-58" w:firstLine="600"/>
      <w:textAlignment w:val="bottom"/>
    </w:pPr>
    <w:rPr>
      <w:rFonts w:ascii="宋体"/>
      <w:kern w:val="0"/>
      <w:sz w:val="24"/>
    </w:rPr>
  </w:style>
  <w:style w:type="paragraph" w:customStyle="1" w:styleId="34">
    <w:name w:val="180"/>
    <w:basedOn w:val="1"/>
    <w:next w:val="1"/>
    <w:autoRedefine/>
    <w:qFormat/>
    <w:uiPriority w:val="0"/>
    <w:pPr>
      <w:spacing w:after="160" w:line="259" w:lineRule="auto"/>
      <w:jc w:val="both"/>
      <w:textAlignment w:val="baseline"/>
    </w:pPr>
    <w:rPr>
      <w:rFonts w:ascii="Calibri" w:hAnsi="Calibri" w:eastAsia="宋体"/>
      <w:i/>
      <w:iCs/>
      <w:color w:val="000000"/>
      <w:kern w:val="2"/>
      <w:sz w:val="21"/>
      <w:szCs w:val="24"/>
      <w:lang w:val="en-US" w:eastAsia="zh-CN" w:bidi="ar-SA"/>
    </w:rPr>
  </w:style>
  <w:style w:type="paragraph" w:customStyle="1" w:styleId="35">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6">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首行缩进 21"/>
    <w:basedOn w:val="38"/>
    <w:qFormat/>
    <w:uiPriority w:val="0"/>
    <w:pPr>
      <w:ind w:firstLine="420"/>
    </w:pPr>
  </w:style>
  <w:style w:type="paragraph" w:customStyle="1" w:styleId="38">
    <w:name w:val="正文文本缩进1"/>
    <w:basedOn w:val="1"/>
    <w:qFormat/>
    <w:uiPriority w:val="0"/>
    <w:pPr>
      <w:adjustRightInd w:val="0"/>
      <w:snapToGrid w:val="0"/>
      <w:spacing w:after="120" w:line="360" w:lineRule="auto"/>
      <w:ind w:left="420" w:leftChars="200" w:firstLine="512" w:firstLineChars="200"/>
    </w:pPr>
    <w:rPr>
      <w:kern w:val="0"/>
      <w:sz w:val="28"/>
    </w:rPr>
  </w:style>
  <w:style w:type="character" w:customStyle="1" w:styleId="39">
    <w:name w:val="NormalCharacter"/>
    <w:semiHidden/>
    <w:qFormat/>
    <w:uiPriority w:val="0"/>
  </w:style>
  <w:style w:type="paragraph" w:customStyle="1" w:styleId="40">
    <w:name w:val="1正文"/>
    <w:basedOn w:val="1"/>
    <w:qFormat/>
    <w:uiPriority w:val="0"/>
    <w:pPr>
      <w:ind w:left="-38"/>
      <w:textAlignment w:val="baseline"/>
    </w:pPr>
    <w:rPr>
      <w:rFonts w:ascii="宋体" w:hAnsi="宋体"/>
      <w:kern w:val="0"/>
      <w:sz w:val="24"/>
    </w:rPr>
  </w:style>
  <w:style w:type="paragraph" w:customStyle="1" w:styleId="41">
    <w:name w:val="列表_0"/>
    <w:basedOn w:val="42"/>
    <w:qFormat/>
    <w:uiPriority w:val="0"/>
    <w:pPr>
      <w:spacing w:afterAutospacing="1" w:line="360" w:lineRule="auto"/>
      <w:jc w:val="center"/>
    </w:pPr>
    <w:rPr>
      <w:rFonts w:ascii="宋体" w:hAnsi="宋体"/>
      <w:b/>
      <w:bCs/>
      <w:sz w:val="28"/>
      <w:szCs w:val="28"/>
    </w:rPr>
  </w:style>
  <w:style w:type="paragraph" w:customStyle="1" w:styleId="42">
    <w:name w:val="正文_15_0"/>
    <w:basedOn w:val="43"/>
    <w:next w:val="41"/>
    <w:qFormat/>
    <w:uiPriority w:val="0"/>
    <w:rPr>
      <w:rFonts w:ascii="Times New Roman" w:hAnsi="Times New Roman"/>
      <w:szCs w:val="21"/>
    </w:rPr>
  </w:style>
  <w:style w:type="paragraph" w:customStyle="1" w:styleId="43">
    <w:name w:val="正文_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10_0"/>
    <w:basedOn w:val="28"/>
    <w:qFormat/>
    <w:uiPriority w:val="0"/>
    <w:rPr>
      <w:rFonts w:ascii="Times New Roman" w:hAnsi="Times New Roman" w:eastAsia="宋体" w:cs="Times New Roman"/>
    </w:rPr>
  </w:style>
  <w:style w:type="paragraph" w:customStyle="1" w:styleId="45">
    <w:name w:val="标题 3 + 宋体"/>
    <w:basedOn w:val="3"/>
    <w:qFormat/>
    <w:uiPriority w:val="0"/>
    <w:pPr>
      <w:spacing w:line="415" w:lineRule="auto"/>
      <w:jc w:val="both"/>
    </w:pPr>
    <w:rPr>
      <w:rFonts w:ascii="宋体" w:hAnsi="宋体" w:cs="Arial"/>
      <w:kern w:val="0"/>
    </w:rPr>
  </w:style>
  <w:style w:type="paragraph" w:customStyle="1" w:styleId="46">
    <w:name w:val="Table Paragraph"/>
    <w:basedOn w:val="1"/>
    <w:qFormat/>
    <w:uiPriority w:val="1"/>
    <w:pPr>
      <w:jc w:val="center"/>
    </w:pPr>
    <w:rPr>
      <w:rFonts w:ascii="宋体" w:hAnsi="宋体" w:cs="宋体"/>
      <w:lang w:val="zh-CN" w:bidi="zh-CN"/>
    </w:rPr>
  </w:style>
  <w:style w:type="paragraph" w:customStyle="1" w:styleId="47">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font01"/>
    <w:basedOn w:val="28"/>
    <w:qFormat/>
    <w:uiPriority w:val="0"/>
    <w:rPr>
      <w:rFonts w:hint="eastAsia" w:ascii="宋体" w:hAnsi="宋体" w:eastAsia="宋体" w:cs="宋体"/>
      <w:color w:val="000000"/>
      <w:sz w:val="22"/>
      <w:szCs w:val="22"/>
      <w:u w:val="none"/>
    </w:rPr>
  </w:style>
  <w:style w:type="character" w:customStyle="1" w:styleId="49">
    <w:name w:val="font41"/>
    <w:basedOn w:val="28"/>
    <w:qFormat/>
    <w:uiPriority w:val="0"/>
    <w:rPr>
      <w:rFonts w:ascii="Tahoma" w:hAnsi="Tahoma" w:eastAsia="Tahoma" w:cs="Tahoma"/>
      <w:color w:val="808080"/>
      <w:sz w:val="24"/>
      <w:szCs w:val="24"/>
      <w:u w:val="none"/>
    </w:rPr>
  </w:style>
  <w:style w:type="character" w:customStyle="1" w:styleId="50">
    <w:name w:val="font21"/>
    <w:basedOn w:val="28"/>
    <w:qFormat/>
    <w:uiPriority w:val="0"/>
    <w:rPr>
      <w:rFonts w:hint="eastAsia" w:ascii="宋体" w:hAnsi="宋体" w:eastAsia="宋体" w:cs="宋体"/>
      <w:color w:val="666666"/>
      <w:sz w:val="24"/>
      <w:szCs w:val="24"/>
      <w:u w:val="none"/>
    </w:rPr>
  </w:style>
  <w:style w:type="character" w:customStyle="1" w:styleId="51">
    <w:name w:val="font51"/>
    <w:basedOn w:val="28"/>
    <w:qFormat/>
    <w:uiPriority w:val="0"/>
    <w:rPr>
      <w:rFonts w:hint="eastAsia" w:ascii="宋体" w:hAnsi="宋体" w:eastAsia="宋体" w:cs="宋体"/>
      <w:color w:val="808080"/>
      <w:sz w:val="24"/>
      <w:szCs w:val="24"/>
      <w:u w:val="none"/>
    </w:rPr>
  </w:style>
  <w:style w:type="paragraph" w:customStyle="1" w:styleId="52">
    <w:name w:val="Other|1"/>
    <w:basedOn w:val="1"/>
    <w:qFormat/>
    <w:uiPriority w:val="0"/>
    <w:rPr>
      <w:rFonts w:ascii="宋体" w:hAnsi="宋体" w:cs="宋体"/>
      <w:sz w:val="18"/>
      <w:szCs w:val="18"/>
      <w:lang w:val="zh-TW" w:eastAsia="zh-TW" w:bidi="zh-TW"/>
    </w:rPr>
  </w:style>
  <w:style w:type="paragraph" w:customStyle="1" w:styleId="53">
    <w:name w:val="Other|2"/>
    <w:basedOn w:val="1"/>
    <w:qFormat/>
    <w:uiPriority w:val="0"/>
    <w:rPr>
      <w:rFonts w:ascii="宋体" w:hAnsi="宋体" w:cs="宋体"/>
      <w:sz w:val="17"/>
      <w:szCs w:val="17"/>
      <w:lang w:val="zh-TW" w:eastAsia="zh-TW" w:bidi="zh-TW"/>
    </w:rPr>
  </w:style>
  <w:style w:type="paragraph" w:customStyle="1" w:styleId="54">
    <w:name w:val="p0"/>
    <w:basedOn w:val="1"/>
    <w:qFormat/>
    <w:uiPriority w:val="0"/>
    <w:pPr>
      <w:widowControl/>
      <w:jc w:val="left"/>
    </w:pPr>
    <w:rPr>
      <w:kern w:val="0"/>
      <w:szCs w:val="21"/>
    </w:rPr>
  </w:style>
  <w:style w:type="character" w:customStyle="1" w:styleId="55">
    <w:name w:val="font91"/>
    <w:basedOn w:val="28"/>
    <w:qFormat/>
    <w:uiPriority w:val="0"/>
    <w:rPr>
      <w:rFonts w:hint="eastAsia" w:ascii="宋体" w:hAnsi="宋体" w:eastAsia="宋体" w:cs="宋体"/>
      <w:color w:val="000000"/>
      <w:sz w:val="20"/>
      <w:szCs w:val="20"/>
      <w:u w:val="none"/>
    </w:rPr>
  </w:style>
  <w:style w:type="character" w:customStyle="1" w:styleId="56">
    <w:name w:val="font61"/>
    <w:basedOn w:val="28"/>
    <w:qFormat/>
    <w:uiPriority w:val="0"/>
    <w:rPr>
      <w:rFonts w:hint="eastAsia" w:ascii="宋体" w:hAnsi="宋体" w:eastAsia="宋体" w:cs="宋体"/>
      <w:color w:val="000000"/>
      <w:sz w:val="20"/>
      <w:szCs w:val="20"/>
      <w:u w:val="none"/>
    </w:r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Char Char Char Char"/>
    <w:basedOn w:val="1"/>
    <w:qFormat/>
    <w:uiPriority w:val="0"/>
    <w:rPr>
      <w:szCs w:val="21"/>
    </w:rPr>
  </w:style>
  <w:style w:type="paragraph" w:customStyle="1" w:styleId="59">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6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1">
    <w:name w:val="列表段落1"/>
    <w:basedOn w:val="1"/>
    <w:qFormat/>
    <w:uiPriority w:val="1"/>
    <w:pPr>
      <w:ind w:left="106" w:hanging="301"/>
    </w:pPr>
    <w:rPr>
      <w:rFonts w:ascii="宋体" w:hAnsi="宋体" w:cs="宋体"/>
      <w:lang w:val="zh-CN" w:bidi="zh-CN"/>
    </w:rPr>
  </w:style>
  <w:style w:type="paragraph" w:customStyle="1" w:styleId="62">
    <w:name w:val="正文文本_1_0"/>
    <w:basedOn w:val="63"/>
    <w:unhideWhenUsed/>
    <w:qFormat/>
    <w:uiPriority w:val="0"/>
    <w:rPr>
      <w:rFonts w:eastAsia="黑体"/>
      <w:sz w:val="36"/>
    </w:rPr>
  </w:style>
  <w:style w:type="paragraph" w:customStyle="1" w:styleId="63">
    <w:name w:val="正文_2_0"/>
    <w:next w:val="64"/>
    <w:qFormat/>
    <w:uiPriority w:val="0"/>
    <w:pPr>
      <w:widowControl w:val="0"/>
      <w:jc w:val="both"/>
    </w:pPr>
    <w:rPr>
      <w:rFonts w:ascii="Calibri" w:hAnsi="Calibri" w:eastAsia="Calibri" w:cs="Times New Roman"/>
      <w:kern w:val="2"/>
      <w:sz w:val="21"/>
      <w:szCs w:val="22"/>
      <w:lang w:val="en-US" w:eastAsia="zh-CN" w:bidi="ar-SA"/>
    </w:rPr>
  </w:style>
  <w:style w:type="paragraph" w:customStyle="1" w:styleId="64">
    <w:name w:val="表格文字_1_0"/>
    <w:basedOn w:val="63"/>
    <w:qFormat/>
    <w:uiPriority w:val="0"/>
    <w:pPr>
      <w:adjustRightInd w:val="0"/>
      <w:spacing w:line="420" w:lineRule="atLeast"/>
      <w:jc w:val="left"/>
    </w:pPr>
    <w:rPr>
      <w:rFonts w:eastAsia="宋体"/>
      <w:kern w:val="0"/>
      <w:szCs w:val="20"/>
    </w:rPr>
  </w:style>
  <w:style w:type="paragraph" w:customStyle="1" w:styleId="65">
    <w:name w:val="索引 11"/>
    <w:basedOn w:val="1"/>
    <w:next w:val="1"/>
    <w:qFormat/>
    <w:uiPriority w:val="0"/>
    <w:pPr>
      <w:spacing w:line="360" w:lineRule="auto"/>
    </w:pPr>
    <w:rPr>
      <w:rFonts w:ascii="仿宋_GB2312" w:eastAsia="仿宋_GB2312"/>
      <w:sz w:val="24"/>
    </w:rPr>
  </w:style>
  <w:style w:type="paragraph" w:customStyle="1" w:styleId="66">
    <w:name w:val="纯文本1"/>
    <w:basedOn w:val="1"/>
    <w:qFormat/>
    <w:uiPriority w:val="0"/>
    <w:rPr>
      <w:rFonts w:ascii="宋体" w:hAnsi="Courier New"/>
      <w:kern w:val="0"/>
      <w:sz w:val="20"/>
    </w:rPr>
  </w:style>
  <w:style w:type="character" w:customStyle="1" w:styleId="67">
    <w:name w:val="fontstyle01"/>
    <w:basedOn w:val="28"/>
    <w:qFormat/>
    <w:uiPriority w:val="0"/>
    <w:rPr>
      <w:rFonts w:hint="eastAsia" w:ascii="仿宋_GB2312" w:eastAsia="仿宋_GB2312"/>
      <w:color w:val="000000"/>
      <w:sz w:val="28"/>
      <w:szCs w:val="28"/>
    </w:rPr>
  </w:style>
  <w:style w:type="paragraph" w:customStyle="1" w:styleId="68">
    <w:name w:val="Char Char1"/>
    <w:basedOn w:val="9"/>
    <w:qFormat/>
    <w:uiPriority w:val="0"/>
    <w:pPr>
      <w:shd w:val="clear" w:color="auto" w:fill="000080"/>
    </w:pPr>
    <w:rPr>
      <w:sz w:val="24"/>
      <w:szCs w:val="24"/>
    </w:rPr>
  </w:style>
  <w:style w:type="paragraph" w:customStyle="1" w:styleId="69">
    <w:name w:val="_Style 13"/>
    <w:qFormat/>
    <w:uiPriority w:val="0"/>
    <w:pPr>
      <w:spacing w:before="120" w:after="120" w:line="288" w:lineRule="auto"/>
    </w:pPr>
    <w:rPr>
      <w:rFonts w:ascii="Arial" w:hAnsi="Arial" w:eastAsia="等线" w:cs="Arial"/>
      <w:sz w:val="22"/>
      <w:szCs w:val="22"/>
      <w:lang w:val="en-US" w:eastAsia="zh-CN" w:bidi="ar-SA"/>
    </w:rPr>
  </w:style>
  <w:style w:type="paragraph" w:customStyle="1" w:styleId="70">
    <w:name w:val="列表段落11"/>
    <w:basedOn w:val="1"/>
    <w:unhideWhenUsed/>
    <w:qFormat/>
    <w:uiPriority w:val="99"/>
    <w:pPr>
      <w:ind w:firstLine="420" w:firstLineChars="200"/>
    </w:pPr>
  </w:style>
  <w:style w:type="character" w:customStyle="1" w:styleId="71">
    <w:name w:val="批注文字 字符"/>
    <w:basedOn w:val="28"/>
    <w:link w:val="10"/>
    <w:qFormat/>
    <w:uiPriority w:val="0"/>
    <w:rPr>
      <w:kern w:val="2"/>
      <w:sz w:val="21"/>
    </w:rPr>
  </w:style>
  <w:style w:type="character" w:customStyle="1" w:styleId="72">
    <w:name w:val="批注主题 字符"/>
    <w:basedOn w:val="71"/>
    <w:link w:val="24"/>
    <w:qFormat/>
    <w:uiPriority w:val="0"/>
    <w:rPr>
      <w:b/>
      <w:bCs/>
      <w:kern w:val="2"/>
      <w:sz w:val="21"/>
    </w:rPr>
  </w:style>
  <w:style w:type="character" w:customStyle="1" w:styleId="73">
    <w:name w:val="批注框文本 字符"/>
    <w:basedOn w:val="28"/>
    <w:link w:val="15"/>
    <w:qFormat/>
    <w:uiPriority w:val="0"/>
    <w:rPr>
      <w:kern w:val="2"/>
      <w:sz w:val="18"/>
      <w:szCs w:val="18"/>
    </w:rPr>
  </w:style>
  <w:style w:type="paragraph" w:customStyle="1" w:styleId="74">
    <w:name w:val="List Paragraph"/>
    <w:basedOn w:val="1"/>
    <w:qFormat/>
    <w:uiPriority w:val="1"/>
    <w:pPr>
      <w:ind w:left="106" w:hanging="301"/>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32330</Words>
  <Characters>34392</Characters>
  <Lines>300</Lines>
  <Paragraphs>84</Paragraphs>
  <TotalTime>7</TotalTime>
  <ScaleCrop>false</ScaleCrop>
  <LinksUpToDate>false</LinksUpToDate>
  <CharactersWithSpaces>35411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2021-12-16T04:49:00Z</dcterms:created>
  <dc:creator>哈呆</dc:creator>
  <cp:lastModifiedBy>亐㔓</cp:lastModifiedBy>
  <dcterms:modified xsi:type="dcterms:W3CDTF">2025-06-26T02:44:13Z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5BC54E9F0E114CDF982D3F436280AB51_13</vt:lpwstr>
  </property>
  <property fmtid="{D5CDD505-2E9C-101B-9397-08002B2CF9AE}" pid="4" name="KSOTemplateDocerSaveRecord">
    <vt:lpwstr>eyJoZGlkIjoiMzEwNTM5NzYwMDRjMzkwZTVkZjY2ODkwMGIxNGU0OTUiLCJ1c2VySWQiOiIxMTk3NzA4OTcyIn0=</vt:lpwstr>
  </property>
</Properties>
</file>